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85645642"/>
        <w:docPartObj>
          <w:docPartGallery w:val="Cover Pages"/>
          <w:docPartUnique/>
        </w:docPartObj>
      </w:sdtPr>
      <w:sdtEndPr>
        <w:rPr>
          <w:noProof/>
        </w:rPr>
      </w:sdtEndPr>
      <w:sdtContent>
        <w:p w14:paraId="014EAF98" w14:textId="77777777" w:rsidR="00604EEF" w:rsidRPr="006D0240" w:rsidRDefault="00604EEF" w:rsidP="008E6292">
          <w:r>
            <w:rPr>
              <w:noProof/>
            </w:rPr>
            <w:drawing>
              <wp:anchor distT="0" distB="0" distL="114300" distR="114300" simplePos="0" relativeHeight="251659264" behindDoc="1" locked="0" layoutInCell="1" allowOverlap="1" wp14:anchorId="2D3128F0" wp14:editId="51FC5CD9">
                <wp:simplePos x="0" y="0"/>
                <wp:positionH relativeFrom="margin">
                  <wp:align>center</wp:align>
                </wp:positionH>
                <wp:positionV relativeFrom="page">
                  <wp:posOffset>180340</wp:posOffset>
                </wp:positionV>
                <wp:extent cx="7192994" cy="10174607"/>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ulus\csg_h$\MCD\Publishing\Graphic Design Services Team\Projects\2019\Treasury Branding update 2018\Proofs\WORD MOCKUPS\Annual report covers_WOR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192994" cy="101746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31A22" w14:textId="77777777" w:rsidR="00604EEF" w:rsidRPr="006D0240" w:rsidRDefault="00604EEF" w:rsidP="000F75FA">
          <w:pPr>
            <w:pStyle w:val="Crest"/>
            <w:spacing w:after="600"/>
            <w:jc w:val="right"/>
          </w:pPr>
        </w:p>
        <w:p w14:paraId="6BFE61DE" w14:textId="0A64D4D7" w:rsidR="00604EEF" w:rsidRPr="006923DF" w:rsidRDefault="000F75FA" w:rsidP="006923DF">
          <w:pPr>
            <w:pStyle w:val="Title"/>
          </w:pPr>
          <w:r w:rsidRPr="000F75FA">
            <w:t>Foreign investment</w:t>
          </w:r>
          <w:r w:rsidR="00052DC0">
            <w:t>:</w:t>
          </w:r>
          <w:r w:rsidRPr="000F75FA">
            <w:t xml:space="preserve"> </w:t>
          </w:r>
          <w:r w:rsidR="00052DC0">
            <w:t>C</w:t>
          </w:r>
          <w:r w:rsidRPr="000F75FA">
            <w:t>ompliance framework policy statement</w:t>
          </w:r>
        </w:p>
        <w:p w14:paraId="18FD6CF3" w14:textId="77777777" w:rsidR="00604EEF" w:rsidRPr="006923DF" w:rsidRDefault="000F75FA" w:rsidP="006923DF">
          <w:pPr>
            <w:pStyle w:val="ReportDate"/>
            <w:rPr>
              <w:rFonts w:ascii="Rockwell" w:hAnsi="Rockwell"/>
              <w:sz w:val="24"/>
            </w:rPr>
          </w:pPr>
          <w:r>
            <w:rPr>
              <w:rStyle w:val="ReportDateChar"/>
            </w:rPr>
            <w:t>December 2020</w:t>
          </w:r>
        </w:p>
        <w:p w14:paraId="4D495DF3" w14:textId="77777777" w:rsidR="00604EEF" w:rsidRDefault="00604EEF">
          <w:pPr>
            <w:spacing w:before="0" w:after="160" w:line="259" w:lineRule="auto"/>
            <w:rPr>
              <w:noProof/>
            </w:rPr>
          </w:pPr>
          <w:r>
            <w:rPr>
              <w:noProof/>
            </w:rPr>
            <w:br w:type="page"/>
          </w:r>
        </w:p>
      </w:sdtContent>
    </w:sdt>
    <w:p w14:paraId="12A60B8C" w14:textId="6F704FA9" w:rsidR="000E0B74" w:rsidRDefault="000E0B74" w:rsidP="005877AC">
      <w:pPr>
        <w:spacing w:before="0" w:after="160" w:line="259" w:lineRule="auto"/>
        <w:rPr>
          <w:noProof/>
        </w:rPr>
      </w:pPr>
      <w:r w:rsidRPr="00661BF0">
        <w:lastRenderedPageBreak/>
        <w:t xml:space="preserve">© Commonwealth of Australia </w:t>
      </w:r>
      <w:r w:rsidRPr="00BF4F17">
        <w:t>20</w:t>
      </w:r>
      <w:r w:rsidR="009C54EA" w:rsidRPr="00BF4F17">
        <w:t>20</w:t>
      </w:r>
    </w:p>
    <w:p w14:paraId="0715AC4A" w14:textId="76F5A5A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657F4FB9" w14:textId="77777777" w:rsidR="000E0B74" w:rsidRDefault="000E0B74" w:rsidP="000E0B74">
      <w:pPr>
        <w:pStyle w:val="ChartGraphic"/>
        <w:jc w:val="left"/>
      </w:pPr>
      <w:r w:rsidRPr="00E56DFB">
        <w:rPr>
          <w:noProof/>
        </w:rPr>
        <w:drawing>
          <wp:inline distT="0" distB="0" distL="0" distR="0" wp14:anchorId="5982CC9E" wp14:editId="09F0B6CC">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02258ED"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0BA6B71"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2AB8A4BF"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0894ECEF" w14:textId="50345432" w:rsidR="000E0B74" w:rsidRPr="00A13A11" w:rsidRDefault="000E0B74" w:rsidP="000E0B74">
      <w:pPr>
        <w:ind w:firstLine="720"/>
      </w:pPr>
      <w:r w:rsidRPr="002F1BC2">
        <w:rPr>
          <w:i/>
        </w:rPr>
        <w:t xml:space="preserve">Source: The </w:t>
      </w:r>
      <w:r w:rsidRPr="002F1BC2">
        <w:rPr>
          <w:i/>
          <w:iCs/>
        </w:rPr>
        <w:t>Australian Government the Treasury</w:t>
      </w:r>
      <w:r>
        <w:t>.</w:t>
      </w:r>
    </w:p>
    <w:p w14:paraId="5452537B" w14:textId="77777777" w:rsidR="000E0B74" w:rsidRPr="006627B4" w:rsidRDefault="000E0B74" w:rsidP="000E0B74">
      <w:pPr>
        <w:spacing w:before="240"/>
      </w:pPr>
      <w:r w:rsidRPr="00CC63CC">
        <w:rPr>
          <w:b/>
        </w:rPr>
        <w:t>Derivative</w:t>
      </w:r>
      <w:r w:rsidRPr="006627B4">
        <w:t xml:space="preserve"> </w:t>
      </w:r>
      <w:r w:rsidRPr="00CC63CC">
        <w:rPr>
          <w:b/>
        </w:rPr>
        <w:t>material</w:t>
      </w:r>
    </w:p>
    <w:p w14:paraId="75597A89"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04BEC658" w14:textId="3D1989DB" w:rsidR="000E0B74" w:rsidRPr="006627B4" w:rsidRDefault="000E0B74" w:rsidP="000E0B74">
      <w:pPr>
        <w:ind w:firstLine="720"/>
      </w:pPr>
      <w:r w:rsidRPr="002F1BC2">
        <w:rPr>
          <w:i/>
        </w:rPr>
        <w:t>Based on The Australian Government the Treasury data</w:t>
      </w:r>
      <w:r>
        <w:t>.</w:t>
      </w:r>
    </w:p>
    <w:p w14:paraId="25CBD917" w14:textId="77777777" w:rsidR="000E0B74" w:rsidRPr="006627B4" w:rsidRDefault="000E0B74" w:rsidP="000E0B74">
      <w:pPr>
        <w:spacing w:before="240"/>
        <w:rPr>
          <w:b/>
        </w:rPr>
      </w:pPr>
      <w:r w:rsidRPr="006627B4">
        <w:rPr>
          <w:b/>
        </w:rPr>
        <w:t>Use of the Coat of Arms</w:t>
      </w:r>
    </w:p>
    <w:p w14:paraId="185406E6" w14:textId="4AC4D8B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3" w:history="1">
        <w:r w:rsidR="00BF278D">
          <w:rPr>
            <w:rStyle w:val="Hyperlink"/>
          </w:rPr>
          <w:t>http://www.pmc.gov.au/government/commonwealth-coat-arms</w:t>
        </w:r>
      </w:hyperlink>
      <w:r w:rsidRPr="005C503A">
        <w:t>).</w:t>
      </w:r>
    </w:p>
    <w:p w14:paraId="6A995A3A" w14:textId="77777777" w:rsidR="000E0B74" w:rsidRPr="006627B4" w:rsidRDefault="000E0B74" w:rsidP="000E0B74">
      <w:pPr>
        <w:spacing w:before="240"/>
        <w:rPr>
          <w:b/>
        </w:rPr>
      </w:pPr>
      <w:r>
        <w:rPr>
          <w:b/>
        </w:rPr>
        <w:t>Other u</w:t>
      </w:r>
      <w:r w:rsidRPr="006627B4">
        <w:rPr>
          <w:b/>
        </w:rPr>
        <w:t>ses</w:t>
      </w:r>
    </w:p>
    <w:p w14:paraId="18275783" w14:textId="77777777" w:rsidR="000E0B74" w:rsidRPr="006627B4" w:rsidRDefault="000E0B74" w:rsidP="000E0B74">
      <w:r>
        <w:t>E</w:t>
      </w:r>
      <w:r w:rsidRPr="006627B4">
        <w:t>nquiries regarding this licence and any other use of this document are welcome at:</w:t>
      </w:r>
    </w:p>
    <w:p w14:paraId="3854FA68" w14:textId="77777777" w:rsidR="000E0B74" w:rsidRPr="002F1BC2" w:rsidRDefault="000E0B74" w:rsidP="000E0B74">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sidR="00FF447A" w:rsidRPr="000951A5">
          <w:rPr>
            <w:rStyle w:val="Hyperlink"/>
          </w:rPr>
          <w:t>media@treasury.gov.au</w:t>
        </w:r>
      </w:hyperlink>
      <w:r w:rsidR="00FF447A">
        <w:rPr>
          <w:rStyle w:val="Hyperlink"/>
        </w:rPr>
        <w:t xml:space="preserve"> </w:t>
      </w:r>
    </w:p>
    <w:p w14:paraId="2F173C01" w14:textId="77777777" w:rsidR="00F836F9" w:rsidRDefault="00F836F9" w:rsidP="000E0B74">
      <w:pPr>
        <w:pStyle w:val="Heading1"/>
        <w:sectPr w:rsidR="00F836F9" w:rsidSect="00917E28">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418" w:left="1418" w:header="709" w:footer="709" w:gutter="0"/>
          <w:pgNumType w:fmt="lowerRoman" w:start="0"/>
          <w:cols w:space="708"/>
          <w:titlePg/>
          <w:docGrid w:linePitch="360"/>
        </w:sectPr>
      </w:pPr>
    </w:p>
    <w:p w14:paraId="2965AC22" w14:textId="77777777" w:rsidR="000E0B74" w:rsidRDefault="000E0B74" w:rsidP="001F1B27">
      <w:pPr>
        <w:pStyle w:val="Heading1"/>
      </w:pPr>
      <w:bookmarkStart w:id="1" w:name="_Toc59197694"/>
      <w:r w:rsidRPr="001F1B27">
        <w:lastRenderedPageBreak/>
        <w:t>Contents</w:t>
      </w:r>
      <w:bookmarkEnd w:id="1"/>
    </w:p>
    <w:p w14:paraId="0A3ABCFB" w14:textId="3918E96C" w:rsidR="00052DC0" w:rsidRDefault="000E0B74">
      <w:pPr>
        <w:pStyle w:val="TOC1"/>
        <w:rPr>
          <w:rFonts w:asciiTheme="minorHAnsi" w:eastAsiaTheme="minorEastAsia" w:hAnsiTheme="minorHAnsi" w:cstheme="minorBidi"/>
          <w:b w:val="0"/>
          <w:color w:val="auto"/>
        </w:rPr>
      </w:pPr>
      <w:r>
        <w:rPr>
          <w:color w:val="004A7F"/>
        </w:rPr>
        <w:fldChar w:fldCharType="begin"/>
      </w:r>
      <w:r w:rsidRPr="0025652F">
        <w:instrText xml:space="preserve"> TOC \o "1-3" \h \z \u </w:instrText>
      </w:r>
      <w:r>
        <w:rPr>
          <w:color w:val="004A7F"/>
        </w:rPr>
        <w:fldChar w:fldCharType="separate"/>
      </w:r>
      <w:hyperlink w:anchor="_Toc59197694" w:history="1">
        <w:r w:rsidR="00052DC0" w:rsidRPr="00993344">
          <w:rPr>
            <w:rStyle w:val="Hyperlink"/>
          </w:rPr>
          <w:t>Contents</w:t>
        </w:r>
        <w:r w:rsidR="00052DC0">
          <w:rPr>
            <w:webHidden/>
          </w:rPr>
          <w:tab/>
        </w:r>
        <w:r w:rsidR="00052DC0">
          <w:rPr>
            <w:webHidden/>
          </w:rPr>
          <w:fldChar w:fldCharType="begin"/>
        </w:r>
        <w:r w:rsidR="00052DC0">
          <w:rPr>
            <w:webHidden/>
          </w:rPr>
          <w:instrText xml:space="preserve"> PAGEREF _Toc59197694 \h </w:instrText>
        </w:r>
        <w:r w:rsidR="00052DC0">
          <w:rPr>
            <w:webHidden/>
          </w:rPr>
        </w:r>
        <w:r w:rsidR="00052DC0">
          <w:rPr>
            <w:webHidden/>
          </w:rPr>
          <w:fldChar w:fldCharType="separate"/>
        </w:r>
        <w:r w:rsidR="00DE471C">
          <w:rPr>
            <w:webHidden/>
          </w:rPr>
          <w:t>ii</w:t>
        </w:r>
        <w:r w:rsidR="00052DC0">
          <w:rPr>
            <w:webHidden/>
          </w:rPr>
          <w:fldChar w:fldCharType="end"/>
        </w:r>
      </w:hyperlink>
    </w:p>
    <w:p w14:paraId="0A7095C5" w14:textId="04B2E78F" w:rsidR="00052DC0" w:rsidRDefault="00541779">
      <w:pPr>
        <w:pStyle w:val="TOC1"/>
        <w:rPr>
          <w:rFonts w:asciiTheme="minorHAnsi" w:eastAsiaTheme="minorEastAsia" w:hAnsiTheme="minorHAnsi" w:cstheme="minorBidi"/>
          <w:b w:val="0"/>
          <w:color w:val="auto"/>
        </w:rPr>
      </w:pPr>
      <w:hyperlink w:anchor="_Toc59197695" w:history="1">
        <w:r w:rsidR="00052DC0" w:rsidRPr="00993344">
          <w:rPr>
            <w:rStyle w:val="Hyperlink"/>
          </w:rPr>
          <w:t>Foreign investment: Compliance framework policy statement</w:t>
        </w:r>
        <w:r w:rsidR="00052DC0">
          <w:rPr>
            <w:webHidden/>
          </w:rPr>
          <w:tab/>
        </w:r>
        <w:r w:rsidR="00052DC0">
          <w:rPr>
            <w:webHidden/>
          </w:rPr>
          <w:fldChar w:fldCharType="begin"/>
        </w:r>
        <w:r w:rsidR="00052DC0">
          <w:rPr>
            <w:webHidden/>
          </w:rPr>
          <w:instrText xml:space="preserve"> PAGEREF _Toc59197695 \h </w:instrText>
        </w:r>
        <w:r w:rsidR="00052DC0">
          <w:rPr>
            <w:webHidden/>
          </w:rPr>
        </w:r>
        <w:r w:rsidR="00052DC0">
          <w:rPr>
            <w:webHidden/>
          </w:rPr>
          <w:fldChar w:fldCharType="separate"/>
        </w:r>
        <w:r w:rsidR="00DE471C">
          <w:rPr>
            <w:webHidden/>
          </w:rPr>
          <w:t>3</w:t>
        </w:r>
        <w:r w:rsidR="00052DC0">
          <w:rPr>
            <w:webHidden/>
          </w:rPr>
          <w:fldChar w:fldCharType="end"/>
        </w:r>
      </w:hyperlink>
    </w:p>
    <w:p w14:paraId="1C2E5CF8" w14:textId="251B06E5" w:rsidR="00052DC0" w:rsidRDefault="00541779">
      <w:pPr>
        <w:pStyle w:val="TOC2"/>
        <w:rPr>
          <w:rFonts w:asciiTheme="minorHAnsi" w:eastAsiaTheme="minorEastAsia" w:hAnsiTheme="minorHAnsi" w:cstheme="minorBidi"/>
          <w:color w:val="auto"/>
          <w:szCs w:val="22"/>
        </w:rPr>
      </w:pPr>
      <w:hyperlink w:anchor="_Toc59197696" w:history="1">
        <w:r w:rsidR="00052DC0" w:rsidRPr="00993344">
          <w:rPr>
            <w:rStyle w:val="Hyperlink"/>
          </w:rPr>
          <w:t>Objective of the framework</w:t>
        </w:r>
        <w:r w:rsidR="00052DC0">
          <w:rPr>
            <w:webHidden/>
          </w:rPr>
          <w:tab/>
        </w:r>
        <w:r w:rsidR="00052DC0">
          <w:rPr>
            <w:webHidden/>
          </w:rPr>
          <w:fldChar w:fldCharType="begin"/>
        </w:r>
        <w:r w:rsidR="00052DC0">
          <w:rPr>
            <w:webHidden/>
          </w:rPr>
          <w:instrText xml:space="preserve"> PAGEREF _Toc59197696 \h </w:instrText>
        </w:r>
        <w:r w:rsidR="00052DC0">
          <w:rPr>
            <w:webHidden/>
          </w:rPr>
        </w:r>
        <w:r w:rsidR="00052DC0">
          <w:rPr>
            <w:webHidden/>
          </w:rPr>
          <w:fldChar w:fldCharType="separate"/>
        </w:r>
        <w:r w:rsidR="00DE471C">
          <w:rPr>
            <w:webHidden/>
          </w:rPr>
          <w:t>3</w:t>
        </w:r>
        <w:r w:rsidR="00052DC0">
          <w:rPr>
            <w:webHidden/>
          </w:rPr>
          <w:fldChar w:fldCharType="end"/>
        </w:r>
      </w:hyperlink>
    </w:p>
    <w:p w14:paraId="39B144A0" w14:textId="0572DC0E" w:rsidR="00052DC0" w:rsidRDefault="00541779">
      <w:pPr>
        <w:pStyle w:val="TOC2"/>
        <w:rPr>
          <w:rFonts w:asciiTheme="minorHAnsi" w:eastAsiaTheme="minorEastAsia" w:hAnsiTheme="minorHAnsi" w:cstheme="minorBidi"/>
          <w:color w:val="auto"/>
          <w:szCs w:val="22"/>
        </w:rPr>
      </w:pPr>
      <w:hyperlink w:anchor="_Toc59197697" w:history="1">
        <w:r w:rsidR="00052DC0" w:rsidRPr="00993344">
          <w:rPr>
            <w:rStyle w:val="Hyperlink"/>
          </w:rPr>
          <w:t>Scope of the framework</w:t>
        </w:r>
        <w:r w:rsidR="00052DC0">
          <w:rPr>
            <w:webHidden/>
          </w:rPr>
          <w:tab/>
        </w:r>
        <w:r w:rsidR="00052DC0">
          <w:rPr>
            <w:webHidden/>
          </w:rPr>
          <w:fldChar w:fldCharType="begin"/>
        </w:r>
        <w:r w:rsidR="00052DC0">
          <w:rPr>
            <w:webHidden/>
          </w:rPr>
          <w:instrText xml:space="preserve"> PAGEREF _Toc59197697 \h </w:instrText>
        </w:r>
        <w:r w:rsidR="00052DC0">
          <w:rPr>
            <w:webHidden/>
          </w:rPr>
        </w:r>
        <w:r w:rsidR="00052DC0">
          <w:rPr>
            <w:webHidden/>
          </w:rPr>
          <w:fldChar w:fldCharType="separate"/>
        </w:r>
        <w:r w:rsidR="00DE471C">
          <w:rPr>
            <w:webHidden/>
          </w:rPr>
          <w:t>3</w:t>
        </w:r>
        <w:r w:rsidR="00052DC0">
          <w:rPr>
            <w:webHidden/>
          </w:rPr>
          <w:fldChar w:fldCharType="end"/>
        </w:r>
      </w:hyperlink>
    </w:p>
    <w:p w14:paraId="60A2803F" w14:textId="5A903088" w:rsidR="00052DC0" w:rsidRDefault="00541779">
      <w:pPr>
        <w:pStyle w:val="TOC3"/>
        <w:rPr>
          <w:rFonts w:asciiTheme="minorHAnsi" w:eastAsiaTheme="minorEastAsia" w:hAnsiTheme="minorHAnsi" w:cstheme="minorBidi"/>
          <w:szCs w:val="22"/>
        </w:rPr>
      </w:pPr>
      <w:hyperlink w:anchor="_Toc59197698" w:history="1">
        <w:r w:rsidR="00052DC0" w:rsidRPr="00993344">
          <w:rPr>
            <w:rStyle w:val="Hyperlink"/>
          </w:rPr>
          <w:t>Figure 1: The Foreign Investment Compliance Framework</w:t>
        </w:r>
        <w:r w:rsidR="00052DC0">
          <w:rPr>
            <w:webHidden/>
          </w:rPr>
          <w:tab/>
        </w:r>
        <w:r w:rsidR="00052DC0">
          <w:rPr>
            <w:webHidden/>
          </w:rPr>
          <w:fldChar w:fldCharType="begin"/>
        </w:r>
        <w:r w:rsidR="00052DC0">
          <w:rPr>
            <w:webHidden/>
          </w:rPr>
          <w:instrText xml:space="preserve"> PAGEREF _Toc59197698 \h </w:instrText>
        </w:r>
        <w:r w:rsidR="00052DC0">
          <w:rPr>
            <w:webHidden/>
          </w:rPr>
        </w:r>
        <w:r w:rsidR="00052DC0">
          <w:rPr>
            <w:webHidden/>
          </w:rPr>
          <w:fldChar w:fldCharType="separate"/>
        </w:r>
        <w:r w:rsidR="00DE471C">
          <w:rPr>
            <w:webHidden/>
          </w:rPr>
          <w:t>3</w:t>
        </w:r>
        <w:r w:rsidR="00052DC0">
          <w:rPr>
            <w:webHidden/>
          </w:rPr>
          <w:fldChar w:fldCharType="end"/>
        </w:r>
      </w:hyperlink>
    </w:p>
    <w:p w14:paraId="551ECDB9" w14:textId="4841EB80" w:rsidR="00052DC0" w:rsidRDefault="00541779">
      <w:pPr>
        <w:pStyle w:val="TOC2"/>
        <w:rPr>
          <w:rFonts w:asciiTheme="minorHAnsi" w:eastAsiaTheme="minorEastAsia" w:hAnsiTheme="minorHAnsi" w:cstheme="minorBidi"/>
          <w:color w:val="auto"/>
          <w:szCs w:val="22"/>
        </w:rPr>
      </w:pPr>
      <w:hyperlink w:anchor="_Toc59197699" w:history="1">
        <w:r w:rsidR="00052DC0" w:rsidRPr="00993344">
          <w:rPr>
            <w:rStyle w:val="Hyperlink"/>
          </w:rPr>
          <w:t>Foreign investment compliance roles and responsibilities</w:t>
        </w:r>
        <w:r w:rsidR="00052DC0">
          <w:rPr>
            <w:webHidden/>
          </w:rPr>
          <w:tab/>
        </w:r>
        <w:r w:rsidR="00052DC0">
          <w:rPr>
            <w:webHidden/>
          </w:rPr>
          <w:fldChar w:fldCharType="begin"/>
        </w:r>
        <w:r w:rsidR="00052DC0">
          <w:rPr>
            <w:webHidden/>
          </w:rPr>
          <w:instrText xml:space="preserve"> PAGEREF _Toc59197699 \h </w:instrText>
        </w:r>
        <w:r w:rsidR="00052DC0">
          <w:rPr>
            <w:webHidden/>
          </w:rPr>
        </w:r>
        <w:r w:rsidR="00052DC0">
          <w:rPr>
            <w:webHidden/>
          </w:rPr>
          <w:fldChar w:fldCharType="separate"/>
        </w:r>
        <w:r w:rsidR="00DE471C">
          <w:rPr>
            <w:webHidden/>
          </w:rPr>
          <w:t>4</w:t>
        </w:r>
        <w:r w:rsidR="00052DC0">
          <w:rPr>
            <w:webHidden/>
          </w:rPr>
          <w:fldChar w:fldCharType="end"/>
        </w:r>
      </w:hyperlink>
    </w:p>
    <w:p w14:paraId="19C70E12" w14:textId="72ABC096" w:rsidR="00052DC0" w:rsidRDefault="00541779">
      <w:pPr>
        <w:pStyle w:val="TOC2"/>
        <w:rPr>
          <w:rFonts w:asciiTheme="minorHAnsi" w:eastAsiaTheme="minorEastAsia" w:hAnsiTheme="minorHAnsi" w:cstheme="minorBidi"/>
          <w:color w:val="auto"/>
          <w:szCs w:val="22"/>
        </w:rPr>
      </w:pPr>
      <w:hyperlink w:anchor="_Toc59197700" w:history="1">
        <w:r w:rsidR="00052DC0" w:rsidRPr="00993344">
          <w:rPr>
            <w:rStyle w:val="Hyperlink"/>
          </w:rPr>
          <w:t>How does Treasury undertake compliance activities under the framework?</w:t>
        </w:r>
        <w:r w:rsidR="00052DC0">
          <w:rPr>
            <w:webHidden/>
          </w:rPr>
          <w:tab/>
        </w:r>
        <w:r w:rsidR="00052DC0">
          <w:rPr>
            <w:webHidden/>
          </w:rPr>
          <w:fldChar w:fldCharType="begin"/>
        </w:r>
        <w:r w:rsidR="00052DC0">
          <w:rPr>
            <w:webHidden/>
          </w:rPr>
          <w:instrText xml:space="preserve"> PAGEREF _Toc59197700 \h </w:instrText>
        </w:r>
        <w:r w:rsidR="00052DC0">
          <w:rPr>
            <w:webHidden/>
          </w:rPr>
        </w:r>
        <w:r w:rsidR="00052DC0">
          <w:rPr>
            <w:webHidden/>
          </w:rPr>
          <w:fldChar w:fldCharType="separate"/>
        </w:r>
        <w:r w:rsidR="00DE471C">
          <w:rPr>
            <w:webHidden/>
          </w:rPr>
          <w:t>4</w:t>
        </w:r>
        <w:r w:rsidR="00052DC0">
          <w:rPr>
            <w:webHidden/>
          </w:rPr>
          <w:fldChar w:fldCharType="end"/>
        </w:r>
      </w:hyperlink>
    </w:p>
    <w:p w14:paraId="0473968B" w14:textId="4C82014C" w:rsidR="00052DC0" w:rsidRDefault="00541779">
      <w:pPr>
        <w:pStyle w:val="TOC2"/>
        <w:rPr>
          <w:rFonts w:asciiTheme="minorHAnsi" w:eastAsiaTheme="minorEastAsia" w:hAnsiTheme="minorHAnsi" w:cstheme="minorBidi"/>
          <w:color w:val="auto"/>
          <w:szCs w:val="22"/>
        </w:rPr>
      </w:pPr>
      <w:hyperlink w:anchor="_Toc59197701" w:history="1">
        <w:r w:rsidR="00052DC0" w:rsidRPr="00993344">
          <w:rPr>
            <w:rStyle w:val="Hyperlink"/>
          </w:rPr>
          <w:t>How does Treasury respond to non-compliance?</w:t>
        </w:r>
        <w:r w:rsidR="00052DC0">
          <w:rPr>
            <w:webHidden/>
          </w:rPr>
          <w:tab/>
        </w:r>
        <w:r w:rsidR="00052DC0">
          <w:rPr>
            <w:webHidden/>
          </w:rPr>
          <w:fldChar w:fldCharType="begin"/>
        </w:r>
        <w:r w:rsidR="00052DC0">
          <w:rPr>
            <w:webHidden/>
          </w:rPr>
          <w:instrText xml:space="preserve"> PAGEREF _Toc59197701 \h </w:instrText>
        </w:r>
        <w:r w:rsidR="00052DC0">
          <w:rPr>
            <w:webHidden/>
          </w:rPr>
        </w:r>
        <w:r w:rsidR="00052DC0">
          <w:rPr>
            <w:webHidden/>
          </w:rPr>
          <w:fldChar w:fldCharType="separate"/>
        </w:r>
        <w:r w:rsidR="00DE471C">
          <w:rPr>
            <w:webHidden/>
          </w:rPr>
          <w:t>5</w:t>
        </w:r>
        <w:r w:rsidR="00052DC0">
          <w:rPr>
            <w:webHidden/>
          </w:rPr>
          <w:fldChar w:fldCharType="end"/>
        </w:r>
      </w:hyperlink>
    </w:p>
    <w:p w14:paraId="61630958" w14:textId="567F6E52" w:rsidR="00052DC0" w:rsidRDefault="00541779">
      <w:pPr>
        <w:pStyle w:val="TOC2"/>
        <w:rPr>
          <w:rFonts w:asciiTheme="minorHAnsi" w:eastAsiaTheme="minorEastAsia" w:hAnsiTheme="minorHAnsi" w:cstheme="minorBidi"/>
          <w:color w:val="auto"/>
          <w:szCs w:val="22"/>
        </w:rPr>
      </w:pPr>
      <w:hyperlink w:anchor="_Toc59197702" w:history="1">
        <w:r w:rsidR="00052DC0" w:rsidRPr="00993344">
          <w:rPr>
            <w:rStyle w:val="Hyperlink"/>
          </w:rPr>
          <w:t>Further information</w:t>
        </w:r>
        <w:r w:rsidR="00052DC0">
          <w:rPr>
            <w:webHidden/>
          </w:rPr>
          <w:tab/>
        </w:r>
        <w:r w:rsidR="00052DC0">
          <w:rPr>
            <w:webHidden/>
          </w:rPr>
          <w:fldChar w:fldCharType="begin"/>
        </w:r>
        <w:r w:rsidR="00052DC0">
          <w:rPr>
            <w:webHidden/>
          </w:rPr>
          <w:instrText xml:space="preserve"> PAGEREF _Toc59197702 \h </w:instrText>
        </w:r>
        <w:r w:rsidR="00052DC0">
          <w:rPr>
            <w:webHidden/>
          </w:rPr>
        </w:r>
        <w:r w:rsidR="00052DC0">
          <w:rPr>
            <w:webHidden/>
          </w:rPr>
          <w:fldChar w:fldCharType="separate"/>
        </w:r>
        <w:r w:rsidR="00DE471C">
          <w:rPr>
            <w:webHidden/>
          </w:rPr>
          <w:t>5</w:t>
        </w:r>
        <w:r w:rsidR="00052DC0">
          <w:rPr>
            <w:webHidden/>
          </w:rPr>
          <w:fldChar w:fldCharType="end"/>
        </w:r>
      </w:hyperlink>
    </w:p>
    <w:p w14:paraId="2F6A4D4F" w14:textId="40B31087" w:rsidR="00052DC0" w:rsidRDefault="00541779">
      <w:pPr>
        <w:pStyle w:val="TOC2"/>
        <w:rPr>
          <w:rFonts w:asciiTheme="minorHAnsi" w:eastAsiaTheme="minorEastAsia" w:hAnsiTheme="minorHAnsi" w:cstheme="minorBidi"/>
          <w:color w:val="auto"/>
          <w:szCs w:val="22"/>
        </w:rPr>
      </w:pPr>
      <w:hyperlink w:anchor="_Toc59197703" w:history="1">
        <w:r w:rsidR="00052DC0" w:rsidRPr="00993344">
          <w:rPr>
            <w:rStyle w:val="Hyperlink"/>
          </w:rPr>
          <w:t>Related documents</w:t>
        </w:r>
        <w:r w:rsidR="00052DC0">
          <w:rPr>
            <w:webHidden/>
          </w:rPr>
          <w:tab/>
        </w:r>
        <w:r w:rsidR="00052DC0">
          <w:rPr>
            <w:webHidden/>
          </w:rPr>
          <w:fldChar w:fldCharType="begin"/>
        </w:r>
        <w:r w:rsidR="00052DC0">
          <w:rPr>
            <w:webHidden/>
          </w:rPr>
          <w:instrText xml:space="preserve"> PAGEREF _Toc59197703 \h </w:instrText>
        </w:r>
        <w:r w:rsidR="00052DC0">
          <w:rPr>
            <w:webHidden/>
          </w:rPr>
        </w:r>
        <w:r w:rsidR="00052DC0">
          <w:rPr>
            <w:webHidden/>
          </w:rPr>
          <w:fldChar w:fldCharType="separate"/>
        </w:r>
        <w:r w:rsidR="00DE471C">
          <w:rPr>
            <w:webHidden/>
          </w:rPr>
          <w:t>5</w:t>
        </w:r>
        <w:r w:rsidR="00052DC0">
          <w:rPr>
            <w:webHidden/>
          </w:rPr>
          <w:fldChar w:fldCharType="end"/>
        </w:r>
      </w:hyperlink>
    </w:p>
    <w:p w14:paraId="1C24AF76" w14:textId="4FAC3719" w:rsidR="00052DC0" w:rsidRDefault="00541779">
      <w:pPr>
        <w:pStyle w:val="TOC1"/>
        <w:rPr>
          <w:rFonts w:asciiTheme="minorHAnsi" w:eastAsiaTheme="minorEastAsia" w:hAnsiTheme="minorHAnsi" w:cstheme="minorBidi"/>
          <w:b w:val="0"/>
          <w:color w:val="auto"/>
        </w:rPr>
      </w:pPr>
      <w:hyperlink w:anchor="_Toc59197704" w:history="1">
        <w:r w:rsidR="00052DC0" w:rsidRPr="00993344">
          <w:rPr>
            <w:rStyle w:val="Hyperlink"/>
          </w:rPr>
          <w:t xml:space="preserve">Attachment A: Offences and penalties under the </w:t>
        </w:r>
        <w:r w:rsidR="00052DC0" w:rsidRPr="00993344">
          <w:rPr>
            <w:rStyle w:val="Hyperlink"/>
            <w:i/>
          </w:rPr>
          <w:t>Foreign Acquisitions and Takeovers Act 1975</w:t>
        </w:r>
        <w:r w:rsidR="00052DC0" w:rsidRPr="00993344">
          <w:rPr>
            <w:rStyle w:val="Hyperlink"/>
          </w:rPr>
          <w:t xml:space="preserve"> (except in relation to residential real estate)</w:t>
        </w:r>
        <w:r w:rsidR="00052DC0">
          <w:rPr>
            <w:webHidden/>
          </w:rPr>
          <w:tab/>
        </w:r>
        <w:r w:rsidR="00052DC0">
          <w:rPr>
            <w:webHidden/>
          </w:rPr>
          <w:fldChar w:fldCharType="begin"/>
        </w:r>
        <w:r w:rsidR="00052DC0">
          <w:rPr>
            <w:webHidden/>
          </w:rPr>
          <w:instrText xml:space="preserve"> PAGEREF _Toc59197704 \h </w:instrText>
        </w:r>
        <w:r w:rsidR="00052DC0">
          <w:rPr>
            <w:webHidden/>
          </w:rPr>
        </w:r>
        <w:r w:rsidR="00052DC0">
          <w:rPr>
            <w:webHidden/>
          </w:rPr>
          <w:fldChar w:fldCharType="separate"/>
        </w:r>
        <w:r w:rsidR="00DE471C">
          <w:rPr>
            <w:webHidden/>
          </w:rPr>
          <w:t>6</w:t>
        </w:r>
        <w:r w:rsidR="00052DC0">
          <w:rPr>
            <w:webHidden/>
          </w:rPr>
          <w:fldChar w:fldCharType="end"/>
        </w:r>
      </w:hyperlink>
    </w:p>
    <w:p w14:paraId="466BFA96" w14:textId="253FF7E3" w:rsidR="00052DC0" w:rsidRDefault="00541779">
      <w:pPr>
        <w:pStyle w:val="TOC1"/>
        <w:rPr>
          <w:rFonts w:asciiTheme="minorHAnsi" w:eastAsiaTheme="minorEastAsia" w:hAnsiTheme="minorHAnsi" w:cstheme="minorBidi"/>
          <w:b w:val="0"/>
          <w:color w:val="auto"/>
        </w:rPr>
      </w:pPr>
      <w:hyperlink w:anchor="_Toc59197705" w:history="1">
        <w:r w:rsidR="00052DC0" w:rsidRPr="00993344">
          <w:rPr>
            <w:rStyle w:val="Hyperlink"/>
          </w:rPr>
          <w:t xml:space="preserve">Attachment B: Overview of enforcement powers under the </w:t>
        </w:r>
        <w:r w:rsidR="00052DC0" w:rsidRPr="00993344">
          <w:rPr>
            <w:rStyle w:val="Hyperlink"/>
            <w:i/>
          </w:rPr>
          <w:t xml:space="preserve">Foreign Acquisitions and </w:t>
        </w:r>
        <w:r w:rsidR="00E00D24">
          <w:rPr>
            <w:rStyle w:val="Hyperlink"/>
            <w:i/>
          </w:rPr>
          <w:br/>
        </w:r>
        <w:r w:rsidR="00052DC0" w:rsidRPr="00993344">
          <w:rPr>
            <w:rStyle w:val="Hyperlink"/>
            <w:i/>
          </w:rPr>
          <w:t>Takeovers Act 1975</w:t>
        </w:r>
        <w:r w:rsidR="00052DC0">
          <w:rPr>
            <w:webHidden/>
          </w:rPr>
          <w:tab/>
        </w:r>
        <w:r w:rsidR="00052DC0">
          <w:rPr>
            <w:webHidden/>
          </w:rPr>
          <w:fldChar w:fldCharType="begin"/>
        </w:r>
        <w:r w:rsidR="00052DC0">
          <w:rPr>
            <w:webHidden/>
          </w:rPr>
          <w:instrText xml:space="preserve"> PAGEREF _Toc59197705 \h </w:instrText>
        </w:r>
        <w:r w:rsidR="00052DC0">
          <w:rPr>
            <w:webHidden/>
          </w:rPr>
        </w:r>
        <w:r w:rsidR="00052DC0">
          <w:rPr>
            <w:webHidden/>
          </w:rPr>
          <w:fldChar w:fldCharType="separate"/>
        </w:r>
        <w:r w:rsidR="00DE471C">
          <w:rPr>
            <w:webHidden/>
          </w:rPr>
          <w:t>10</w:t>
        </w:r>
        <w:r w:rsidR="00052DC0">
          <w:rPr>
            <w:webHidden/>
          </w:rPr>
          <w:fldChar w:fldCharType="end"/>
        </w:r>
      </w:hyperlink>
    </w:p>
    <w:p w14:paraId="255E1701" w14:textId="77777777" w:rsidR="00F836F9" w:rsidRDefault="000E0B74" w:rsidP="0056582C">
      <w:pPr>
        <w:pStyle w:val="SingleParagraph"/>
        <w:ind w:right="-2"/>
        <w:sectPr w:rsidR="00F836F9" w:rsidSect="003C24B4">
          <w:headerReference w:type="even" r:id="rId21"/>
          <w:headerReference w:type="default" r:id="rId22"/>
          <w:footerReference w:type="even" r:id="rId23"/>
          <w:headerReference w:type="first" r:id="rId24"/>
          <w:footerReference w:type="first" r:id="rId25"/>
          <w:pgSz w:w="11906" w:h="16838" w:code="9"/>
          <w:pgMar w:top="1418" w:right="1418" w:bottom="1418" w:left="1418" w:header="709" w:footer="709" w:gutter="0"/>
          <w:pgNumType w:fmt="lowerRoman"/>
          <w:cols w:space="708"/>
          <w:docGrid w:linePitch="360"/>
        </w:sectPr>
      </w:pPr>
      <w:r>
        <w:fldChar w:fldCharType="end"/>
      </w:r>
      <w:bookmarkStart w:id="2" w:name="_Toc432067103"/>
      <w:bookmarkStart w:id="3" w:name="_Toc452635030"/>
    </w:p>
    <w:p w14:paraId="25A55390" w14:textId="38439898" w:rsidR="000F75FA" w:rsidRPr="000F75FA" w:rsidRDefault="000F75FA" w:rsidP="000F75FA">
      <w:pPr>
        <w:pStyle w:val="Heading1"/>
      </w:pPr>
      <w:bookmarkStart w:id="4" w:name="_Toc59197695"/>
      <w:bookmarkEnd w:id="2"/>
      <w:bookmarkEnd w:id="3"/>
      <w:r w:rsidRPr="000F75FA">
        <w:lastRenderedPageBreak/>
        <w:t>Foreign investment</w:t>
      </w:r>
      <w:r w:rsidR="00052DC0">
        <w:t>:</w:t>
      </w:r>
      <w:r w:rsidRPr="000F75FA">
        <w:t xml:space="preserve"> </w:t>
      </w:r>
      <w:r w:rsidR="00052DC0">
        <w:t>C</w:t>
      </w:r>
      <w:r w:rsidRPr="000F75FA">
        <w:t>ompliance framework policy statement</w:t>
      </w:r>
      <w:bookmarkEnd w:id="4"/>
      <w:r w:rsidRPr="000F75FA">
        <w:t xml:space="preserve"> </w:t>
      </w:r>
    </w:p>
    <w:p w14:paraId="528378C1" w14:textId="77777777" w:rsidR="000F75FA" w:rsidRPr="000F75FA" w:rsidRDefault="000F75FA" w:rsidP="000F75FA">
      <w:pPr>
        <w:pStyle w:val="Heading2"/>
      </w:pPr>
      <w:bookmarkStart w:id="5" w:name="_Toc59197696"/>
      <w:r w:rsidRPr="000F75FA">
        <w:t>Objective of the framework</w:t>
      </w:r>
      <w:bookmarkEnd w:id="5"/>
    </w:p>
    <w:p w14:paraId="18BC5BDB" w14:textId="77777777" w:rsidR="000F75FA" w:rsidRPr="000F75FA" w:rsidRDefault="000F75FA" w:rsidP="000F75FA">
      <w:r w:rsidRPr="000F75FA">
        <w:t>Maintaining strong compliance with foreign investment legislation is a priority for the Australian Government, to ensure that foreign investment is not contrary to the national interest (or national security, as the case requires).</w:t>
      </w:r>
    </w:p>
    <w:p w14:paraId="0D1CAEF0" w14:textId="77777777" w:rsidR="000F75FA" w:rsidRPr="000F75FA" w:rsidRDefault="000F75FA" w:rsidP="000F75FA">
      <w:r w:rsidRPr="000F75FA">
        <w:t xml:space="preserve">The Foreign Investment Compliance Framework (the framework) has been developed to provide strengthened assurance that foreign investors are meeting their compliance obligations, including by supporting foreign investors to understand their compliance obligations, while minimising the regulatory burden. </w:t>
      </w:r>
    </w:p>
    <w:p w14:paraId="206FE084" w14:textId="77777777" w:rsidR="000F75FA" w:rsidRPr="000F75FA" w:rsidRDefault="000F75FA" w:rsidP="000F75FA">
      <w:pPr>
        <w:pStyle w:val="Heading2"/>
      </w:pPr>
      <w:bookmarkStart w:id="6" w:name="_Toc59197697"/>
      <w:r w:rsidRPr="000F75FA">
        <w:t>Scope of the framework</w:t>
      </w:r>
      <w:bookmarkEnd w:id="6"/>
    </w:p>
    <w:p w14:paraId="7F04EBAF" w14:textId="77777777" w:rsidR="006C5B73" w:rsidRDefault="000F75FA" w:rsidP="002C48DE">
      <w:r w:rsidRPr="000F75FA">
        <w:t>The framework outlines the foreign investment compliance and enforcement objectives and draws together the different compliance and enforcement activities undertaken by Treasury and other entities, in the administration and support of Australia’s foreign investment regime. This document provides an overview of the framework, roles and responsibilities, and Treasury’s approach to compliance and enforcement activities within its area of responsibility.</w:t>
      </w:r>
    </w:p>
    <w:p w14:paraId="7AD2A091" w14:textId="77777777" w:rsidR="000F75FA" w:rsidRDefault="000F75FA" w:rsidP="000F75FA">
      <w:pPr>
        <w:pStyle w:val="ChartMainHeading"/>
      </w:pPr>
      <w:bookmarkStart w:id="7" w:name="_Toc59197698"/>
      <w:r>
        <w:t>Figure 1: The Foreign Investment Compliance Framework</w:t>
      </w:r>
      <w:bookmarkEnd w:id="7"/>
    </w:p>
    <w:tbl>
      <w:tblPr>
        <w:tblW w:w="5000" w:type="pct"/>
        <w:shd w:val="clear" w:color="auto" w:fill="FDE8D1" w:themeFill="accent4" w:themeFillTint="33"/>
        <w:tblLayout w:type="fixed"/>
        <w:tblLook w:val="0000" w:firstRow="0" w:lastRow="0" w:firstColumn="0" w:lastColumn="0" w:noHBand="0" w:noVBand="0"/>
      </w:tblPr>
      <w:tblGrid>
        <w:gridCol w:w="1650"/>
        <w:gridCol w:w="605"/>
        <w:gridCol w:w="2257"/>
        <w:gridCol w:w="2256"/>
        <w:gridCol w:w="2258"/>
      </w:tblGrid>
      <w:tr w:rsidR="000F75FA" w:rsidRPr="002054BA" w14:paraId="6C1050B1" w14:textId="77777777" w:rsidTr="002C48DE">
        <w:trPr>
          <w:trHeight w:val="159"/>
        </w:trPr>
        <w:tc>
          <w:tcPr>
            <w:tcW w:w="9127" w:type="dxa"/>
            <w:gridSpan w:val="5"/>
            <w:shd w:val="clear" w:color="auto" w:fill="002C47" w:themeFill="accent1"/>
          </w:tcPr>
          <w:p w14:paraId="7D66CE96" w14:textId="77777777" w:rsidR="000F75FA" w:rsidRPr="000F75FA" w:rsidRDefault="000F75FA" w:rsidP="00205817">
            <w:pPr>
              <w:autoSpaceDE w:val="0"/>
              <w:autoSpaceDN w:val="0"/>
              <w:adjustRightInd w:val="0"/>
              <w:spacing w:after="0"/>
              <w:jc w:val="center"/>
              <w:rPr>
                <w:rFonts w:cs="Calibri"/>
                <w:color w:val="FFFFFF" w:themeColor="background1"/>
                <w:sz w:val="32"/>
                <w:szCs w:val="32"/>
              </w:rPr>
            </w:pPr>
            <w:r w:rsidRPr="000F75FA">
              <w:rPr>
                <w:rFonts w:cs="Calibri"/>
                <w:b/>
                <w:bCs/>
                <w:color w:val="FFFFFF" w:themeColor="background1"/>
                <w:sz w:val="32"/>
                <w:szCs w:val="32"/>
              </w:rPr>
              <w:t>FOREIGN INVESTMENT COMPLIANCE FRAMEWORK</w:t>
            </w:r>
          </w:p>
        </w:tc>
      </w:tr>
      <w:tr w:rsidR="000F75FA" w:rsidRPr="002054BA" w14:paraId="0E7F83DA" w14:textId="77777777" w:rsidTr="002C48DE">
        <w:trPr>
          <w:trHeight w:val="572"/>
        </w:trPr>
        <w:tc>
          <w:tcPr>
            <w:tcW w:w="9127" w:type="dxa"/>
            <w:gridSpan w:val="5"/>
            <w:shd w:val="clear" w:color="auto" w:fill="F2F2F2" w:themeFill="background1" w:themeFillShade="F2"/>
          </w:tcPr>
          <w:p w14:paraId="48F48E69" w14:textId="77777777" w:rsidR="000F75FA" w:rsidRPr="002054BA" w:rsidRDefault="000F75FA" w:rsidP="00D31D6C">
            <w:pPr>
              <w:autoSpaceDE w:val="0"/>
              <w:autoSpaceDN w:val="0"/>
              <w:adjustRightInd w:val="0"/>
              <w:spacing w:before="40" w:after="40"/>
              <w:jc w:val="center"/>
              <w:rPr>
                <w:rFonts w:cs="Calibri"/>
                <w:color w:val="000000"/>
              </w:rPr>
            </w:pPr>
            <w:r w:rsidRPr="002054BA">
              <w:rPr>
                <w:rFonts w:cs="Calibri"/>
                <w:b/>
                <w:bCs/>
                <w:i/>
                <w:iCs/>
                <w:color w:val="000000"/>
              </w:rPr>
              <w:t>Foreign Acquisitions and Takeovers Act 1975</w:t>
            </w:r>
          </w:p>
          <w:p w14:paraId="69083293" w14:textId="77777777" w:rsidR="000F75FA" w:rsidRDefault="000F75FA" w:rsidP="00D31D6C">
            <w:pPr>
              <w:autoSpaceDE w:val="0"/>
              <w:autoSpaceDN w:val="0"/>
              <w:adjustRightInd w:val="0"/>
              <w:spacing w:before="40" w:after="40"/>
              <w:jc w:val="center"/>
              <w:rPr>
                <w:rFonts w:cs="Calibri"/>
                <w:b/>
                <w:bCs/>
                <w:i/>
                <w:iCs/>
                <w:color w:val="000000"/>
              </w:rPr>
            </w:pPr>
            <w:r w:rsidRPr="002054BA">
              <w:rPr>
                <w:rFonts w:cs="Calibri"/>
                <w:b/>
                <w:bCs/>
                <w:i/>
                <w:iCs/>
                <w:color w:val="000000"/>
              </w:rPr>
              <w:t>Foreign Acquisitions and Takeovers Regulation 2015</w:t>
            </w:r>
          </w:p>
          <w:p w14:paraId="7A8928D6" w14:textId="77777777" w:rsidR="000F75FA" w:rsidRPr="002054BA" w:rsidRDefault="000F75FA" w:rsidP="00D31D6C">
            <w:pPr>
              <w:autoSpaceDE w:val="0"/>
              <w:autoSpaceDN w:val="0"/>
              <w:adjustRightInd w:val="0"/>
              <w:spacing w:before="40" w:after="40"/>
              <w:jc w:val="center"/>
              <w:rPr>
                <w:rFonts w:cs="Calibri"/>
                <w:color w:val="000000"/>
              </w:rPr>
            </w:pPr>
            <w:r>
              <w:rPr>
                <w:rFonts w:cs="Calibri"/>
                <w:b/>
                <w:bCs/>
                <w:i/>
                <w:iCs/>
                <w:color w:val="000000"/>
              </w:rPr>
              <w:t xml:space="preserve">Regulatory Powers (Standard Provisions) Act 2014 </w:t>
            </w:r>
          </w:p>
          <w:p w14:paraId="7AF0881C" w14:textId="77777777" w:rsidR="000F75FA" w:rsidRPr="002054BA" w:rsidRDefault="000F75FA" w:rsidP="00D31D6C">
            <w:pPr>
              <w:autoSpaceDE w:val="0"/>
              <w:autoSpaceDN w:val="0"/>
              <w:adjustRightInd w:val="0"/>
              <w:spacing w:before="40" w:after="40"/>
              <w:jc w:val="center"/>
              <w:rPr>
                <w:rFonts w:cs="Calibri"/>
                <w:color w:val="000000"/>
              </w:rPr>
            </w:pPr>
            <w:r w:rsidRPr="002054BA">
              <w:rPr>
                <w:rFonts w:cs="Calibri"/>
                <w:b/>
                <w:bCs/>
                <w:i/>
                <w:iCs/>
                <w:color w:val="000000"/>
              </w:rPr>
              <w:t>Australia’s Foreign Investment Policy</w:t>
            </w:r>
          </w:p>
          <w:p w14:paraId="78A28970" w14:textId="77777777" w:rsidR="000F75FA" w:rsidRPr="002054BA" w:rsidRDefault="000F75FA" w:rsidP="00D31D6C">
            <w:pPr>
              <w:autoSpaceDE w:val="0"/>
              <w:autoSpaceDN w:val="0"/>
              <w:adjustRightInd w:val="0"/>
              <w:spacing w:before="40" w:after="40"/>
              <w:jc w:val="center"/>
              <w:rPr>
                <w:rFonts w:cs="Calibri"/>
                <w:color w:val="000000"/>
              </w:rPr>
            </w:pPr>
            <w:r w:rsidRPr="002054BA">
              <w:rPr>
                <w:rFonts w:cs="Calibri"/>
                <w:b/>
                <w:bCs/>
                <w:i/>
                <w:iCs/>
                <w:color w:val="000000"/>
              </w:rPr>
              <w:t>Register of Foreign Ownership of Water or Agricultural Land Act 2015</w:t>
            </w:r>
          </w:p>
        </w:tc>
      </w:tr>
      <w:tr w:rsidR="000F75FA" w:rsidRPr="000F75FA" w14:paraId="7BFFBB68" w14:textId="77777777" w:rsidTr="002C48DE">
        <w:trPr>
          <w:trHeight w:val="120"/>
        </w:trPr>
        <w:tc>
          <w:tcPr>
            <w:tcW w:w="9127" w:type="dxa"/>
            <w:gridSpan w:val="5"/>
            <w:shd w:val="clear" w:color="auto" w:fill="3A6FAF" w:themeFill="accent2"/>
          </w:tcPr>
          <w:p w14:paraId="4CF206E7" w14:textId="77777777" w:rsidR="000F75FA" w:rsidRPr="000F75FA" w:rsidRDefault="000F75FA" w:rsidP="000F75FA">
            <w:pPr>
              <w:autoSpaceDE w:val="0"/>
              <w:autoSpaceDN w:val="0"/>
              <w:adjustRightInd w:val="0"/>
              <w:jc w:val="center"/>
              <w:rPr>
                <w:rFonts w:cs="Calibri"/>
                <w:color w:val="FFFFFF" w:themeColor="background1"/>
                <w:sz w:val="23"/>
                <w:szCs w:val="23"/>
              </w:rPr>
            </w:pPr>
            <w:r w:rsidRPr="000F75FA">
              <w:rPr>
                <w:rFonts w:cs="Calibri"/>
                <w:b/>
                <w:bCs/>
                <w:color w:val="FFFFFF" w:themeColor="background1"/>
                <w:sz w:val="23"/>
                <w:szCs w:val="23"/>
              </w:rPr>
              <w:t>COMPLIANCE AND ENFORCEMENT</w:t>
            </w:r>
          </w:p>
        </w:tc>
      </w:tr>
      <w:tr w:rsidR="000F75FA" w:rsidRPr="002054BA" w14:paraId="6BBA72DB" w14:textId="77777777" w:rsidTr="002C48DE">
        <w:trPr>
          <w:trHeight w:val="271"/>
        </w:trPr>
        <w:tc>
          <w:tcPr>
            <w:tcW w:w="1668" w:type="dxa"/>
            <w:shd w:val="clear" w:color="auto" w:fill="F2F2F2" w:themeFill="background1" w:themeFillShade="F2"/>
          </w:tcPr>
          <w:p w14:paraId="1CC58FC7" w14:textId="77777777" w:rsidR="000F75FA" w:rsidRPr="002054BA" w:rsidRDefault="000F75FA" w:rsidP="000F75FA">
            <w:pPr>
              <w:autoSpaceDE w:val="0"/>
              <w:autoSpaceDN w:val="0"/>
              <w:adjustRightInd w:val="0"/>
              <w:rPr>
                <w:rFonts w:cs="Calibri"/>
                <w:color w:val="000000"/>
              </w:rPr>
            </w:pPr>
            <w:r w:rsidRPr="002054BA">
              <w:rPr>
                <w:rFonts w:cs="Calibri"/>
                <w:b/>
                <w:bCs/>
                <w:color w:val="000000"/>
              </w:rPr>
              <w:t xml:space="preserve">Objective </w:t>
            </w:r>
          </w:p>
        </w:tc>
        <w:tc>
          <w:tcPr>
            <w:tcW w:w="7459" w:type="dxa"/>
            <w:gridSpan w:val="4"/>
            <w:shd w:val="clear" w:color="auto" w:fill="F2F2F2" w:themeFill="background1" w:themeFillShade="F2"/>
          </w:tcPr>
          <w:p w14:paraId="622976AB" w14:textId="77777777" w:rsidR="000F75FA" w:rsidRPr="002054BA" w:rsidRDefault="000F75FA" w:rsidP="000F75FA">
            <w:pPr>
              <w:autoSpaceDE w:val="0"/>
              <w:autoSpaceDN w:val="0"/>
              <w:adjustRightInd w:val="0"/>
              <w:rPr>
                <w:rFonts w:cs="Calibri"/>
                <w:b/>
                <w:color w:val="000000"/>
              </w:rPr>
            </w:pPr>
            <w:r w:rsidRPr="002054BA">
              <w:rPr>
                <w:rFonts w:cs="Calibri"/>
                <w:b/>
                <w:bCs/>
                <w:color w:val="000000"/>
              </w:rPr>
              <w:t>To provide strengthened assurance that foreign investors are meeting their obligations while minimising the regulatory burden</w:t>
            </w:r>
          </w:p>
        </w:tc>
      </w:tr>
      <w:tr w:rsidR="000F75FA" w:rsidRPr="000F75FA" w14:paraId="115CB9D9" w14:textId="77777777" w:rsidTr="002C48DE">
        <w:trPr>
          <w:trHeight w:val="120"/>
        </w:trPr>
        <w:tc>
          <w:tcPr>
            <w:tcW w:w="9127" w:type="dxa"/>
            <w:gridSpan w:val="5"/>
            <w:shd w:val="clear" w:color="auto" w:fill="00827F" w:themeFill="accent3"/>
          </w:tcPr>
          <w:p w14:paraId="6AD53B9C" w14:textId="77777777" w:rsidR="000F75FA" w:rsidRPr="000F75FA" w:rsidRDefault="000F75FA" w:rsidP="000F75FA">
            <w:pPr>
              <w:autoSpaceDE w:val="0"/>
              <w:autoSpaceDN w:val="0"/>
              <w:adjustRightInd w:val="0"/>
              <w:jc w:val="center"/>
              <w:rPr>
                <w:rFonts w:cs="Calibri"/>
                <w:color w:val="FFFFFF" w:themeColor="background1"/>
                <w:sz w:val="23"/>
                <w:szCs w:val="23"/>
              </w:rPr>
            </w:pPr>
            <w:r w:rsidRPr="000F75FA">
              <w:rPr>
                <w:rFonts w:cs="Calibri"/>
                <w:b/>
                <w:bCs/>
                <w:color w:val="FFFFFF" w:themeColor="background1"/>
                <w:sz w:val="23"/>
                <w:szCs w:val="23"/>
              </w:rPr>
              <w:t>HOW</w:t>
            </w:r>
          </w:p>
        </w:tc>
      </w:tr>
      <w:tr w:rsidR="000F75FA" w:rsidRPr="002054BA" w14:paraId="67B93748" w14:textId="77777777" w:rsidTr="002C48DE">
        <w:trPr>
          <w:trHeight w:val="510"/>
        </w:trPr>
        <w:tc>
          <w:tcPr>
            <w:tcW w:w="2281" w:type="dxa"/>
            <w:gridSpan w:val="2"/>
            <w:shd w:val="clear" w:color="auto" w:fill="F2F2F2" w:themeFill="background1" w:themeFillShade="F2"/>
          </w:tcPr>
          <w:p w14:paraId="2D527C25" w14:textId="77777777" w:rsidR="000F75FA" w:rsidRPr="002054BA" w:rsidRDefault="000F75FA" w:rsidP="000F75FA">
            <w:pPr>
              <w:autoSpaceDE w:val="0"/>
              <w:autoSpaceDN w:val="0"/>
              <w:adjustRightInd w:val="0"/>
              <w:rPr>
                <w:rFonts w:cs="Calibri"/>
                <w:color w:val="000000"/>
                <w:sz w:val="20"/>
              </w:rPr>
            </w:pPr>
            <w:r>
              <w:rPr>
                <w:rFonts w:cs="Calibri"/>
                <w:b/>
                <w:bCs/>
                <w:color w:val="000000"/>
                <w:sz w:val="20"/>
              </w:rPr>
              <w:t>EDUCATION</w:t>
            </w:r>
          </w:p>
          <w:p w14:paraId="507167C4" w14:textId="77777777" w:rsidR="000F75FA" w:rsidRPr="002054BA" w:rsidRDefault="000F75FA" w:rsidP="000F75FA">
            <w:pPr>
              <w:autoSpaceDE w:val="0"/>
              <w:autoSpaceDN w:val="0"/>
              <w:adjustRightInd w:val="0"/>
              <w:rPr>
                <w:rFonts w:cs="Calibri"/>
                <w:color w:val="000000"/>
                <w:sz w:val="20"/>
              </w:rPr>
            </w:pPr>
            <w:r w:rsidRPr="00C45874">
              <w:rPr>
                <w:rFonts w:cs="Calibri"/>
                <w:color w:val="000000"/>
                <w:sz w:val="20"/>
              </w:rPr>
              <w:t>educating foreign investors and their advisers on their obligations under the</w:t>
            </w:r>
            <w:r>
              <w:rPr>
                <w:rFonts w:cs="Calibri"/>
                <w:color w:val="000000"/>
                <w:sz w:val="20"/>
              </w:rPr>
              <w:t xml:space="preserve"> foreign investment legislation</w:t>
            </w:r>
          </w:p>
        </w:tc>
        <w:tc>
          <w:tcPr>
            <w:tcW w:w="2282" w:type="dxa"/>
            <w:shd w:val="clear" w:color="auto" w:fill="F2F2F2" w:themeFill="background1" w:themeFillShade="F2"/>
          </w:tcPr>
          <w:p w14:paraId="29A69941" w14:textId="77777777" w:rsidR="000F75FA" w:rsidRPr="002054BA" w:rsidRDefault="000F75FA" w:rsidP="000F75FA">
            <w:pPr>
              <w:autoSpaceDE w:val="0"/>
              <w:autoSpaceDN w:val="0"/>
              <w:adjustRightInd w:val="0"/>
              <w:rPr>
                <w:rFonts w:cs="Calibri"/>
                <w:color w:val="000000"/>
                <w:sz w:val="20"/>
              </w:rPr>
            </w:pPr>
            <w:r>
              <w:rPr>
                <w:rFonts w:cs="Calibri"/>
                <w:b/>
                <w:bCs/>
                <w:color w:val="000000"/>
                <w:sz w:val="20"/>
              </w:rPr>
              <w:t>MARKET INTELLIGENCE</w:t>
            </w:r>
            <w:r w:rsidRPr="002054BA">
              <w:rPr>
                <w:rFonts w:cs="Calibri"/>
                <w:b/>
                <w:bCs/>
                <w:color w:val="000000"/>
                <w:sz w:val="20"/>
              </w:rPr>
              <w:t xml:space="preserve"> </w:t>
            </w:r>
          </w:p>
          <w:p w14:paraId="77521E4A" w14:textId="77777777" w:rsidR="000F75FA" w:rsidRPr="002054BA" w:rsidRDefault="000F75FA" w:rsidP="000F75FA">
            <w:pPr>
              <w:autoSpaceDE w:val="0"/>
              <w:autoSpaceDN w:val="0"/>
              <w:adjustRightInd w:val="0"/>
              <w:rPr>
                <w:rFonts w:cs="Calibri"/>
                <w:color w:val="000000"/>
                <w:sz w:val="20"/>
              </w:rPr>
            </w:pPr>
            <w:r w:rsidRPr="00E46647">
              <w:rPr>
                <w:rFonts w:cs="Calibri"/>
                <w:color w:val="000000"/>
                <w:sz w:val="20"/>
              </w:rPr>
              <w:t xml:space="preserve">using data and information to </w:t>
            </w:r>
            <w:r>
              <w:rPr>
                <w:rFonts w:cs="Calibri"/>
                <w:color w:val="000000"/>
                <w:sz w:val="20"/>
              </w:rPr>
              <w:t>target potential non</w:t>
            </w:r>
            <w:r>
              <w:rPr>
                <w:rFonts w:cs="Calibri"/>
                <w:color w:val="000000"/>
                <w:sz w:val="20"/>
              </w:rPr>
              <w:noBreakHyphen/>
              <w:t>compliance</w:t>
            </w:r>
          </w:p>
        </w:tc>
        <w:tc>
          <w:tcPr>
            <w:tcW w:w="2281" w:type="dxa"/>
            <w:shd w:val="clear" w:color="auto" w:fill="F2F2F2" w:themeFill="background1" w:themeFillShade="F2"/>
          </w:tcPr>
          <w:p w14:paraId="2460E842" w14:textId="77777777" w:rsidR="000F75FA" w:rsidRDefault="000F75FA" w:rsidP="000F75FA">
            <w:pPr>
              <w:autoSpaceDE w:val="0"/>
              <w:autoSpaceDN w:val="0"/>
              <w:adjustRightInd w:val="0"/>
              <w:rPr>
                <w:rFonts w:cs="Calibri"/>
                <w:color w:val="000000"/>
                <w:sz w:val="20"/>
              </w:rPr>
            </w:pPr>
            <w:r w:rsidRPr="00E46647">
              <w:rPr>
                <w:rFonts w:cs="Calibri"/>
                <w:b/>
                <w:bCs/>
                <w:color w:val="000000"/>
                <w:sz w:val="20"/>
              </w:rPr>
              <w:t>COMPLIANCE ASSURANCE</w:t>
            </w:r>
            <w:r w:rsidRPr="000C2DE2">
              <w:rPr>
                <w:rFonts w:cstheme="minorHAnsi"/>
              </w:rPr>
              <w:t> </w:t>
            </w:r>
            <w:r w:rsidRPr="002054BA">
              <w:rPr>
                <w:rFonts w:cs="Calibri"/>
                <w:color w:val="000000"/>
                <w:sz w:val="20"/>
              </w:rPr>
              <w:t xml:space="preserve"> </w:t>
            </w:r>
          </w:p>
          <w:p w14:paraId="34BAEAB1" w14:textId="77777777" w:rsidR="000F75FA" w:rsidRPr="002054BA" w:rsidRDefault="000F75FA" w:rsidP="000F75FA">
            <w:pPr>
              <w:autoSpaceDE w:val="0"/>
              <w:autoSpaceDN w:val="0"/>
              <w:adjustRightInd w:val="0"/>
              <w:rPr>
                <w:rFonts w:cs="Calibri"/>
                <w:color w:val="000000"/>
                <w:sz w:val="20"/>
              </w:rPr>
            </w:pPr>
            <w:r w:rsidRPr="00E46647">
              <w:rPr>
                <w:rFonts w:cs="Calibri"/>
                <w:color w:val="000000"/>
                <w:sz w:val="20"/>
              </w:rPr>
              <w:t>assessing and assuring compliance, which includes audits, monitoring and assessing information provided by foreign investors</w:t>
            </w:r>
          </w:p>
        </w:tc>
        <w:tc>
          <w:tcPr>
            <w:tcW w:w="2283" w:type="dxa"/>
            <w:shd w:val="clear" w:color="auto" w:fill="F2F2F2" w:themeFill="background1" w:themeFillShade="F2"/>
          </w:tcPr>
          <w:p w14:paraId="01CA636B" w14:textId="77777777" w:rsidR="000F75FA" w:rsidRDefault="000F75FA" w:rsidP="000F75FA">
            <w:pPr>
              <w:autoSpaceDE w:val="0"/>
              <w:autoSpaceDN w:val="0"/>
              <w:adjustRightInd w:val="0"/>
              <w:rPr>
                <w:rFonts w:cs="Calibri"/>
                <w:b/>
                <w:bCs/>
                <w:color w:val="000000"/>
                <w:sz w:val="20"/>
              </w:rPr>
            </w:pPr>
            <w:r>
              <w:rPr>
                <w:rFonts w:cs="Calibri"/>
                <w:b/>
                <w:bCs/>
                <w:color w:val="000000"/>
                <w:sz w:val="20"/>
              </w:rPr>
              <w:t>ENFORCEMENT</w:t>
            </w:r>
            <w:r w:rsidRPr="002054BA">
              <w:rPr>
                <w:rFonts w:cs="Calibri"/>
                <w:b/>
                <w:bCs/>
                <w:color w:val="000000"/>
                <w:sz w:val="20"/>
              </w:rPr>
              <w:t xml:space="preserve"> </w:t>
            </w:r>
          </w:p>
          <w:p w14:paraId="4C54AE8D" w14:textId="77777777" w:rsidR="000F75FA" w:rsidRPr="002054BA" w:rsidRDefault="000F75FA" w:rsidP="000F75FA">
            <w:pPr>
              <w:autoSpaceDE w:val="0"/>
              <w:autoSpaceDN w:val="0"/>
              <w:adjustRightInd w:val="0"/>
              <w:rPr>
                <w:rFonts w:cs="Calibri"/>
                <w:color w:val="000000"/>
                <w:sz w:val="20"/>
              </w:rPr>
            </w:pPr>
            <w:r w:rsidRPr="00E46647">
              <w:rPr>
                <w:rFonts w:cs="Calibri"/>
                <w:color w:val="000000"/>
                <w:sz w:val="20"/>
              </w:rPr>
              <w:t>undertaking enforcement a</w:t>
            </w:r>
            <w:r>
              <w:rPr>
                <w:rFonts w:cs="Calibri"/>
                <w:color w:val="000000"/>
                <w:sz w:val="20"/>
              </w:rPr>
              <w:t>ction</w:t>
            </w:r>
            <w:r w:rsidRPr="00E46647">
              <w:rPr>
                <w:rFonts w:cs="Calibri"/>
                <w:color w:val="000000"/>
                <w:sz w:val="20"/>
              </w:rPr>
              <w:t xml:space="preserve"> under the foreign investment legislation</w:t>
            </w:r>
            <w:r>
              <w:rPr>
                <w:rFonts w:cs="Calibri"/>
                <w:color w:val="000000"/>
                <w:sz w:val="20"/>
              </w:rPr>
              <w:t xml:space="preserve"> </w:t>
            </w:r>
          </w:p>
        </w:tc>
      </w:tr>
    </w:tbl>
    <w:p w14:paraId="478AB0C1" w14:textId="77777777" w:rsidR="000F75FA" w:rsidRPr="00673AFE" w:rsidRDefault="000F75FA" w:rsidP="000F75FA">
      <w:pPr>
        <w:pStyle w:val="Heading2"/>
      </w:pPr>
      <w:bookmarkStart w:id="8" w:name="_Toc59197699"/>
      <w:r w:rsidRPr="00673AFE">
        <w:lastRenderedPageBreak/>
        <w:t>Foreign investment compliance roles and responsibilities</w:t>
      </w:r>
      <w:bookmarkEnd w:id="8"/>
      <w:r w:rsidRPr="00673AFE">
        <w:t xml:space="preserve"> </w:t>
      </w:r>
    </w:p>
    <w:p w14:paraId="2EABAFA9" w14:textId="77777777" w:rsidR="000F75FA" w:rsidRPr="003159D9" w:rsidRDefault="000F75FA" w:rsidP="002C48DE">
      <w:r w:rsidRPr="003159D9">
        <w:t xml:space="preserve">Treasury is responsible for compliance and enforcement activities for proposals within its areas of screening responsibility, including business, agricultural and some commercial land foreign investment proposals. Further information on how Treasury approaches these activities is included below. </w:t>
      </w:r>
    </w:p>
    <w:p w14:paraId="0B7EAE2E" w14:textId="67D150FF" w:rsidR="000F75FA" w:rsidRPr="003159D9" w:rsidRDefault="000F75FA" w:rsidP="002C48DE">
      <w:pPr>
        <w:rPr>
          <w:sz w:val="23"/>
          <w:szCs w:val="23"/>
        </w:rPr>
      </w:pPr>
      <w:r w:rsidRPr="00832D00">
        <w:t xml:space="preserve">The Australian Taxation Office (ATO) is responsible for compliance and enforcement activities for proposals within its screening responsibility, including residential real estate and some commercial land proposals. </w:t>
      </w:r>
      <w:r w:rsidRPr="00BF4F17">
        <w:t xml:space="preserve">Further information on how the ATO approaches these activities can be found </w:t>
      </w:r>
      <w:r w:rsidR="000A2D98">
        <w:t xml:space="preserve">in the </w:t>
      </w:r>
      <w:r w:rsidR="000A2D98" w:rsidRPr="00BF4F17">
        <w:rPr>
          <w:i/>
        </w:rPr>
        <w:t>Compliance – Residential</w:t>
      </w:r>
      <w:r w:rsidR="000A2D98">
        <w:t xml:space="preserve"> Guidance</w:t>
      </w:r>
      <w:r w:rsidRPr="00BF4F17">
        <w:t>.</w:t>
      </w:r>
    </w:p>
    <w:p w14:paraId="15ECCEA4" w14:textId="77777777" w:rsidR="000F75FA" w:rsidRDefault="000F75FA" w:rsidP="002C48DE">
      <w:r w:rsidRPr="003159D9">
        <w:t xml:space="preserve">Foreign investment compliance and enforcement activities may also be supported by other regulatory regimes and specialist advice from other entities, including Australian Government regulators, as required. </w:t>
      </w:r>
    </w:p>
    <w:p w14:paraId="38C01856" w14:textId="77777777" w:rsidR="000F75FA" w:rsidRPr="00673AFE" w:rsidRDefault="000F75FA" w:rsidP="000F75FA">
      <w:pPr>
        <w:pStyle w:val="Heading2"/>
      </w:pPr>
      <w:bookmarkStart w:id="9" w:name="_Toc59197700"/>
      <w:r>
        <w:t>How does T</w:t>
      </w:r>
      <w:r w:rsidRPr="00673AFE">
        <w:t>reasury undertake compliance activities under the framework?</w:t>
      </w:r>
      <w:bookmarkEnd w:id="9"/>
      <w:r w:rsidRPr="00673AFE">
        <w:t xml:space="preserve"> </w:t>
      </w:r>
    </w:p>
    <w:p w14:paraId="3C725BE8" w14:textId="3EC8B040" w:rsidR="000F75FA" w:rsidRPr="003159D9" w:rsidRDefault="000F75FA" w:rsidP="002C48DE">
      <w:r w:rsidRPr="003159D9">
        <w:t>The Treasurer and the Treasury ha</w:t>
      </w:r>
      <w:r>
        <w:t>ve</w:t>
      </w:r>
      <w:r w:rsidRPr="003159D9">
        <w:t xml:space="preserve"> a range of tools available to assess whether obligations under Australia’s foreign investment legislation are being comp</w:t>
      </w:r>
      <w:r w:rsidR="009A2DA2">
        <w:t>lied with and to respond to non</w:t>
      </w:r>
      <w:r w:rsidR="009A2DA2">
        <w:noBreakHyphen/>
      </w:r>
      <w:r w:rsidRPr="003159D9">
        <w:t>compliance.</w:t>
      </w:r>
    </w:p>
    <w:p w14:paraId="0A3CA3C2" w14:textId="77777777" w:rsidR="000F75FA" w:rsidRPr="003159D9" w:rsidRDefault="000F75FA" w:rsidP="002C48DE">
      <w:r w:rsidRPr="003159D9">
        <w:t>We seek to understand the risk posed by investors and others in our regulatory framework along a compliance continuum. This helps direct the posture of our regulatory and compliance responses which may range from education to criminal prosecution.</w:t>
      </w:r>
      <w:r w:rsidRPr="003159D9" w:rsidDel="00044D20">
        <w:t xml:space="preserve"> </w:t>
      </w:r>
    </w:p>
    <w:p w14:paraId="53630019" w14:textId="77777777" w:rsidR="000F75FA" w:rsidRDefault="000F75FA" w:rsidP="000F75FA">
      <w:r>
        <w:rPr>
          <w:noProof/>
        </w:rPr>
        <w:drawing>
          <wp:inline distT="0" distB="0" distL="0" distR="0" wp14:anchorId="751C0647" wp14:editId="2D5F01A2">
            <wp:extent cx="5346700" cy="2579416"/>
            <wp:effectExtent l="0" t="0" r="6350" b="0"/>
            <wp:docPr id="2" name="Picture 2" descr="There are three coloured parallelogram shapes. The top orange shape represents the range of behaviour of investors, ranging from fully compliant at one end; investors not fully compliant, or attempting to comply, or requiring oversight to comply in the middle; and investors deliberately not complying at the other end of the continuum. The middle blue shape represents the level of risk of entities ranging from low risk at one end to high risk at the other end of the continuum. The bottom red shape represents the posture of our regulatory and compliance responses. Our responses range from administrative responses to support and maintain compliance at one end of the continuum, through legislative and administrative responses to intervene and support rectification of non-compliance, to legislative responses to intervene and enforce compliance through sanctions and penalties at the other end of the continuum. " title="Compliance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3979" cy="2597400"/>
                    </a:xfrm>
                    <a:prstGeom prst="rect">
                      <a:avLst/>
                    </a:prstGeom>
                    <a:noFill/>
                  </pic:spPr>
                </pic:pic>
              </a:graphicData>
            </a:graphic>
          </wp:inline>
        </w:drawing>
      </w:r>
    </w:p>
    <w:p w14:paraId="1807A8E2" w14:textId="77777777" w:rsidR="000F75FA" w:rsidRPr="003159D9" w:rsidRDefault="000F75FA" w:rsidP="002C48DE">
      <w:r w:rsidRPr="003159D9">
        <w:t xml:space="preserve">The primary tool is educating investors on their obligations under the </w:t>
      </w:r>
      <w:r w:rsidRPr="003159D9">
        <w:rPr>
          <w:i/>
        </w:rPr>
        <w:t>Foreign Acquisitions and Takeovers Act 1975</w:t>
      </w:r>
      <w:r w:rsidRPr="003159D9">
        <w:t xml:space="preserve"> (the Act). Treasury aims to ensure that, for those seeking to invest in Australia, their obligations under the Act are clear and easy to understand. If you have questions on your foreign investment compliance obligations, please contact </w:t>
      </w:r>
      <w:hyperlink r:id="rId27" w:history="1">
        <w:r w:rsidRPr="003159D9">
          <w:rPr>
            <w:rStyle w:val="Hyperlink"/>
            <w:sz w:val="23"/>
            <w:szCs w:val="23"/>
          </w:rPr>
          <w:t>firbcompliance@treasury.gov.au</w:t>
        </w:r>
      </w:hyperlink>
      <w:r w:rsidRPr="003159D9">
        <w:t>.</w:t>
      </w:r>
      <w:r w:rsidRPr="003159D9">
        <w:rPr>
          <w:u w:val="single"/>
        </w:rPr>
        <w:t xml:space="preserve"> </w:t>
      </w:r>
    </w:p>
    <w:p w14:paraId="78E6ABDB" w14:textId="77777777" w:rsidR="000F75FA" w:rsidRPr="003159D9" w:rsidRDefault="000F75FA" w:rsidP="002C48DE">
      <w:r w:rsidRPr="003159D9">
        <w:t xml:space="preserve">Treasury also uses intelligence sources to target potential non-compliance. This </w:t>
      </w:r>
      <w:r>
        <w:t>enables</w:t>
      </w:r>
      <w:r w:rsidRPr="003159D9">
        <w:t xml:space="preserve"> pro-active detection and allows for early intervention to mitigate any risks to the national interest (or national security, as the case requires).</w:t>
      </w:r>
    </w:p>
    <w:p w14:paraId="445BF4E2" w14:textId="77777777" w:rsidR="000F75FA" w:rsidRPr="003159D9" w:rsidRDefault="000F75FA" w:rsidP="002C48DE">
      <w:r w:rsidRPr="003159D9">
        <w:t xml:space="preserve">Treasury’s compliance assurance activities </w:t>
      </w:r>
      <w:r w:rsidRPr="003159D9">
        <w:rPr>
          <w:rFonts w:cstheme="minorHAnsi"/>
        </w:rPr>
        <w:t xml:space="preserve">include audits, monitoring and assessing information provided by foreign investors. These activities </w:t>
      </w:r>
      <w:r w:rsidRPr="003159D9">
        <w:t xml:space="preserve">aim to achieve a balance between ensuring strong </w:t>
      </w:r>
      <w:r w:rsidRPr="003159D9">
        <w:lastRenderedPageBreak/>
        <w:t xml:space="preserve">compliance with </w:t>
      </w:r>
      <w:r>
        <w:t xml:space="preserve">the foreign investment legislation and </w:t>
      </w:r>
      <w:r w:rsidRPr="003159D9">
        <w:t>supporting foreign investors to do the right thing. These activities may involve the use of legislative powers to:</w:t>
      </w:r>
    </w:p>
    <w:p w14:paraId="16CE538D" w14:textId="77777777" w:rsidR="000F75FA" w:rsidRPr="003159D9" w:rsidRDefault="000F75FA" w:rsidP="002C48DE">
      <w:pPr>
        <w:pStyle w:val="Bullet"/>
      </w:pPr>
      <w:r w:rsidRPr="003159D9">
        <w:t xml:space="preserve">compel information and </w:t>
      </w:r>
      <w:r w:rsidRPr="002C48DE">
        <w:t>documents</w:t>
      </w:r>
    </w:p>
    <w:p w14:paraId="04680CB6" w14:textId="77777777" w:rsidR="000F75FA" w:rsidRPr="003159D9" w:rsidRDefault="000F75FA" w:rsidP="002C48DE">
      <w:pPr>
        <w:pStyle w:val="Bullet"/>
      </w:pPr>
      <w:r w:rsidRPr="003159D9">
        <w:t xml:space="preserve">enter premises (either by </w:t>
      </w:r>
      <w:r w:rsidRPr="002C48DE">
        <w:t>consent</w:t>
      </w:r>
      <w:r w:rsidRPr="003159D9">
        <w:t xml:space="preserve"> or by court issued warrant) and exercise monitoring powers to determine whether the provisions of the Act are being complied with and that information provided is correct. Monitoring powers are standard powers under the </w:t>
      </w:r>
      <w:r w:rsidRPr="003159D9">
        <w:rPr>
          <w:i/>
        </w:rPr>
        <w:t xml:space="preserve">Regulatory Powers (Standard Provisions) Act 2014 </w:t>
      </w:r>
      <w:r w:rsidRPr="003159D9">
        <w:t>(RPA).</w:t>
      </w:r>
    </w:p>
    <w:p w14:paraId="26BC5658" w14:textId="77777777" w:rsidR="000F75FA" w:rsidRPr="003159D9" w:rsidRDefault="000F75FA" w:rsidP="002C48DE">
      <w:r w:rsidRPr="003159D9">
        <w:t>Treasury</w:t>
      </w:r>
      <w:r w:rsidRPr="003159D9">
        <w:rPr>
          <w:rFonts w:cstheme="minorHAnsi"/>
        </w:rPr>
        <w:t xml:space="preserve"> seeks to undertake these activities in a</w:t>
      </w:r>
      <w:r w:rsidRPr="003159D9">
        <w:t xml:space="preserve"> way that is professional, transparent, risk-based and proportionate to the level of risk, in accordance with the </w:t>
      </w:r>
      <w:hyperlink r:id="rId28" w:history="1">
        <w:r w:rsidRPr="003159D9">
          <w:rPr>
            <w:rStyle w:val="Hyperlink"/>
            <w:sz w:val="23"/>
            <w:szCs w:val="23"/>
          </w:rPr>
          <w:t>Regulator Performance Framework</w:t>
        </w:r>
      </w:hyperlink>
      <w:r w:rsidRPr="003159D9">
        <w:t xml:space="preserve">. </w:t>
      </w:r>
    </w:p>
    <w:p w14:paraId="22493899" w14:textId="77777777" w:rsidR="000F75FA" w:rsidRPr="003159D9" w:rsidRDefault="000F75FA" w:rsidP="000F75FA">
      <w:pPr>
        <w:pStyle w:val="Heading2"/>
      </w:pPr>
      <w:bookmarkStart w:id="10" w:name="_Toc59197701"/>
      <w:r>
        <w:t>How does T</w:t>
      </w:r>
      <w:r w:rsidRPr="00673AFE">
        <w:t xml:space="preserve">reasury </w:t>
      </w:r>
      <w:r>
        <w:t>respond to non-compliance?</w:t>
      </w:r>
      <w:bookmarkEnd w:id="10"/>
      <w:r w:rsidRPr="00673AFE">
        <w:t xml:space="preserve"> </w:t>
      </w:r>
    </w:p>
    <w:p w14:paraId="6E0D1C1F" w14:textId="77777777" w:rsidR="000F75FA" w:rsidRDefault="000F75FA" w:rsidP="002C48DE">
      <w:r w:rsidRPr="003159D9">
        <w:t xml:space="preserve">Where non-compliance is identified or suspected, a risk-based and proportionate response will be taken to rectify non-compliance and may include enforcing compliance through penalties and sanctions. </w:t>
      </w:r>
      <w:r>
        <w:t xml:space="preserve">The </w:t>
      </w:r>
      <w:r w:rsidRPr="00E9411D">
        <w:t xml:space="preserve">Act </w:t>
      </w:r>
      <w:r w:rsidRPr="00C733FB">
        <w:t>includes</w:t>
      </w:r>
      <w:r>
        <w:t xml:space="preserve"> criminal and civil penalties for non-compliance. Details of these offences and civil penalties (other than those relating to residential real estate) are outlined in </w:t>
      </w:r>
      <w:r w:rsidRPr="00AF7947">
        <w:rPr>
          <w:b/>
        </w:rPr>
        <w:t>Attachment A</w:t>
      </w:r>
      <w:r>
        <w:t xml:space="preserve">.  </w:t>
      </w:r>
    </w:p>
    <w:p w14:paraId="07FCC99A" w14:textId="77777777" w:rsidR="000F75FA" w:rsidRDefault="000F75FA" w:rsidP="002C48DE">
      <w:r w:rsidRPr="003159D9">
        <w:t xml:space="preserve">Where necessary and appropriate, authorised officers may use legislative powers to enter premises (either by consent or by court issued warrant) and exercise investigation powers to gather material, relating to offence and civil penalty provisions of the Act. Investigations powers are standard powers under the </w:t>
      </w:r>
      <w:r>
        <w:t>RPA</w:t>
      </w:r>
      <w:r w:rsidRPr="003159D9">
        <w:t>.</w:t>
      </w:r>
    </w:p>
    <w:p w14:paraId="07CEC1A3" w14:textId="77777777" w:rsidR="000F75FA" w:rsidRDefault="000F75FA" w:rsidP="002C48DE">
      <w:r>
        <w:t>T</w:t>
      </w:r>
      <w:r w:rsidRPr="002C3E8A">
        <w:t>he Act provides a broad range of enforcement powers to enable a proportionate and scalable response to non-compliance</w:t>
      </w:r>
      <w:r>
        <w:t xml:space="preserve"> taking into account matters such as the nature of the breach, the extent of the non-compliance, the investor response to non-compliance (including previous instances of non-compliance) and the behaviour of the investor</w:t>
      </w:r>
      <w:r w:rsidRPr="002C3E8A">
        <w:t xml:space="preserve">. </w:t>
      </w:r>
    </w:p>
    <w:p w14:paraId="21E72F88" w14:textId="77777777" w:rsidR="000F75FA" w:rsidRDefault="000F75FA" w:rsidP="002C48DE">
      <w:r w:rsidRPr="002C3E8A">
        <w:t>Enforcement in this context is not limited to taking court-based action but rather refers to the use of these legislative powers</w:t>
      </w:r>
      <w:r>
        <w:t xml:space="preserve">. These powers are set out in </w:t>
      </w:r>
      <w:r w:rsidRPr="003159D9">
        <w:rPr>
          <w:b/>
        </w:rPr>
        <w:t>Attachment B</w:t>
      </w:r>
      <w:r>
        <w:t xml:space="preserve"> and are designed to deter non-compliance and ensure the national interest (or national security, as the case requires) is protected. </w:t>
      </w:r>
    </w:p>
    <w:p w14:paraId="3D17396A" w14:textId="77777777" w:rsidR="000F75FA" w:rsidRDefault="000F75FA" w:rsidP="002C48DE">
      <w:r>
        <w:t>Treasury strongly encourages voluntary disclosure of non-compliance. In general, Treasury may prefer to work with the foreign investor to achieve compliance in cases where non-compliance is inadvertent, self-reported by the investor, the breach is administrative, and the investor is willing to remediate the breach as quickly as possible.</w:t>
      </w:r>
    </w:p>
    <w:p w14:paraId="3F027C83" w14:textId="77777777" w:rsidR="000F75FA" w:rsidRPr="00673AFE" w:rsidRDefault="000F75FA" w:rsidP="000F75FA">
      <w:pPr>
        <w:pStyle w:val="Heading2"/>
      </w:pPr>
      <w:bookmarkStart w:id="11" w:name="_Toc59197702"/>
      <w:r w:rsidRPr="00673AFE">
        <w:t>Further information</w:t>
      </w:r>
      <w:bookmarkEnd w:id="11"/>
      <w:r w:rsidRPr="00673AFE">
        <w:t xml:space="preserve"> </w:t>
      </w:r>
    </w:p>
    <w:p w14:paraId="5D6F81BC" w14:textId="77777777" w:rsidR="000F75FA" w:rsidRDefault="000F75FA" w:rsidP="002C48DE">
      <w:r w:rsidRPr="00673AFE">
        <w:t xml:space="preserve">For further information on foreign investment compliance obligations, please see </w:t>
      </w:r>
      <w:hyperlink r:id="rId29" w:history="1">
        <w:r w:rsidRPr="002006EA">
          <w:rPr>
            <w:rStyle w:val="Hyperlink"/>
            <w:sz w:val="23"/>
            <w:szCs w:val="23"/>
          </w:rPr>
          <w:t>firb.gov.au</w:t>
        </w:r>
      </w:hyperlink>
      <w:r w:rsidRPr="00673AFE">
        <w:t xml:space="preserve"> or email </w:t>
      </w:r>
      <w:hyperlink r:id="rId30" w:history="1">
        <w:r w:rsidRPr="00602351">
          <w:rPr>
            <w:rStyle w:val="Hyperlink"/>
            <w:sz w:val="23"/>
            <w:szCs w:val="23"/>
          </w:rPr>
          <w:t>firbcompliance@treasury.gov.au</w:t>
        </w:r>
      </w:hyperlink>
      <w:r>
        <w:t>.</w:t>
      </w:r>
    </w:p>
    <w:p w14:paraId="19D0E277" w14:textId="77777777" w:rsidR="000F75FA" w:rsidRPr="00673AFE" w:rsidRDefault="000F75FA" w:rsidP="000F75FA">
      <w:pPr>
        <w:pStyle w:val="Heading2"/>
      </w:pPr>
      <w:bookmarkStart w:id="12" w:name="_Toc59197703"/>
      <w:r w:rsidRPr="00673AFE">
        <w:t>Related documents</w:t>
      </w:r>
      <w:bookmarkEnd w:id="12"/>
      <w:r w:rsidRPr="00673AFE">
        <w:t xml:space="preserve"> </w:t>
      </w:r>
    </w:p>
    <w:p w14:paraId="7D8CA88C" w14:textId="77777777" w:rsidR="000F75FA" w:rsidRPr="002C48DE" w:rsidRDefault="000F75FA" w:rsidP="002C48DE">
      <w:pPr>
        <w:rPr>
          <w:i/>
        </w:rPr>
      </w:pPr>
      <w:r w:rsidRPr="002C48DE">
        <w:rPr>
          <w:i/>
        </w:rPr>
        <w:t xml:space="preserve">Foreign Acquisitions and Takeovers Act 1975 </w:t>
      </w:r>
    </w:p>
    <w:p w14:paraId="182B0157" w14:textId="77777777" w:rsidR="000F75FA" w:rsidRPr="002C48DE" w:rsidRDefault="000F75FA" w:rsidP="002C48DE">
      <w:pPr>
        <w:rPr>
          <w:i/>
        </w:rPr>
      </w:pPr>
      <w:r w:rsidRPr="002C48DE">
        <w:rPr>
          <w:i/>
        </w:rPr>
        <w:t xml:space="preserve">Foreign Acquisitions and Takeovers Regulation 2015 </w:t>
      </w:r>
    </w:p>
    <w:p w14:paraId="44DF3175" w14:textId="77777777" w:rsidR="000F75FA" w:rsidRPr="002C48DE" w:rsidRDefault="000F75FA" w:rsidP="002C48DE">
      <w:pPr>
        <w:rPr>
          <w:i/>
        </w:rPr>
      </w:pPr>
      <w:r w:rsidRPr="002C48DE">
        <w:rPr>
          <w:i/>
        </w:rPr>
        <w:t xml:space="preserve">Register of Foreign Ownership of Water or Agricultural Land Act 2015 </w:t>
      </w:r>
    </w:p>
    <w:p w14:paraId="417940F4" w14:textId="77777777" w:rsidR="000F75FA" w:rsidRPr="002C48DE" w:rsidRDefault="000F75FA" w:rsidP="002C48DE">
      <w:pPr>
        <w:rPr>
          <w:i/>
        </w:rPr>
      </w:pPr>
      <w:r w:rsidRPr="002C48DE">
        <w:rPr>
          <w:i/>
        </w:rPr>
        <w:t>Regulatory Powers (Standard Provisions) Act 2014</w:t>
      </w:r>
    </w:p>
    <w:p w14:paraId="63BD963F" w14:textId="77777777" w:rsidR="000F75FA" w:rsidRPr="002C48DE" w:rsidRDefault="000F75FA" w:rsidP="002C48DE">
      <w:pPr>
        <w:rPr>
          <w:i/>
        </w:rPr>
      </w:pPr>
      <w:r w:rsidRPr="002C48DE">
        <w:rPr>
          <w:i/>
        </w:rPr>
        <w:t xml:space="preserve">Foreign Acquisitions and Takeovers Fees Imposition Regulation 2015 </w:t>
      </w:r>
    </w:p>
    <w:p w14:paraId="7B39E545" w14:textId="77777777" w:rsidR="000F75FA" w:rsidRPr="003159D9" w:rsidRDefault="000F75FA" w:rsidP="002C48DE">
      <w:pPr>
        <w:sectPr w:rsidR="000F75FA" w:rsidRPr="003159D9" w:rsidSect="00EB6122">
          <w:pgSz w:w="11906" w:h="16838" w:code="9"/>
          <w:pgMar w:top="1440" w:right="1440" w:bottom="1440" w:left="1440" w:header="708" w:footer="708" w:gutter="0"/>
          <w:cols w:space="708"/>
          <w:docGrid w:linePitch="360"/>
        </w:sectPr>
      </w:pPr>
      <w:r w:rsidRPr="002C48DE">
        <w:rPr>
          <w:i/>
        </w:rPr>
        <w:t>Australia’s Foreign Investment Policy</w:t>
      </w:r>
    </w:p>
    <w:p w14:paraId="771D87F7" w14:textId="77777777" w:rsidR="00D31D6C" w:rsidRPr="003159D9" w:rsidRDefault="00D31D6C" w:rsidP="00D31D6C">
      <w:pPr>
        <w:pStyle w:val="Heading1"/>
      </w:pPr>
      <w:bookmarkStart w:id="13" w:name="_Toc59197704"/>
      <w:r>
        <w:lastRenderedPageBreak/>
        <w:t>Attachment A</w:t>
      </w:r>
      <w:r w:rsidRPr="003159D9">
        <w:t xml:space="preserve">: </w:t>
      </w:r>
      <w:r>
        <w:t>O</w:t>
      </w:r>
      <w:r w:rsidRPr="003159D9">
        <w:t xml:space="preserve">ffences and penalties under the </w:t>
      </w:r>
      <w:r w:rsidRPr="00D31D6C">
        <w:rPr>
          <w:i/>
        </w:rPr>
        <w:t>F</w:t>
      </w:r>
      <w:r w:rsidRPr="003159D9">
        <w:rPr>
          <w:i/>
        </w:rPr>
        <w:t>ore</w:t>
      </w:r>
      <w:r>
        <w:rPr>
          <w:i/>
        </w:rPr>
        <w:t>ign Acquisitions and Takeovers A</w:t>
      </w:r>
      <w:r w:rsidRPr="003159D9">
        <w:rPr>
          <w:i/>
        </w:rPr>
        <w:t>ct 1975</w:t>
      </w:r>
      <w:r w:rsidRPr="003159D9">
        <w:t xml:space="preserve"> (except in relation to residential real estate)</w:t>
      </w:r>
      <w:bookmarkEnd w:id="13"/>
    </w:p>
    <w:p w14:paraId="42F61155" w14:textId="77777777" w:rsidR="00D31D6C" w:rsidRPr="003159D9" w:rsidRDefault="00D31D6C" w:rsidP="00D31D6C">
      <w:pPr>
        <w:pStyle w:val="Default"/>
        <w:rPr>
          <w:sz w:val="22"/>
          <w:szCs w:val="22"/>
        </w:rPr>
      </w:pPr>
      <w:r w:rsidRPr="003159D9">
        <w:rPr>
          <w:sz w:val="22"/>
          <w:szCs w:val="22"/>
        </w:rPr>
        <w:t>* On or after 1 January 2021</w:t>
      </w:r>
    </w:p>
    <w:tbl>
      <w:tblPr>
        <w:tblStyle w:val="TableGrid"/>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3353"/>
        <w:gridCol w:w="5056"/>
        <w:gridCol w:w="5595"/>
      </w:tblGrid>
      <w:tr w:rsidR="00D31D6C" w14:paraId="6005A492" w14:textId="77777777" w:rsidTr="00566E0D">
        <w:trPr>
          <w:cantSplit/>
          <w:tblHeader/>
        </w:trPr>
        <w:tc>
          <w:tcPr>
            <w:tcW w:w="3539" w:type="dxa"/>
            <w:shd w:val="clear" w:color="auto" w:fill="F2F2F2" w:themeFill="background1" w:themeFillShade="F2"/>
          </w:tcPr>
          <w:p w14:paraId="7503B46E" w14:textId="77777777" w:rsidR="00D31D6C" w:rsidRPr="00A12520" w:rsidRDefault="00D31D6C" w:rsidP="006670C9">
            <w:pPr>
              <w:pStyle w:val="TableColumnHeadingLeft"/>
            </w:pPr>
            <w:r>
              <w:t>Breach</w:t>
            </w:r>
          </w:p>
        </w:tc>
        <w:tc>
          <w:tcPr>
            <w:tcW w:w="5387" w:type="dxa"/>
            <w:shd w:val="clear" w:color="auto" w:fill="F2F2F2" w:themeFill="background1" w:themeFillShade="F2"/>
          </w:tcPr>
          <w:p w14:paraId="2A2DD5E6" w14:textId="77777777" w:rsidR="00D31D6C" w:rsidRPr="00A12520" w:rsidRDefault="00D31D6C" w:rsidP="006670C9">
            <w:pPr>
              <w:pStyle w:val="TableColumnHeadingLeft"/>
            </w:pPr>
            <w:r>
              <w:t>Maximum criminal penalty amount</w:t>
            </w:r>
          </w:p>
        </w:tc>
        <w:tc>
          <w:tcPr>
            <w:tcW w:w="5953" w:type="dxa"/>
            <w:shd w:val="clear" w:color="auto" w:fill="F2F2F2" w:themeFill="background1" w:themeFillShade="F2"/>
          </w:tcPr>
          <w:p w14:paraId="3B73AECC" w14:textId="77777777" w:rsidR="00D31D6C" w:rsidRDefault="00D31D6C" w:rsidP="006670C9">
            <w:pPr>
              <w:pStyle w:val="TableColumnHeadingLeft"/>
            </w:pPr>
            <w:r>
              <w:t xml:space="preserve">Maximum civil penalty amount  </w:t>
            </w:r>
          </w:p>
        </w:tc>
      </w:tr>
      <w:tr w:rsidR="00D31D6C" w14:paraId="147DD01D" w14:textId="77777777" w:rsidTr="00566E0D">
        <w:trPr>
          <w:cantSplit/>
        </w:trPr>
        <w:tc>
          <w:tcPr>
            <w:tcW w:w="3539" w:type="dxa"/>
            <w:shd w:val="clear" w:color="auto" w:fill="auto"/>
          </w:tcPr>
          <w:p w14:paraId="5387546C" w14:textId="77777777" w:rsidR="00D31D6C" w:rsidRDefault="00D31D6C" w:rsidP="00D31D6C">
            <w:pPr>
              <w:pStyle w:val="TableTextLeft"/>
            </w:pPr>
            <w:r w:rsidRPr="00503AED">
              <w:t xml:space="preserve">Failure to provide notice under section 81 </w:t>
            </w:r>
            <w:r>
              <w:t>of the</w:t>
            </w:r>
            <w:r w:rsidRPr="003159D9">
              <w:rPr>
                <w:i/>
              </w:rPr>
              <w:t xml:space="preserve"> Foreign Acquisitions and Takeovers Act 1975</w:t>
            </w:r>
            <w:r>
              <w:t xml:space="preserve"> (the Act) </w:t>
            </w:r>
            <w:r w:rsidRPr="00503AED">
              <w:t xml:space="preserve">before taking a notifiable action or </w:t>
            </w:r>
            <w:r>
              <w:t>*</w:t>
            </w:r>
            <w:r w:rsidRPr="00503AED">
              <w:t>notifiable national security action.</w:t>
            </w:r>
          </w:p>
          <w:p w14:paraId="09BE95D8" w14:textId="77777777" w:rsidR="00D31D6C" w:rsidRDefault="00D31D6C" w:rsidP="00205817">
            <w:pPr>
              <w:pStyle w:val="Default"/>
              <w:rPr>
                <w:sz w:val="22"/>
                <w:szCs w:val="22"/>
              </w:rPr>
            </w:pPr>
          </w:p>
          <w:p w14:paraId="6F873471" w14:textId="77777777" w:rsidR="00D31D6C" w:rsidRPr="00D31D6C" w:rsidRDefault="00D31D6C" w:rsidP="00D31D6C">
            <w:pPr>
              <w:pStyle w:val="TableTextLeft"/>
            </w:pPr>
            <w:r w:rsidRPr="003159D9">
              <w:t>Failure to provide notice of a notifiable action or a notifiable national security action deemed under section 18A of the Act to have been a passive increase in securities held in an entity.</w:t>
            </w:r>
            <w:r>
              <w:t>*</w:t>
            </w:r>
          </w:p>
        </w:tc>
        <w:tc>
          <w:tcPr>
            <w:tcW w:w="5387" w:type="dxa"/>
            <w:shd w:val="clear" w:color="auto" w:fill="auto"/>
          </w:tcPr>
          <w:p w14:paraId="30F3BD00" w14:textId="77777777" w:rsidR="00D31D6C" w:rsidRPr="006670C9" w:rsidRDefault="00D31D6C" w:rsidP="006670C9">
            <w:pPr>
              <w:pStyle w:val="TableTextLeft"/>
              <w:rPr>
                <w:b/>
              </w:rPr>
            </w:pPr>
            <w:r w:rsidRPr="006670C9">
              <w:rPr>
                <w:b/>
              </w:rPr>
              <w:t>Section 84 of the Act</w:t>
            </w:r>
          </w:p>
          <w:p w14:paraId="11A67CD9" w14:textId="77777777" w:rsidR="00D31D6C" w:rsidRPr="006670C9" w:rsidRDefault="00D31D6C" w:rsidP="006670C9">
            <w:pPr>
              <w:pStyle w:val="TableTextLeft"/>
              <w:rPr>
                <w:u w:val="single"/>
              </w:rPr>
            </w:pPr>
            <w:r w:rsidRPr="006670C9">
              <w:rPr>
                <w:u w:val="single"/>
              </w:rPr>
              <w:t>Before 1 January 2021</w:t>
            </w:r>
          </w:p>
          <w:p w14:paraId="3B104E20" w14:textId="77777777" w:rsidR="00D31D6C" w:rsidRPr="006670C9" w:rsidRDefault="00D31D6C" w:rsidP="006670C9">
            <w:pPr>
              <w:pStyle w:val="TableTextLeft"/>
            </w:pPr>
            <w:r w:rsidRPr="006670C9">
              <w:t xml:space="preserve">Imprisonment for 3 years or 750 penalty units (or 3,750 if the person is a corporation), or both. </w:t>
            </w:r>
          </w:p>
          <w:p w14:paraId="7B91EB6D" w14:textId="77777777" w:rsidR="00D31D6C" w:rsidRPr="006670C9" w:rsidRDefault="00D31D6C" w:rsidP="006670C9">
            <w:pPr>
              <w:pStyle w:val="TableTextLeft"/>
            </w:pPr>
          </w:p>
          <w:p w14:paraId="2801B194" w14:textId="77777777" w:rsidR="00D31D6C" w:rsidRPr="006670C9" w:rsidRDefault="00D31D6C" w:rsidP="006670C9">
            <w:pPr>
              <w:pStyle w:val="TableTextLeft"/>
              <w:rPr>
                <w:u w:val="single"/>
              </w:rPr>
            </w:pPr>
            <w:r w:rsidRPr="006670C9">
              <w:rPr>
                <w:u w:val="single"/>
              </w:rPr>
              <w:t>On or after 1 January 2021</w:t>
            </w:r>
          </w:p>
          <w:p w14:paraId="640653B4" w14:textId="77777777" w:rsidR="00D31D6C" w:rsidRPr="006670C9" w:rsidRDefault="00D31D6C" w:rsidP="006670C9">
            <w:pPr>
              <w:pStyle w:val="TableTextLeft"/>
            </w:pPr>
            <w:r w:rsidRPr="006670C9">
              <w:t>Imprisonment for 10 years, or 15,000 penalty units (or 150,000 penalty units if the person is a corporation), or both.</w:t>
            </w:r>
          </w:p>
        </w:tc>
        <w:tc>
          <w:tcPr>
            <w:tcW w:w="5953" w:type="dxa"/>
            <w:shd w:val="clear" w:color="auto" w:fill="auto"/>
          </w:tcPr>
          <w:p w14:paraId="61C61188" w14:textId="77777777" w:rsidR="00D31D6C" w:rsidRPr="006670C9" w:rsidRDefault="00D31D6C" w:rsidP="006670C9">
            <w:pPr>
              <w:pStyle w:val="TableTextLeft"/>
              <w:rPr>
                <w:b/>
              </w:rPr>
            </w:pPr>
            <w:r w:rsidRPr="006670C9">
              <w:rPr>
                <w:b/>
              </w:rPr>
              <w:t>Section 91 of the Act</w:t>
            </w:r>
          </w:p>
          <w:p w14:paraId="069B72E4" w14:textId="77777777" w:rsidR="00D31D6C" w:rsidRPr="006670C9" w:rsidRDefault="00D31D6C" w:rsidP="006670C9">
            <w:pPr>
              <w:pStyle w:val="TableTextLeft"/>
              <w:rPr>
                <w:u w:val="single"/>
              </w:rPr>
            </w:pPr>
            <w:r w:rsidRPr="006670C9">
              <w:rPr>
                <w:u w:val="single"/>
              </w:rPr>
              <w:t>Before 1 January 2021</w:t>
            </w:r>
          </w:p>
          <w:p w14:paraId="14933832" w14:textId="77777777" w:rsidR="00D31D6C" w:rsidRDefault="00D31D6C" w:rsidP="006670C9">
            <w:pPr>
              <w:pStyle w:val="TableTextLeft"/>
            </w:pPr>
            <w:r w:rsidRPr="003159D9">
              <w:t xml:space="preserve">250 penalty units (or 1,250 penalty units if the person is a corporation). </w:t>
            </w:r>
          </w:p>
          <w:p w14:paraId="6EDFA5CF" w14:textId="77777777" w:rsidR="00D31D6C" w:rsidRPr="003159D9" w:rsidRDefault="00D31D6C" w:rsidP="006670C9">
            <w:pPr>
              <w:pStyle w:val="TableTextLeft"/>
            </w:pPr>
          </w:p>
          <w:p w14:paraId="14E8F9A0" w14:textId="77777777" w:rsidR="00D31D6C" w:rsidRPr="007B4C6D" w:rsidRDefault="00D31D6C" w:rsidP="006670C9">
            <w:pPr>
              <w:pStyle w:val="TableTextLeft"/>
              <w:rPr>
                <w:u w:val="single"/>
              </w:rPr>
            </w:pPr>
            <w:r w:rsidRPr="003159D9">
              <w:rPr>
                <w:u w:val="single"/>
              </w:rPr>
              <w:t>On or after 1 January 2021</w:t>
            </w:r>
          </w:p>
          <w:p w14:paraId="48BD39AE" w14:textId="77777777" w:rsidR="00D31D6C" w:rsidRPr="003159D9" w:rsidRDefault="00D31D6C" w:rsidP="006670C9">
            <w:pPr>
              <w:pStyle w:val="TableTextLeft"/>
            </w:pPr>
            <w:r w:rsidRPr="003159D9">
              <w:t xml:space="preserve">The greater of 5,000 penalty units (or 50,000 </w:t>
            </w:r>
            <w:r>
              <w:t xml:space="preserve">penalty units </w:t>
            </w:r>
            <w:r w:rsidRPr="003159D9">
              <w:t>if the person is a corporation) or 75% of the value of the investment to a maximum monetary value of 2.5 million penalty units</w:t>
            </w:r>
            <w:r>
              <w:t xml:space="preserve">. </w:t>
            </w:r>
          </w:p>
          <w:p w14:paraId="1E5A97CA" w14:textId="77777777" w:rsidR="00D31D6C" w:rsidRPr="003159D9" w:rsidRDefault="00D31D6C" w:rsidP="006670C9">
            <w:pPr>
              <w:pStyle w:val="TableTextLeft"/>
              <w:rPr>
                <w:b/>
              </w:rPr>
            </w:pPr>
            <w:r>
              <w:rPr>
                <w:b/>
              </w:rPr>
              <w:t xml:space="preserve">Note: An infringement notice may be given for </w:t>
            </w:r>
            <w:r w:rsidRPr="003159D9">
              <w:rPr>
                <w:b/>
              </w:rPr>
              <w:t>contraventions that occur on or after</w:t>
            </w:r>
            <w:r>
              <w:rPr>
                <w:b/>
              </w:rPr>
              <w:t xml:space="preserve"> 1 January 2021.* </w:t>
            </w:r>
          </w:p>
        </w:tc>
      </w:tr>
      <w:tr w:rsidR="00D31D6C" w14:paraId="7CF065BD" w14:textId="77777777" w:rsidTr="00566E0D">
        <w:trPr>
          <w:cantSplit/>
        </w:trPr>
        <w:tc>
          <w:tcPr>
            <w:tcW w:w="3539" w:type="dxa"/>
            <w:shd w:val="clear" w:color="auto" w:fill="auto"/>
          </w:tcPr>
          <w:p w14:paraId="39A5B710" w14:textId="77777777" w:rsidR="00D31D6C" w:rsidRDefault="00D31D6C" w:rsidP="00D31D6C">
            <w:pPr>
              <w:pStyle w:val="TableTextLeft"/>
            </w:pPr>
            <w:r w:rsidRPr="00A12520">
              <w:t xml:space="preserve">Take before the relevant day mentioned in </w:t>
            </w:r>
            <w:r w:rsidRPr="003159D9">
              <w:t>section 82 of the Act, a significant action, notifiable national security ac</w:t>
            </w:r>
            <w:r>
              <w:t xml:space="preserve">tion* </w:t>
            </w:r>
            <w:r w:rsidRPr="003159D9">
              <w:t>or reviewable national security action</w:t>
            </w:r>
            <w:r>
              <w:t xml:space="preserve">* </w:t>
            </w:r>
            <w:r w:rsidRPr="003159D9">
              <w:t>that has been notified to the Treasurer.</w:t>
            </w:r>
            <w:r>
              <w:t xml:space="preserve"> </w:t>
            </w:r>
          </w:p>
          <w:p w14:paraId="256CA214" w14:textId="77777777" w:rsidR="006670C9" w:rsidRDefault="006670C9" w:rsidP="006670C9">
            <w:pPr>
              <w:pStyle w:val="TableTextLeft"/>
            </w:pPr>
          </w:p>
          <w:p w14:paraId="539294C2" w14:textId="77777777" w:rsidR="00D31D6C" w:rsidRPr="00A12520" w:rsidRDefault="00D31D6C" w:rsidP="006670C9">
            <w:pPr>
              <w:pStyle w:val="TableTextLeft"/>
            </w:pPr>
            <w:r w:rsidRPr="00A12520">
              <w:t>Take an action after being advised by the Treasurer that the action may pose a national security concern.</w:t>
            </w:r>
            <w:r>
              <w:t>*</w:t>
            </w:r>
          </w:p>
        </w:tc>
        <w:tc>
          <w:tcPr>
            <w:tcW w:w="5387" w:type="dxa"/>
            <w:shd w:val="clear" w:color="auto" w:fill="auto"/>
          </w:tcPr>
          <w:p w14:paraId="3961B8DC" w14:textId="77777777" w:rsidR="00D31D6C" w:rsidRPr="006670C9" w:rsidRDefault="00D31D6C" w:rsidP="006670C9">
            <w:pPr>
              <w:pStyle w:val="TableTextLeft"/>
              <w:rPr>
                <w:b/>
              </w:rPr>
            </w:pPr>
            <w:r w:rsidRPr="006670C9">
              <w:rPr>
                <w:b/>
              </w:rPr>
              <w:t>Section 85 of the Act</w:t>
            </w:r>
          </w:p>
          <w:p w14:paraId="74FD965A" w14:textId="77777777" w:rsidR="00D31D6C" w:rsidRPr="006670C9" w:rsidRDefault="00D31D6C" w:rsidP="006670C9">
            <w:pPr>
              <w:pStyle w:val="TableTextLeft"/>
              <w:rPr>
                <w:u w:val="single"/>
              </w:rPr>
            </w:pPr>
            <w:r w:rsidRPr="006670C9">
              <w:rPr>
                <w:u w:val="single"/>
              </w:rPr>
              <w:t>Before 1 January 2021</w:t>
            </w:r>
          </w:p>
          <w:p w14:paraId="3F7DF102" w14:textId="77777777" w:rsidR="00D31D6C" w:rsidRPr="006670C9" w:rsidRDefault="00D31D6C" w:rsidP="006670C9">
            <w:pPr>
              <w:pStyle w:val="TableTextLeft"/>
            </w:pPr>
            <w:r w:rsidRPr="006670C9">
              <w:t xml:space="preserve">Imprisonment for 3 years or 750 penalty units (or 3,750 if the person is a corporation), or both. </w:t>
            </w:r>
          </w:p>
          <w:p w14:paraId="5D93AC5F" w14:textId="77777777" w:rsidR="00D31D6C" w:rsidRPr="006670C9" w:rsidRDefault="00D31D6C" w:rsidP="006670C9">
            <w:pPr>
              <w:pStyle w:val="TableTextLeft"/>
            </w:pPr>
          </w:p>
          <w:p w14:paraId="05489FC4" w14:textId="77777777" w:rsidR="00D31D6C" w:rsidRPr="006670C9" w:rsidRDefault="00D31D6C" w:rsidP="006670C9">
            <w:pPr>
              <w:pStyle w:val="TableTextLeft"/>
              <w:rPr>
                <w:u w:val="single"/>
              </w:rPr>
            </w:pPr>
            <w:r w:rsidRPr="006670C9">
              <w:rPr>
                <w:u w:val="single"/>
              </w:rPr>
              <w:t>On or after 1 January 2021</w:t>
            </w:r>
          </w:p>
          <w:p w14:paraId="4E25E138" w14:textId="77777777" w:rsidR="00D31D6C" w:rsidRPr="006670C9" w:rsidRDefault="00D31D6C" w:rsidP="006670C9">
            <w:pPr>
              <w:pStyle w:val="TableTextLeft"/>
            </w:pPr>
            <w:r w:rsidRPr="006670C9">
              <w:t>Imprisonment for 10 years, or 15,000 penalty units (or 150,000 penalty units if the person is a corporation), or both.</w:t>
            </w:r>
          </w:p>
          <w:p w14:paraId="1E3DF1F8" w14:textId="77777777" w:rsidR="00D31D6C" w:rsidRPr="006670C9" w:rsidRDefault="00D31D6C" w:rsidP="006670C9">
            <w:pPr>
              <w:pStyle w:val="TableTextLeft"/>
            </w:pPr>
            <w:r w:rsidRPr="006670C9" w:rsidDel="004F7A85">
              <w:t xml:space="preserve"> </w:t>
            </w:r>
          </w:p>
        </w:tc>
        <w:tc>
          <w:tcPr>
            <w:tcW w:w="5953" w:type="dxa"/>
            <w:shd w:val="clear" w:color="auto" w:fill="auto"/>
          </w:tcPr>
          <w:p w14:paraId="49787BA7" w14:textId="77777777" w:rsidR="00D31D6C" w:rsidRPr="00566E0D" w:rsidRDefault="00D31D6C" w:rsidP="00566E0D">
            <w:pPr>
              <w:pStyle w:val="TableTextLeft"/>
              <w:rPr>
                <w:b/>
              </w:rPr>
            </w:pPr>
            <w:r w:rsidRPr="00566E0D">
              <w:rPr>
                <w:b/>
              </w:rPr>
              <w:t>Section 92 of the Act</w:t>
            </w:r>
          </w:p>
          <w:p w14:paraId="2E2C973A" w14:textId="77777777" w:rsidR="00D31D6C" w:rsidRPr="003159D9" w:rsidRDefault="00D31D6C" w:rsidP="00566E0D">
            <w:pPr>
              <w:pStyle w:val="TableTextLeft"/>
              <w:rPr>
                <w:u w:val="single"/>
              </w:rPr>
            </w:pPr>
            <w:r w:rsidRPr="003159D9">
              <w:rPr>
                <w:u w:val="single"/>
              </w:rPr>
              <w:t>Before 1 January 2021</w:t>
            </w:r>
          </w:p>
          <w:p w14:paraId="7FB25293" w14:textId="77777777" w:rsidR="00D31D6C" w:rsidRPr="003159D9" w:rsidRDefault="00D31D6C" w:rsidP="00566E0D">
            <w:pPr>
              <w:pStyle w:val="TableTextLeft"/>
            </w:pPr>
            <w:r w:rsidRPr="003159D9">
              <w:t xml:space="preserve">250 penalty units (or 1,250 penalty units if the person is a corporation). </w:t>
            </w:r>
          </w:p>
          <w:p w14:paraId="7716CEAE" w14:textId="77777777" w:rsidR="00D31D6C" w:rsidRPr="003159D9" w:rsidRDefault="00D31D6C" w:rsidP="00566E0D">
            <w:pPr>
              <w:pStyle w:val="TableTextLeft"/>
            </w:pPr>
          </w:p>
          <w:p w14:paraId="4103DE06" w14:textId="77777777" w:rsidR="00D31D6C" w:rsidRPr="007B4C6D" w:rsidRDefault="00D31D6C" w:rsidP="00566E0D">
            <w:pPr>
              <w:pStyle w:val="TableTextLeft"/>
              <w:rPr>
                <w:u w:val="single"/>
              </w:rPr>
            </w:pPr>
            <w:r w:rsidRPr="003159D9">
              <w:rPr>
                <w:u w:val="single"/>
              </w:rPr>
              <w:t>On or after 1 January 2021</w:t>
            </w:r>
          </w:p>
          <w:p w14:paraId="4C696CE9" w14:textId="77777777" w:rsidR="00D31D6C" w:rsidRPr="003159D9" w:rsidRDefault="00D31D6C" w:rsidP="00566E0D">
            <w:pPr>
              <w:pStyle w:val="TableTextLeft"/>
            </w:pPr>
            <w:r w:rsidRPr="005F4056">
              <w:t xml:space="preserve">The greater of 5,000 penalty units (or 50,000 </w:t>
            </w:r>
            <w:r>
              <w:t xml:space="preserve">penalty units </w:t>
            </w:r>
            <w:r w:rsidRPr="005F4056">
              <w:t>if the person is a corporation) or 75% of the value of the investment to a maximum monetary value of 2.5 million penalty units</w:t>
            </w:r>
            <w:r>
              <w:t xml:space="preserve">. </w:t>
            </w:r>
          </w:p>
          <w:p w14:paraId="03841398" w14:textId="77777777" w:rsidR="00D31D6C" w:rsidRPr="00566E0D" w:rsidRDefault="00D31D6C" w:rsidP="00566E0D">
            <w:pPr>
              <w:pStyle w:val="TableTextLeft"/>
              <w:rPr>
                <w:b/>
              </w:rPr>
            </w:pPr>
            <w:r w:rsidRPr="00566E0D">
              <w:rPr>
                <w:b/>
              </w:rPr>
              <w:t>Note: An infringement notice may be given for contraventions that occur on or after 1 January 2021.*</w:t>
            </w:r>
          </w:p>
        </w:tc>
      </w:tr>
      <w:tr w:rsidR="00D31D6C" w14:paraId="0249444F" w14:textId="77777777" w:rsidTr="00566E0D">
        <w:trPr>
          <w:cantSplit/>
        </w:trPr>
        <w:tc>
          <w:tcPr>
            <w:tcW w:w="3539" w:type="dxa"/>
            <w:shd w:val="clear" w:color="auto" w:fill="auto"/>
          </w:tcPr>
          <w:p w14:paraId="2D7BF45B" w14:textId="77777777" w:rsidR="00D31D6C" w:rsidRPr="00A12520" w:rsidRDefault="00D31D6C" w:rsidP="00566E0D">
            <w:pPr>
              <w:pStyle w:val="TableTextLeft"/>
            </w:pPr>
            <w:r w:rsidRPr="00A12520">
              <w:lastRenderedPageBreak/>
              <w:t>Take an action that is under review and has been prohibited by the issuing of a notice of review (last resort powers).</w:t>
            </w:r>
            <w:r>
              <w:t>*</w:t>
            </w:r>
          </w:p>
        </w:tc>
        <w:tc>
          <w:tcPr>
            <w:tcW w:w="5387" w:type="dxa"/>
            <w:shd w:val="clear" w:color="auto" w:fill="auto"/>
          </w:tcPr>
          <w:p w14:paraId="075A01BB" w14:textId="77777777" w:rsidR="00D31D6C" w:rsidRPr="00566E0D" w:rsidRDefault="00D31D6C" w:rsidP="00566E0D">
            <w:pPr>
              <w:pStyle w:val="TableTextLeft"/>
              <w:rPr>
                <w:b/>
              </w:rPr>
            </w:pPr>
            <w:r w:rsidRPr="00566E0D">
              <w:rPr>
                <w:b/>
              </w:rPr>
              <w:t>Section 85A of the Act</w:t>
            </w:r>
          </w:p>
          <w:p w14:paraId="23011F07" w14:textId="77777777" w:rsidR="00D31D6C" w:rsidRPr="00566E0D" w:rsidRDefault="00D31D6C" w:rsidP="00566E0D">
            <w:pPr>
              <w:pStyle w:val="TableTextLeft"/>
              <w:rPr>
                <w:u w:val="single"/>
              </w:rPr>
            </w:pPr>
            <w:r w:rsidRPr="00566E0D">
              <w:rPr>
                <w:u w:val="single"/>
              </w:rPr>
              <w:t>On or after 1 January 2021</w:t>
            </w:r>
          </w:p>
          <w:p w14:paraId="7D101CF1" w14:textId="77777777" w:rsidR="00D31D6C" w:rsidRPr="003159D9" w:rsidRDefault="00D31D6C" w:rsidP="00566E0D">
            <w:pPr>
              <w:pStyle w:val="TableTextLeft"/>
              <w:rPr>
                <w:rFonts w:asciiTheme="minorHAnsi" w:hAnsiTheme="minorHAnsi" w:cstheme="minorHAnsi"/>
                <w:b/>
                <w:sz w:val="22"/>
                <w:szCs w:val="22"/>
              </w:rPr>
            </w:pPr>
            <w:r>
              <w:t>I</w:t>
            </w:r>
            <w:r w:rsidRPr="005F4056">
              <w:t>mprisonment for 10 years, or 15,000 penalty units (or 150,000 penalty units if the person is a corporation), or both.</w:t>
            </w:r>
            <w:r w:rsidRPr="003159D9" w:rsidDel="00B751A2">
              <w:rPr>
                <w:rFonts w:asciiTheme="minorHAnsi" w:hAnsiTheme="minorHAnsi" w:cstheme="minorHAnsi"/>
                <w:b/>
                <w:sz w:val="22"/>
                <w:szCs w:val="22"/>
              </w:rPr>
              <w:t xml:space="preserve"> </w:t>
            </w:r>
          </w:p>
        </w:tc>
        <w:tc>
          <w:tcPr>
            <w:tcW w:w="5953" w:type="dxa"/>
            <w:shd w:val="clear" w:color="auto" w:fill="auto"/>
          </w:tcPr>
          <w:p w14:paraId="6E333BBD" w14:textId="77777777" w:rsidR="00D31D6C" w:rsidRPr="00566E0D" w:rsidRDefault="00D31D6C" w:rsidP="00566E0D">
            <w:pPr>
              <w:pStyle w:val="TableTextLeft"/>
              <w:rPr>
                <w:b/>
              </w:rPr>
            </w:pPr>
            <w:r w:rsidRPr="00566E0D">
              <w:rPr>
                <w:b/>
              </w:rPr>
              <w:t>Section 92A of the Act</w:t>
            </w:r>
          </w:p>
          <w:p w14:paraId="3E87BAF8" w14:textId="77777777" w:rsidR="00D31D6C" w:rsidRPr="007B4C6D" w:rsidRDefault="00D31D6C" w:rsidP="00566E0D">
            <w:pPr>
              <w:pStyle w:val="TableTextLeft"/>
            </w:pPr>
            <w:r w:rsidRPr="003159D9">
              <w:t>On or after 1 January 2021</w:t>
            </w:r>
          </w:p>
          <w:p w14:paraId="781C98ED" w14:textId="77777777" w:rsidR="00D31D6C" w:rsidRPr="003159D9" w:rsidRDefault="00D31D6C" w:rsidP="00566E0D">
            <w:pPr>
              <w:pStyle w:val="TableTextLeft"/>
            </w:pPr>
            <w:r w:rsidRPr="005F4056">
              <w:t xml:space="preserve">The greater of 5,000 penalty units (or 50,000 </w:t>
            </w:r>
            <w:r>
              <w:t xml:space="preserve">penalty units </w:t>
            </w:r>
            <w:r w:rsidRPr="005F4056">
              <w:t>if the person is a corporation) or 75% of the value of the investment to a maximum monetary value of 2.5 million penalty units</w:t>
            </w:r>
            <w:r>
              <w:t xml:space="preserve">. </w:t>
            </w:r>
          </w:p>
          <w:p w14:paraId="7C23BE52" w14:textId="77777777" w:rsidR="00D31D6C" w:rsidRPr="003159D9" w:rsidRDefault="00D31D6C" w:rsidP="00566E0D">
            <w:pPr>
              <w:pStyle w:val="TableTextLeft"/>
              <w:rPr>
                <w:b/>
                <w:sz w:val="22"/>
                <w:szCs w:val="22"/>
              </w:rPr>
            </w:pPr>
            <w:r>
              <w:rPr>
                <w:b/>
              </w:rPr>
              <w:t xml:space="preserve">Note: An infringement notice may be given for </w:t>
            </w:r>
            <w:r w:rsidRPr="005F4056">
              <w:rPr>
                <w:b/>
              </w:rPr>
              <w:t>contraventions that occur on or after</w:t>
            </w:r>
            <w:r>
              <w:rPr>
                <w:b/>
              </w:rPr>
              <w:t xml:space="preserve"> 1 January 2021.*</w:t>
            </w:r>
          </w:p>
        </w:tc>
      </w:tr>
      <w:tr w:rsidR="00D31D6C" w14:paraId="226D31FF" w14:textId="77777777" w:rsidTr="00566E0D">
        <w:trPr>
          <w:cantSplit/>
        </w:trPr>
        <w:tc>
          <w:tcPr>
            <w:tcW w:w="3539" w:type="dxa"/>
            <w:shd w:val="clear" w:color="auto" w:fill="auto"/>
          </w:tcPr>
          <w:p w14:paraId="4FCE2932" w14:textId="77777777" w:rsidR="00D31D6C" w:rsidRPr="00A12520" w:rsidRDefault="00D31D6C" w:rsidP="00566E0D">
            <w:pPr>
              <w:pStyle w:val="TableTextLeft"/>
            </w:pPr>
            <w:r w:rsidRPr="00A12520">
              <w:t xml:space="preserve">Engage in conduct contravening an </w:t>
            </w:r>
            <w:r w:rsidRPr="00F31D5C">
              <w:t>order prohibiting proposed actions, interim order or disposal order.</w:t>
            </w:r>
          </w:p>
        </w:tc>
        <w:tc>
          <w:tcPr>
            <w:tcW w:w="5387" w:type="dxa"/>
            <w:shd w:val="clear" w:color="auto" w:fill="auto"/>
          </w:tcPr>
          <w:p w14:paraId="330F3A3C" w14:textId="77777777" w:rsidR="00D31D6C" w:rsidRDefault="00D31D6C" w:rsidP="00566E0D">
            <w:pPr>
              <w:pStyle w:val="TableTextLeft"/>
              <w:rPr>
                <w:b/>
              </w:rPr>
            </w:pPr>
            <w:r>
              <w:rPr>
                <w:b/>
              </w:rPr>
              <w:t>S</w:t>
            </w:r>
            <w:r w:rsidRPr="003159D9">
              <w:rPr>
                <w:b/>
              </w:rPr>
              <w:t>ection 86</w:t>
            </w:r>
            <w:r>
              <w:rPr>
                <w:b/>
              </w:rPr>
              <w:t xml:space="preserve"> of the Act</w:t>
            </w:r>
          </w:p>
          <w:p w14:paraId="6A39DCD2" w14:textId="77777777" w:rsidR="00D31D6C" w:rsidRPr="00BE42B8" w:rsidRDefault="00D31D6C" w:rsidP="00566E0D">
            <w:pPr>
              <w:pStyle w:val="TableTextLeft"/>
              <w:rPr>
                <w:rFonts w:asciiTheme="minorHAnsi" w:hAnsiTheme="minorHAnsi" w:cstheme="minorHAnsi"/>
                <w:u w:val="single"/>
              </w:rPr>
            </w:pPr>
            <w:r w:rsidRPr="00BE42B8">
              <w:rPr>
                <w:rFonts w:asciiTheme="minorHAnsi" w:hAnsiTheme="minorHAnsi" w:cstheme="minorHAnsi"/>
                <w:u w:val="single"/>
              </w:rPr>
              <w:t>Before 1 January 2021</w:t>
            </w:r>
          </w:p>
          <w:p w14:paraId="48D95A00" w14:textId="77777777" w:rsidR="00D31D6C" w:rsidRPr="003159D9" w:rsidRDefault="00D31D6C" w:rsidP="00566E0D">
            <w:pPr>
              <w:pStyle w:val="TableTextLeft"/>
              <w:rPr>
                <w:rFonts w:asciiTheme="minorHAnsi" w:hAnsiTheme="minorHAnsi" w:cstheme="minorHAnsi"/>
              </w:rPr>
            </w:pPr>
            <w:r>
              <w:rPr>
                <w:rFonts w:asciiTheme="minorHAnsi" w:hAnsiTheme="minorHAnsi" w:cstheme="minorHAnsi"/>
              </w:rPr>
              <w:t>I</w:t>
            </w:r>
            <w:r w:rsidRPr="003159D9">
              <w:rPr>
                <w:rFonts w:asciiTheme="minorHAnsi" w:hAnsiTheme="minorHAnsi" w:cstheme="minorHAnsi"/>
              </w:rPr>
              <w:t xml:space="preserve">mprisonment for 3 years or 750 penalty units (or 3,750 if the person is a corporation), or both. </w:t>
            </w:r>
          </w:p>
          <w:p w14:paraId="555E998D" w14:textId="77777777" w:rsidR="00D31D6C" w:rsidRDefault="00D31D6C" w:rsidP="00566E0D">
            <w:pPr>
              <w:pStyle w:val="TableTextLeft"/>
              <w:rPr>
                <w:rFonts w:asciiTheme="minorHAnsi" w:hAnsiTheme="minorHAnsi" w:cstheme="minorHAnsi"/>
              </w:rPr>
            </w:pPr>
          </w:p>
          <w:p w14:paraId="2935911D" w14:textId="77777777" w:rsidR="00D31D6C" w:rsidRPr="007B4C6D"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070CC5AD" w14:textId="77777777" w:rsidR="00D31D6C" w:rsidRPr="005F4056" w:rsidRDefault="00D31D6C" w:rsidP="00566E0D">
            <w:pPr>
              <w:pStyle w:val="TableTextLeft"/>
              <w:rPr>
                <w:rFonts w:asciiTheme="minorHAnsi" w:hAnsiTheme="minorHAnsi" w:cstheme="minorHAnsi"/>
              </w:rPr>
            </w:pPr>
            <w:r>
              <w:rPr>
                <w:rFonts w:asciiTheme="minorHAnsi" w:hAnsiTheme="minorHAnsi" w:cstheme="minorHAnsi"/>
              </w:rPr>
              <w:t>I</w:t>
            </w:r>
            <w:r w:rsidRPr="005F4056">
              <w:rPr>
                <w:rFonts w:asciiTheme="minorHAnsi" w:hAnsiTheme="minorHAnsi" w:cstheme="minorHAnsi"/>
              </w:rPr>
              <w:t>mprisonment for 10 years, or 15,000 penalty units (or 150,000 penalty units if the person is a corporation), or both.</w:t>
            </w:r>
          </w:p>
          <w:p w14:paraId="100843E9" w14:textId="77777777" w:rsidR="00D31D6C" w:rsidRPr="00455E7D" w:rsidRDefault="00D31D6C" w:rsidP="00566E0D">
            <w:pPr>
              <w:pStyle w:val="TableTextLeft"/>
            </w:pPr>
          </w:p>
        </w:tc>
        <w:tc>
          <w:tcPr>
            <w:tcW w:w="5953" w:type="dxa"/>
            <w:shd w:val="clear" w:color="auto" w:fill="auto"/>
          </w:tcPr>
          <w:p w14:paraId="2821EEC1" w14:textId="77777777" w:rsidR="00D31D6C" w:rsidRDefault="00D31D6C" w:rsidP="00566E0D">
            <w:pPr>
              <w:pStyle w:val="TableTextLeft"/>
              <w:rPr>
                <w:b/>
              </w:rPr>
            </w:pPr>
            <w:r w:rsidRPr="003159D9">
              <w:rPr>
                <w:b/>
              </w:rPr>
              <w:t>Section 89 of the Act</w:t>
            </w:r>
          </w:p>
          <w:p w14:paraId="38D122ED" w14:textId="77777777" w:rsidR="00D31D6C" w:rsidRPr="00BE42B8" w:rsidRDefault="00D31D6C" w:rsidP="00566E0D">
            <w:pPr>
              <w:pStyle w:val="TableTextLeft"/>
              <w:rPr>
                <w:rFonts w:asciiTheme="minorHAnsi" w:hAnsiTheme="minorHAnsi" w:cstheme="minorHAnsi"/>
                <w:u w:val="single"/>
              </w:rPr>
            </w:pPr>
            <w:r w:rsidRPr="00BE42B8">
              <w:rPr>
                <w:rFonts w:asciiTheme="minorHAnsi" w:hAnsiTheme="minorHAnsi" w:cstheme="minorHAnsi"/>
                <w:u w:val="single"/>
              </w:rPr>
              <w:t>Before 1 January 2021</w:t>
            </w:r>
          </w:p>
          <w:p w14:paraId="4A35BC82" w14:textId="77777777" w:rsidR="00D31D6C" w:rsidRPr="005F4056" w:rsidRDefault="00D31D6C" w:rsidP="00566E0D">
            <w:pPr>
              <w:pStyle w:val="TableTextLeft"/>
              <w:rPr>
                <w:rFonts w:asciiTheme="minorHAnsi" w:hAnsiTheme="minorHAnsi" w:cstheme="minorHAnsi"/>
              </w:rPr>
            </w:pPr>
            <w:r w:rsidRPr="005F4056">
              <w:rPr>
                <w:rFonts w:asciiTheme="minorHAnsi" w:hAnsiTheme="minorHAnsi" w:cstheme="minorHAnsi"/>
              </w:rPr>
              <w:t xml:space="preserve">250 penalty units (or 1,250 penalty units if the person is a corporation). </w:t>
            </w:r>
          </w:p>
          <w:p w14:paraId="0A8D9BF9" w14:textId="77777777" w:rsidR="00D31D6C" w:rsidRDefault="00D31D6C" w:rsidP="00566E0D">
            <w:pPr>
              <w:pStyle w:val="TableTextLeft"/>
              <w:rPr>
                <w:b/>
              </w:rPr>
            </w:pPr>
          </w:p>
          <w:p w14:paraId="75A563A4" w14:textId="77777777" w:rsidR="00D31D6C" w:rsidRPr="007B4C6D"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64EC6FA8" w14:textId="77777777" w:rsidR="00D31D6C" w:rsidRPr="003159D9" w:rsidRDefault="00D31D6C" w:rsidP="00566E0D">
            <w:pPr>
              <w:pStyle w:val="TableTextLeft"/>
              <w:rPr>
                <w:rFonts w:asciiTheme="minorHAnsi" w:hAnsiTheme="minorHAnsi" w:cstheme="minorHAnsi"/>
              </w:rPr>
            </w:pPr>
            <w:r w:rsidRPr="005F4056">
              <w:rPr>
                <w:rFonts w:asciiTheme="minorHAnsi" w:hAnsiTheme="minorHAnsi" w:cstheme="minorHAnsi"/>
              </w:rPr>
              <w:t xml:space="preserve">The greater of 5,000 penalty units (or 50,000 </w:t>
            </w:r>
            <w:r>
              <w:rPr>
                <w:rFonts w:asciiTheme="minorHAnsi" w:hAnsiTheme="minorHAnsi" w:cstheme="minorHAnsi"/>
              </w:rPr>
              <w:t xml:space="preserve">penalty units </w:t>
            </w:r>
            <w:r w:rsidRPr="005F4056">
              <w:rPr>
                <w:rFonts w:asciiTheme="minorHAnsi" w:hAnsiTheme="minorHAnsi" w:cstheme="minorHAnsi"/>
              </w:rPr>
              <w:t>if the person is a corporation) or 75% of the value of the investment to a maximum monetary value of 2.5 million penalty units</w:t>
            </w:r>
            <w:r>
              <w:rPr>
                <w:rFonts w:asciiTheme="minorHAnsi" w:hAnsiTheme="minorHAnsi" w:cstheme="minorHAnsi"/>
              </w:rPr>
              <w:t xml:space="preserve">. </w:t>
            </w:r>
          </w:p>
          <w:p w14:paraId="5D845B38" w14:textId="77777777" w:rsidR="00D31D6C" w:rsidRDefault="00D31D6C" w:rsidP="00566E0D">
            <w:pPr>
              <w:pStyle w:val="TableTextLeft"/>
              <w:rPr>
                <w:b/>
              </w:rPr>
            </w:pPr>
            <w:r>
              <w:rPr>
                <w:b/>
              </w:rPr>
              <w:t xml:space="preserve">Note: An infringement notice may be given for </w:t>
            </w:r>
            <w:r w:rsidRPr="005F4056">
              <w:rPr>
                <w:b/>
              </w:rPr>
              <w:t>contraventions that occur on or after</w:t>
            </w:r>
            <w:r>
              <w:rPr>
                <w:b/>
              </w:rPr>
              <w:t xml:space="preserve"> 1 January 2021.*</w:t>
            </w:r>
          </w:p>
          <w:p w14:paraId="39AC4F5B" w14:textId="77777777" w:rsidR="00D31D6C" w:rsidRPr="003159D9" w:rsidRDefault="00D31D6C" w:rsidP="00566E0D">
            <w:pPr>
              <w:pStyle w:val="TableTextLeft"/>
              <w:rPr>
                <w:b/>
              </w:rPr>
            </w:pPr>
          </w:p>
        </w:tc>
      </w:tr>
      <w:tr w:rsidR="00D31D6C" w14:paraId="688BA747" w14:textId="77777777" w:rsidTr="00566E0D">
        <w:trPr>
          <w:cantSplit/>
        </w:trPr>
        <w:tc>
          <w:tcPr>
            <w:tcW w:w="3539" w:type="dxa"/>
            <w:shd w:val="clear" w:color="auto" w:fill="auto"/>
          </w:tcPr>
          <w:p w14:paraId="5223D89B" w14:textId="77777777" w:rsidR="00D31D6C" w:rsidRPr="00A12520" w:rsidRDefault="00D31D6C" w:rsidP="00566E0D">
            <w:pPr>
              <w:pStyle w:val="TableTextLeft"/>
            </w:pPr>
            <w:r w:rsidRPr="00A12520">
              <w:t xml:space="preserve">Engage in conduct contravening conditions applied to a no objection notification, notice imposing conditions </w:t>
            </w:r>
            <w:r>
              <w:t xml:space="preserve">(on or after 1 January 2021) </w:t>
            </w:r>
            <w:r w:rsidRPr="00A12520">
              <w:t>or in an exemption certificate.</w:t>
            </w:r>
          </w:p>
        </w:tc>
        <w:tc>
          <w:tcPr>
            <w:tcW w:w="5387" w:type="dxa"/>
            <w:shd w:val="clear" w:color="auto" w:fill="auto"/>
          </w:tcPr>
          <w:p w14:paraId="44398B66" w14:textId="77777777" w:rsidR="00D31D6C" w:rsidRPr="003159D9" w:rsidRDefault="00D31D6C" w:rsidP="00566E0D">
            <w:pPr>
              <w:pStyle w:val="TableTextLeft"/>
              <w:rPr>
                <w:b/>
              </w:rPr>
            </w:pPr>
            <w:r w:rsidRPr="003159D9">
              <w:rPr>
                <w:b/>
              </w:rPr>
              <w:t>Section 87 of the Act</w:t>
            </w:r>
          </w:p>
          <w:p w14:paraId="6EA5A0C4" w14:textId="77777777" w:rsidR="00D31D6C" w:rsidRPr="00BE42B8" w:rsidRDefault="00D31D6C" w:rsidP="00566E0D">
            <w:pPr>
              <w:pStyle w:val="TableTextLeft"/>
              <w:rPr>
                <w:rFonts w:asciiTheme="minorHAnsi" w:hAnsiTheme="minorHAnsi" w:cstheme="minorHAnsi"/>
                <w:u w:val="single"/>
              </w:rPr>
            </w:pPr>
            <w:r w:rsidRPr="00BE42B8">
              <w:rPr>
                <w:rFonts w:asciiTheme="minorHAnsi" w:hAnsiTheme="minorHAnsi" w:cstheme="minorHAnsi"/>
                <w:u w:val="single"/>
              </w:rPr>
              <w:t>Before 1 January 2021</w:t>
            </w:r>
          </w:p>
          <w:p w14:paraId="631581CD" w14:textId="77777777" w:rsidR="00D31D6C" w:rsidRDefault="00D31D6C" w:rsidP="00566E0D">
            <w:pPr>
              <w:pStyle w:val="TableTextLeft"/>
              <w:rPr>
                <w:rFonts w:asciiTheme="minorHAnsi" w:hAnsiTheme="minorHAnsi" w:cstheme="minorHAnsi"/>
              </w:rPr>
            </w:pPr>
            <w:r>
              <w:rPr>
                <w:rFonts w:asciiTheme="minorHAnsi" w:hAnsiTheme="minorHAnsi" w:cstheme="minorHAnsi"/>
              </w:rPr>
              <w:t>I</w:t>
            </w:r>
            <w:r w:rsidRPr="005F4056">
              <w:rPr>
                <w:rFonts w:asciiTheme="minorHAnsi" w:hAnsiTheme="minorHAnsi" w:cstheme="minorHAnsi"/>
              </w:rPr>
              <w:t xml:space="preserve">mprisonment for 3 years or 750 penalty units (or 3,750 if the person is a corporation), or both. </w:t>
            </w:r>
          </w:p>
          <w:p w14:paraId="4B218664" w14:textId="77777777" w:rsidR="00D31D6C" w:rsidRDefault="00D31D6C" w:rsidP="00566E0D">
            <w:pPr>
              <w:pStyle w:val="TableTextLeft"/>
              <w:rPr>
                <w:rFonts w:asciiTheme="minorHAnsi" w:hAnsiTheme="minorHAnsi" w:cstheme="minorHAnsi"/>
              </w:rPr>
            </w:pPr>
          </w:p>
          <w:p w14:paraId="602D79E6" w14:textId="77777777" w:rsidR="00D31D6C" w:rsidRPr="007B4C6D"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4BAA6903" w14:textId="77777777" w:rsidR="00D31D6C" w:rsidRPr="00A12520" w:rsidRDefault="00D31D6C" w:rsidP="00566E0D">
            <w:pPr>
              <w:pStyle w:val="TableTextLeft"/>
            </w:pPr>
            <w:r>
              <w:rPr>
                <w:rFonts w:asciiTheme="minorHAnsi" w:hAnsiTheme="minorHAnsi" w:cstheme="minorHAnsi"/>
              </w:rPr>
              <w:t>I</w:t>
            </w:r>
            <w:r w:rsidRPr="005F4056">
              <w:rPr>
                <w:rFonts w:asciiTheme="minorHAnsi" w:hAnsiTheme="minorHAnsi" w:cstheme="minorHAnsi"/>
              </w:rPr>
              <w:t>mprisonment for 10 years, or 15,000 penalty units (or 150,000 penalty units if the person is a corporation), or both.</w:t>
            </w:r>
          </w:p>
        </w:tc>
        <w:tc>
          <w:tcPr>
            <w:tcW w:w="5953" w:type="dxa"/>
            <w:shd w:val="clear" w:color="auto" w:fill="auto"/>
          </w:tcPr>
          <w:p w14:paraId="638B669D" w14:textId="77777777" w:rsidR="00D31D6C" w:rsidRDefault="00D31D6C" w:rsidP="00566E0D">
            <w:pPr>
              <w:pStyle w:val="TableTextLeft"/>
              <w:rPr>
                <w:b/>
              </w:rPr>
            </w:pPr>
            <w:r w:rsidRPr="003159D9">
              <w:rPr>
                <w:b/>
              </w:rPr>
              <w:t>Section 93 of the Act</w:t>
            </w:r>
          </w:p>
          <w:p w14:paraId="75EC7CA8" w14:textId="77777777" w:rsidR="00D31D6C" w:rsidRPr="00BE42B8" w:rsidRDefault="00D31D6C" w:rsidP="00566E0D">
            <w:pPr>
              <w:pStyle w:val="TableTextLeft"/>
              <w:rPr>
                <w:rFonts w:asciiTheme="minorHAnsi" w:hAnsiTheme="minorHAnsi" w:cstheme="minorHAnsi"/>
                <w:u w:val="single"/>
              </w:rPr>
            </w:pPr>
            <w:r w:rsidRPr="00BE42B8">
              <w:rPr>
                <w:rFonts w:asciiTheme="minorHAnsi" w:hAnsiTheme="minorHAnsi" w:cstheme="minorHAnsi"/>
                <w:u w:val="single"/>
              </w:rPr>
              <w:t>Before 1 January 2021</w:t>
            </w:r>
          </w:p>
          <w:p w14:paraId="0C774141" w14:textId="77777777" w:rsidR="00D31D6C" w:rsidRPr="005F4056" w:rsidRDefault="00D31D6C" w:rsidP="00566E0D">
            <w:pPr>
              <w:pStyle w:val="TableTextLeft"/>
              <w:rPr>
                <w:rFonts w:asciiTheme="minorHAnsi" w:hAnsiTheme="minorHAnsi" w:cstheme="minorHAnsi"/>
              </w:rPr>
            </w:pPr>
            <w:r w:rsidRPr="005F4056">
              <w:rPr>
                <w:rFonts w:asciiTheme="minorHAnsi" w:hAnsiTheme="minorHAnsi" w:cstheme="minorHAnsi"/>
              </w:rPr>
              <w:t xml:space="preserve">250 penalty units (or 1,250 penalty units if the person is a corporation). </w:t>
            </w:r>
          </w:p>
          <w:p w14:paraId="560F16C8" w14:textId="77777777" w:rsidR="00D31D6C" w:rsidRDefault="00D31D6C" w:rsidP="00566E0D">
            <w:pPr>
              <w:pStyle w:val="TableTextLeft"/>
              <w:rPr>
                <w:b/>
              </w:rPr>
            </w:pPr>
          </w:p>
          <w:p w14:paraId="1BE9CB07" w14:textId="77777777" w:rsidR="00D31D6C" w:rsidRPr="007B4C6D"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731E933F" w14:textId="77777777" w:rsidR="00D31D6C" w:rsidRPr="003159D9" w:rsidRDefault="00D31D6C" w:rsidP="00566E0D">
            <w:pPr>
              <w:pStyle w:val="TableTextLeft"/>
              <w:rPr>
                <w:rFonts w:cstheme="minorHAnsi"/>
              </w:rPr>
            </w:pPr>
            <w:r w:rsidRPr="003159D9">
              <w:rPr>
                <w:rFonts w:cstheme="minorHAnsi"/>
              </w:rPr>
              <w:t xml:space="preserve">The greater of 5,000 penalty units (or 50,000 </w:t>
            </w:r>
            <w:r>
              <w:rPr>
                <w:rFonts w:cstheme="minorHAnsi"/>
              </w:rPr>
              <w:t xml:space="preserve">penalty units </w:t>
            </w:r>
            <w:r w:rsidRPr="003159D9">
              <w:rPr>
                <w:rFonts w:cstheme="minorHAnsi"/>
              </w:rPr>
              <w:t xml:space="preserve">if the person is a corporation) or 75% of the value of the investment to a maximum monetary value of 2.5 million penalty units. </w:t>
            </w:r>
          </w:p>
          <w:p w14:paraId="7703D191" w14:textId="77777777" w:rsidR="00D31D6C" w:rsidRPr="003159D9" w:rsidRDefault="00D31D6C" w:rsidP="00566E0D">
            <w:pPr>
              <w:pStyle w:val="TableTextLeft"/>
              <w:rPr>
                <w:b/>
              </w:rPr>
            </w:pPr>
            <w:r>
              <w:rPr>
                <w:b/>
              </w:rPr>
              <w:t xml:space="preserve">Note: An infringement notice may be given for </w:t>
            </w:r>
            <w:r w:rsidRPr="005F4056">
              <w:rPr>
                <w:b/>
              </w:rPr>
              <w:t>contraventions that occur on or after</w:t>
            </w:r>
            <w:r>
              <w:rPr>
                <w:b/>
              </w:rPr>
              <w:t xml:space="preserve"> 1 January 2021.*</w:t>
            </w:r>
          </w:p>
        </w:tc>
      </w:tr>
      <w:tr w:rsidR="00D31D6C" w14:paraId="5B32B7BC" w14:textId="77777777" w:rsidTr="00566E0D">
        <w:trPr>
          <w:cantSplit/>
        </w:trPr>
        <w:tc>
          <w:tcPr>
            <w:tcW w:w="3539" w:type="dxa"/>
            <w:shd w:val="clear" w:color="auto" w:fill="auto"/>
          </w:tcPr>
          <w:p w14:paraId="509D3585" w14:textId="77777777" w:rsidR="00D31D6C" w:rsidRPr="00A12520" w:rsidRDefault="00D31D6C" w:rsidP="00566E0D">
            <w:pPr>
              <w:pStyle w:val="TableTextLeft"/>
            </w:pPr>
            <w:r w:rsidRPr="00A12520">
              <w:t>Engage in conduct that contravenes</w:t>
            </w:r>
            <w:r>
              <w:t xml:space="preserve"> a direction or interim direction given under the Act</w:t>
            </w:r>
            <w:r w:rsidRPr="00A12520">
              <w:t>.</w:t>
            </w:r>
            <w:r>
              <w:t>*</w:t>
            </w:r>
          </w:p>
        </w:tc>
        <w:tc>
          <w:tcPr>
            <w:tcW w:w="5387" w:type="dxa"/>
            <w:shd w:val="clear" w:color="auto" w:fill="auto"/>
          </w:tcPr>
          <w:p w14:paraId="3A1B0A48" w14:textId="77777777" w:rsidR="00D31D6C" w:rsidRDefault="00D31D6C" w:rsidP="00566E0D">
            <w:pPr>
              <w:pStyle w:val="TableTextLeft"/>
              <w:rPr>
                <w:b/>
              </w:rPr>
            </w:pPr>
            <w:r w:rsidRPr="003159D9">
              <w:rPr>
                <w:b/>
              </w:rPr>
              <w:t>Section 88A of the Act</w:t>
            </w:r>
          </w:p>
          <w:p w14:paraId="3A663344" w14:textId="77777777" w:rsidR="00D31D6C" w:rsidRPr="007B4C6D"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7DC979A3" w14:textId="77777777" w:rsidR="00D31D6C" w:rsidRPr="00455E7D" w:rsidRDefault="00D31D6C" w:rsidP="00566E0D">
            <w:pPr>
              <w:pStyle w:val="TableTextLeft"/>
            </w:pPr>
            <w:r>
              <w:rPr>
                <w:rFonts w:asciiTheme="minorHAnsi" w:hAnsiTheme="minorHAnsi" w:cstheme="minorHAnsi"/>
              </w:rPr>
              <w:t>I</w:t>
            </w:r>
            <w:r w:rsidRPr="005F4056">
              <w:rPr>
                <w:rFonts w:asciiTheme="minorHAnsi" w:hAnsiTheme="minorHAnsi" w:cstheme="minorHAnsi"/>
              </w:rPr>
              <w:t>mprisonment for 10 years, or 15,000 penalty units (or 150,000 penalty units if the person is a corporation), or both</w:t>
            </w:r>
            <w:r>
              <w:rPr>
                <w:rFonts w:asciiTheme="minorHAnsi" w:hAnsiTheme="minorHAnsi" w:cstheme="minorHAnsi"/>
              </w:rPr>
              <w:t xml:space="preserve">. </w:t>
            </w:r>
          </w:p>
        </w:tc>
        <w:tc>
          <w:tcPr>
            <w:tcW w:w="5953" w:type="dxa"/>
            <w:shd w:val="clear" w:color="auto" w:fill="auto"/>
          </w:tcPr>
          <w:p w14:paraId="354C5C6D" w14:textId="77777777" w:rsidR="00D31D6C" w:rsidRDefault="00D31D6C" w:rsidP="00566E0D">
            <w:pPr>
              <w:pStyle w:val="TableTextLeft"/>
              <w:rPr>
                <w:b/>
              </w:rPr>
            </w:pPr>
            <w:r w:rsidRPr="005F4056">
              <w:rPr>
                <w:b/>
              </w:rPr>
              <w:t>Subsection 98A(1) of the Act</w:t>
            </w:r>
          </w:p>
          <w:p w14:paraId="4D827EF7" w14:textId="77777777" w:rsidR="00D31D6C" w:rsidRPr="007B4C6D"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224D9A81" w14:textId="77777777" w:rsidR="00D31D6C" w:rsidRDefault="00D31D6C" w:rsidP="00566E0D">
            <w:pPr>
              <w:pStyle w:val="TableTextLeft"/>
            </w:pPr>
            <w:r w:rsidRPr="003159D9">
              <w:rPr>
                <w:rFonts w:asciiTheme="minorHAnsi" w:hAnsiTheme="minorHAnsi" w:cstheme="minorHAnsi"/>
              </w:rPr>
              <w:t>5,000 penalty units (or 50,000 penalty units if the person is a corporation.</w:t>
            </w:r>
            <w:r>
              <w:t xml:space="preserve"> </w:t>
            </w:r>
          </w:p>
          <w:p w14:paraId="162D195D" w14:textId="77777777" w:rsidR="00D31D6C" w:rsidRDefault="00D31D6C" w:rsidP="00566E0D">
            <w:pPr>
              <w:pStyle w:val="TableTextLeft"/>
            </w:pPr>
            <w:r>
              <w:rPr>
                <w:b/>
              </w:rPr>
              <w:t xml:space="preserve">Note: An infringement notice may be given for </w:t>
            </w:r>
            <w:r w:rsidRPr="005F4056">
              <w:rPr>
                <w:b/>
              </w:rPr>
              <w:t>contraventions that occur on or after</w:t>
            </w:r>
            <w:r>
              <w:rPr>
                <w:b/>
              </w:rPr>
              <w:t xml:space="preserve"> 1 January 2021.*</w:t>
            </w:r>
          </w:p>
        </w:tc>
      </w:tr>
      <w:tr w:rsidR="00D31D6C" w14:paraId="4B083D71" w14:textId="77777777" w:rsidTr="00566E0D">
        <w:trPr>
          <w:cantSplit/>
        </w:trPr>
        <w:tc>
          <w:tcPr>
            <w:tcW w:w="3539" w:type="dxa"/>
            <w:shd w:val="clear" w:color="auto" w:fill="auto"/>
          </w:tcPr>
          <w:p w14:paraId="43BF94EB" w14:textId="77777777" w:rsidR="00D31D6C" w:rsidRPr="00A12520" w:rsidRDefault="00D31D6C" w:rsidP="00566E0D">
            <w:pPr>
              <w:pStyle w:val="TableTextLeft"/>
            </w:pPr>
            <w:r>
              <w:lastRenderedPageBreak/>
              <w:t>Give the Treasurer information or documents that are false or misleading that relate to a no objection notification for core Part 3 actions.*</w:t>
            </w:r>
          </w:p>
        </w:tc>
        <w:tc>
          <w:tcPr>
            <w:tcW w:w="5387" w:type="dxa"/>
            <w:shd w:val="clear" w:color="auto" w:fill="auto"/>
          </w:tcPr>
          <w:p w14:paraId="27C0CB3F" w14:textId="77777777" w:rsidR="00D31D6C" w:rsidRPr="003159D9" w:rsidRDefault="00D31D6C" w:rsidP="00566E0D">
            <w:pPr>
              <w:pStyle w:val="TableTextLeft"/>
            </w:pPr>
            <w:r w:rsidRPr="003159D9">
              <w:t xml:space="preserve">Refer to Part 7.4 of the </w:t>
            </w:r>
            <w:r w:rsidRPr="003159D9">
              <w:rPr>
                <w:i/>
              </w:rPr>
              <w:t>Criminal Code Act 1995</w:t>
            </w:r>
            <w:r>
              <w:t>.</w:t>
            </w:r>
          </w:p>
        </w:tc>
        <w:tc>
          <w:tcPr>
            <w:tcW w:w="5953" w:type="dxa"/>
            <w:shd w:val="clear" w:color="auto" w:fill="auto"/>
          </w:tcPr>
          <w:p w14:paraId="2A41FB7E" w14:textId="77777777" w:rsidR="00D31D6C" w:rsidRPr="003159D9" w:rsidRDefault="00D31D6C" w:rsidP="00566E0D">
            <w:pPr>
              <w:pStyle w:val="TableTextLeft"/>
              <w:rPr>
                <w:b/>
              </w:rPr>
            </w:pPr>
            <w:r>
              <w:rPr>
                <w:b/>
              </w:rPr>
              <w:t>Subsection 98B</w:t>
            </w:r>
            <w:r w:rsidRPr="005F4056">
              <w:rPr>
                <w:b/>
              </w:rPr>
              <w:t>(1) of the Act</w:t>
            </w:r>
          </w:p>
          <w:p w14:paraId="4059CED0" w14:textId="77777777" w:rsidR="00D31D6C" w:rsidRPr="007B4C6D"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505FEAB0" w14:textId="77777777" w:rsidR="00D31D6C" w:rsidRPr="003159D9" w:rsidRDefault="00D31D6C" w:rsidP="00566E0D">
            <w:pPr>
              <w:pStyle w:val="TableTextLeft"/>
              <w:rPr>
                <w:rFonts w:cstheme="minorHAnsi"/>
              </w:rPr>
            </w:pPr>
            <w:r w:rsidRPr="005F4056">
              <w:rPr>
                <w:rFonts w:cstheme="minorHAnsi"/>
              </w:rPr>
              <w:t xml:space="preserve">The greater of 5,000 penalty units (or 50,000 </w:t>
            </w:r>
            <w:r>
              <w:rPr>
                <w:rFonts w:cstheme="minorHAnsi"/>
              </w:rPr>
              <w:t xml:space="preserve">penalty units </w:t>
            </w:r>
            <w:r w:rsidRPr="005F4056">
              <w:rPr>
                <w:rFonts w:cstheme="minorHAnsi"/>
              </w:rPr>
              <w:t xml:space="preserve">if the person is a corporation) or 75% of the value of the investment to a maximum monetary value of 2.5 million penalty units. </w:t>
            </w:r>
          </w:p>
          <w:p w14:paraId="0ABB35B6" w14:textId="77777777" w:rsidR="00D31D6C" w:rsidRDefault="00D31D6C" w:rsidP="00566E0D">
            <w:pPr>
              <w:pStyle w:val="TableTextLeft"/>
            </w:pPr>
            <w:r>
              <w:rPr>
                <w:b/>
              </w:rPr>
              <w:t xml:space="preserve">Note: An infringement notice may be given for </w:t>
            </w:r>
            <w:r w:rsidRPr="005F4056">
              <w:rPr>
                <w:b/>
              </w:rPr>
              <w:t>contraventions that occur on or after</w:t>
            </w:r>
            <w:r>
              <w:rPr>
                <w:b/>
              </w:rPr>
              <w:t xml:space="preserve"> 1 January 2021.*</w:t>
            </w:r>
          </w:p>
        </w:tc>
      </w:tr>
      <w:tr w:rsidR="00D31D6C" w14:paraId="54058EF4" w14:textId="77777777" w:rsidTr="00566E0D">
        <w:trPr>
          <w:cantSplit/>
        </w:trPr>
        <w:tc>
          <w:tcPr>
            <w:tcW w:w="3539" w:type="dxa"/>
            <w:shd w:val="clear" w:color="auto" w:fill="auto"/>
          </w:tcPr>
          <w:p w14:paraId="1629E5FB" w14:textId="77777777" w:rsidR="00D31D6C" w:rsidRDefault="00D31D6C" w:rsidP="00566E0D">
            <w:pPr>
              <w:pStyle w:val="TableTextLeft"/>
            </w:pPr>
            <w:r>
              <w:t xml:space="preserve">Give the Treasurer information or documents that are false or misleading that relate to an exemption certificate.* </w:t>
            </w:r>
          </w:p>
        </w:tc>
        <w:tc>
          <w:tcPr>
            <w:tcW w:w="5387" w:type="dxa"/>
            <w:shd w:val="clear" w:color="auto" w:fill="auto"/>
          </w:tcPr>
          <w:p w14:paraId="60687E10" w14:textId="77777777" w:rsidR="00D31D6C" w:rsidRPr="003159D9" w:rsidRDefault="00D31D6C" w:rsidP="00566E0D">
            <w:pPr>
              <w:pStyle w:val="TableTextLeft"/>
              <w:rPr>
                <w:b/>
              </w:rPr>
            </w:pPr>
            <w:r w:rsidRPr="005F4056">
              <w:t xml:space="preserve">Refer to Part 7.4 of the </w:t>
            </w:r>
            <w:r w:rsidRPr="003159D9">
              <w:rPr>
                <w:i/>
              </w:rPr>
              <w:t>Criminal Code Act 1995</w:t>
            </w:r>
            <w:r>
              <w:t>.</w:t>
            </w:r>
          </w:p>
        </w:tc>
        <w:tc>
          <w:tcPr>
            <w:tcW w:w="5953" w:type="dxa"/>
            <w:shd w:val="clear" w:color="auto" w:fill="auto"/>
          </w:tcPr>
          <w:p w14:paraId="23B90847" w14:textId="77777777" w:rsidR="00D31D6C" w:rsidRPr="005F4056" w:rsidRDefault="00D31D6C" w:rsidP="00566E0D">
            <w:pPr>
              <w:pStyle w:val="TableTextLeft"/>
              <w:rPr>
                <w:b/>
              </w:rPr>
            </w:pPr>
            <w:r>
              <w:rPr>
                <w:b/>
              </w:rPr>
              <w:t>Subsection 98B(4</w:t>
            </w:r>
            <w:r w:rsidRPr="005F4056">
              <w:rPr>
                <w:b/>
              </w:rPr>
              <w:t>) of the Act</w:t>
            </w:r>
          </w:p>
          <w:p w14:paraId="0C7F44D1" w14:textId="77777777" w:rsidR="00D31D6C" w:rsidRPr="007B4C6D"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097FC22C" w14:textId="77777777" w:rsidR="00D31D6C" w:rsidRDefault="00D31D6C" w:rsidP="00566E0D">
            <w:pPr>
              <w:pStyle w:val="TableTextLeft"/>
              <w:rPr>
                <w:rFonts w:cstheme="minorHAnsi"/>
              </w:rPr>
            </w:pPr>
            <w:r>
              <w:rPr>
                <w:rFonts w:cstheme="minorHAnsi"/>
              </w:rPr>
              <w:t xml:space="preserve">5,000 penalty units (or 50,000 penalty units if the person is a corporation). </w:t>
            </w:r>
          </w:p>
          <w:p w14:paraId="0548C6F6" w14:textId="77777777" w:rsidR="00D31D6C" w:rsidRDefault="00D31D6C" w:rsidP="00566E0D">
            <w:pPr>
              <w:pStyle w:val="TableTextLeft"/>
            </w:pPr>
            <w:r>
              <w:rPr>
                <w:b/>
              </w:rPr>
              <w:t xml:space="preserve">Note: An infringement notice may be given for </w:t>
            </w:r>
            <w:r w:rsidRPr="005F4056">
              <w:rPr>
                <w:b/>
              </w:rPr>
              <w:t>contraventions that occur on or after</w:t>
            </w:r>
            <w:r>
              <w:rPr>
                <w:b/>
              </w:rPr>
              <w:t xml:space="preserve"> 1 January 2021.*</w:t>
            </w:r>
          </w:p>
        </w:tc>
      </w:tr>
      <w:tr w:rsidR="00D31D6C" w14:paraId="7EB27797" w14:textId="77777777" w:rsidTr="00566E0D">
        <w:trPr>
          <w:cantSplit/>
        </w:trPr>
        <w:tc>
          <w:tcPr>
            <w:tcW w:w="3539" w:type="dxa"/>
            <w:shd w:val="clear" w:color="auto" w:fill="auto"/>
          </w:tcPr>
          <w:p w14:paraId="7449FA55" w14:textId="77777777" w:rsidR="00D31D6C" w:rsidRDefault="00D31D6C" w:rsidP="00566E0D">
            <w:pPr>
              <w:pStyle w:val="TableTextLeft"/>
            </w:pPr>
            <w:r>
              <w:t>Failure to notify the Treasurer of taking of action specified in no objection notification and exemption certificate or failure to notify of action specified in section 98E of the Act. *</w:t>
            </w:r>
          </w:p>
        </w:tc>
        <w:tc>
          <w:tcPr>
            <w:tcW w:w="5387" w:type="dxa"/>
            <w:shd w:val="clear" w:color="auto" w:fill="auto"/>
          </w:tcPr>
          <w:p w14:paraId="55158AF6" w14:textId="77777777" w:rsidR="00D31D6C" w:rsidRPr="003159D9" w:rsidRDefault="00D31D6C" w:rsidP="00566E0D">
            <w:pPr>
              <w:pStyle w:val="TableTextLeft"/>
              <w:rPr>
                <w:b/>
              </w:rPr>
            </w:pPr>
            <w:r w:rsidRPr="003159D9">
              <w:t>Not applicable.</w:t>
            </w:r>
            <w:r>
              <w:rPr>
                <w:b/>
              </w:rPr>
              <w:t xml:space="preserve"> </w:t>
            </w:r>
          </w:p>
        </w:tc>
        <w:tc>
          <w:tcPr>
            <w:tcW w:w="5953" w:type="dxa"/>
            <w:shd w:val="clear" w:color="auto" w:fill="auto"/>
          </w:tcPr>
          <w:p w14:paraId="3680D16A" w14:textId="77777777" w:rsidR="00D31D6C" w:rsidRDefault="00D31D6C" w:rsidP="00566E0D">
            <w:pPr>
              <w:pStyle w:val="TableTextLeft"/>
              <w:rPr>
                <w:b/>
              </w:rPr>
            </w:pPr>
            <w:r w:rsidRPr="003159D9">
              <w:rPr>
                <w:b/>
              </w:rPr>
              <w:t>Subsections 98C(2), 98D(2), 98E(2) of the Act</w:t>
            </w:r>
          </w:p>
          <w:p w14:paraId="06EEA561" w14:textId="77777777" w:rsidR="00D31D6C" w:rsidRPr="007B4C6D"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0C4B33DD" w14:textId="77777777" w:rsidR="00D31D6C" w:rsidRDefault="00D31D6C" w:rsidP="00566E0D">
            <w:pPr>
              <w:pStyle w:val="TableTextLeft"/>
              <w:rPr>
                <w:rFonts w:cstheme="minorHAnsi"/>
              </w:rPr>
            </w:pPr>
            <w:r w:rsidRPr="003159D9">
              <w:rPr>
                <w:rFonts w:cstheme="minorHAnsi"/>
              </w:rPr>
              <w:t>250 penalty units (or 1,250 penalty units if the person is a corporation)</w:t>
            </w:r>
            <w:r>
              <w:rPr>
                <w:rFonts w:cstheme="minorHAnsi"/>
              </w:rPr>
              <w:t>.</w:t>
            </w:r>
          </w:p>
          <w:p w14:paraId="3C114C8C" w14:textId="77777777" w:rsidR="00D31D6C" w:rsidRPr="003159D9" w:rsidRDefault="00D31D6C" w:rsidP="00566E0D">
            <w:pPr>
              <w:pStyle w:val="TableTextLeft"/>
              <w:rPr>
                <w:b/>
              </w:rPr>
            </w:pPr>
            <w:r>
              <w:rPr>
                <w:b/>
              </w:rPr>
              <w:t xml:space="preserve">Note: An infringement notice may be given for </w:t>
            </w:r>
            <w:r w:rsidRPr="005F4056">
              <w:rPr>
                <w:b/>
              </w:rPr>
              <w:t>contraventions that occur on or after</w:t>
            </w:r>
            <w:r>
              <w:rPr>
                <w:b/>
              </w:rPr>
              <w:t xml:space="preserve"> 1 January 2021.*</w:t>
            </w:r>
          </w:p>
        </w:tc>
      </w:tr>
      <w:tr w:rsidR="00D31D6C" w14:paraId="30378521" w14:textId="77777777" w:rsidTr="00566E0D">
        <w:trPr>
          <w:cantSplit/>
        </w:trPr>
        <w:tc>
          <w:tcPr>
            <w:tcW w:w="3539" w:type="dxa"/>
            <w:shd w:val="clear" w:color="auto" w:fill="auto"/>
          </w:tcPr>
          <w:p w14:paraId="1FA2C8CE" w14:textId="77777777" w:rsidR="00D31D6C" w:rsidRPr="00A12520" w:rsidRDefault="00D31D6C" w:rsidP="00566E0D">
            <w:pPr>
              <w:pStyle w:val="TableTextLeft"/>
            </w:pPr>
            <w:r w:rsidRPr="00A12520">
              <w:t>Failure to make and keep records.</w:t>
            </w:r>
          </w:p>
        </w:tc>
        <w:tc>
          <w:tcPr>
            <w:tcW w:w="5387" w:type="dxa"/>
            <w:shd w:val="clear" w:color="auto" w:fill="auto"/>
          </w:tcPr>
          <w:p w14:paraId="42FE3E82" w14:textId="77777777" w:rsidR="00D31D6C" w:rsidRDefault="00D31D6C" w:rsidP="00566E0D">
            <w:pPr>
              <w:pStyle w:val="TableTextLeft"/>
              <w:rPr>
                <w:b/>
              </w:rPr>
            </w:pPr>
            <w:r w:rsidRPr="003159D9">
              <w:rPr>
                <w:b/>
              </w:rPr>
              <w:t>Section 119 of the Act</w:t>
            </w:r>
          </w:p>
          <w:p w14:paraId="2EB0D97E" w14:textId="77777777" w:rsidR="00D31D6C" w:rsidRPr="007E281C" w:rsidRDefault="00D31D6C" w:rsidP="00566E0D">
            <w:pPr>
              <w:pStyle w:val="TableTextLeft"/>
              <w:rPr>
                <w:rFonts w:asciiTheme="minorHAnsi" w:hAnsiTheme="minorHAnsi" w:cstheme="minorHAnsi"/>
                <w:u w:val="single"/>
              </w:rPr>
            </w:pPr>
            <w:r w:rsidRPr="007E281C">
              <w:rPr>
                <w:rFonts w:asciiTheme="minorHAnsi" w:hAnsiTheme="minorHAnsi" w:cstheme="minorHAnsi"/>
                <w:u w:val="single"/>
              </w:rPr>
              <w:t>Before 1 January 2021</w:t>
            </w:r>
          </w:p>
          <w:p w14:paraId="51948F90" w14:textId="77777777" w:rsidR="00D31D6C" w:rsidRPr="003159D9" w:rsidRDefault="00D31D6C" w:rsidP="00566E0D">
            <w:pPr>
              <w:pStyle w:val="TableTextLeft"/>
              <w:rPr>
                <w:rFonts w:asciiTheme="minorHAnsi" w:hAnsiTheme="minorHAnsi" w:cstheme="minorHAnsi"/>
              </w:rPr>
            </w:pPr>
            <w:r w:rsidRPr="003159D9">
              <w:rPr>
                <w:rFonts w:asciiTheme="minorHAnsi" w:hAnsiTheme="minorHAnsi" w:cstheme="minorHAnsi"/>
              </w:rPr>
              <w:t>30 penalty units, or 150 penalty units if the person is a corporation.</w:t>
            </w:r>
          </w:p>
          <w:p w14:paraId="4B546A84" w14:textId="77777777" w:rsidR="00D31D6C" w:rsidRDefault="00D31D6C" w:rsidP="00566E0D">
            <w:pPr>
              <w:pStyle w:val="TableTextLeft"/>
              <w:rPr>
                <w:rFonts w:asciiTheme="minorHAnsi" w:hAnsiTheme="minorHAnsi" w:cstheme="minorHAnsi"/>
              </w:rPr>
            </w:pPr>
          </w:p>
          <w:p w14:paraId="008736AE" w14:textId="77777777" w:rsidR="00D31D6C" w:rsidRPr="00FA49D2"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5E4953D4" w14:textId="77777777" w:rsidR="00D31D6C" w:rsidRPr="003159D9" w:rsidRDefault="00D31D6C" w:rsidP="00566E0D">
            <w:pPr>
              <w:pStyle w:val="TableTextLeft"/>
              <w:rPr>
                <w:rFonts w:asciiTheme="minorHAnsi" w:hAnsiTheme="minorHAnsi" w:cstheme="minorHAnsi"/>
              </w:rPr>
            </w:pPr>
            <w:r w:rsidRPr="003159D9">
              <w:rPr>
                <w:rFonts w:asciiTheme="minorHAnsi" w:hAnsiTheme="minorHAnsi" w:cstheme="minorHAnsi"/>
              </w:rPr>
              <w:t>250 penalty units, or 1,250 if the person is a corporation.</w:t>
            </w:r>
            <w:r w:rsidRPr="003159D9">
              <w:rPr>
                <w:rFonts w:cstheme="minorHAnsi"/>
              </w:rPr>
              <w:t xml:space="preserve"> </w:t>
            </w:r>
          </w:p>
        </w:tc>
        <w:tc>
          <w:tcPr>
            <w:tcW w:w="5953" w:type="dxa"/>
            <w:shd w:val="clear" w:color="auto" w:fill="auto"/>
          </w:tcPr>
          <w:p w14:paraId="3E21C2B6" w14:textId="77777777" w:rsidR="00D31D6C" w:rsidRDefault="00D31D6C" w:rsidP="00566E0D">
            <w:pPr>
              <w:pStyle w:val="TableTextLeft"/>
            </w:pPr>
            <w:r>
              <w:t>Not applicable.</w:t>
            </w:r>
          </w:p>
        </w:tc>
      </w:tr>
      <w:tr w:rsidR="00D31D6C" w14:paraId="1E18763C" w14:textId="77777777" w:rsidTr="00566E0D">
        <w:trPr>
          <w:cantSplit/>
        </w:trPr>
        <w:tc>
          <w:tcPr>
            <w:tcW w:w="3539" w:type="dxa"/>
            <w:shd w:val="clear" w:color="auto" w:fill="auto"/>
          </w:tcPr>
          <w:p w14:paraId="5CFB01A0" w14:textId="77777777" w:rsidR="00D31D6C" w:rsidRPr="00A12520" w:rsidRDefault="00D31D6C" w:rsidP="00566E0D">
            <w:pPr>
              <w:pStyle w:val="TableTextLeft"/>
            </w:pPr>
            <w:r w:rsidRPr="00A12520">
              <w:t xml:space="preserve">Unauthorised record, disclosure or use of information that is not authorised by Part 7 of the </w:t>
            </w:r>
            <w:r>
              <w:t>Act.</w:t>
            </w:r>
          </w:p>
        </w:tc>
        <w:tc>
          <w:tcPr>
            <w:tcW w:w="5387" w:type="dxa"/>
            <w:shd w:val="clear" w:color="auto" w:fill="auto"/>
          </w:tcPr>
          <w:p w14:paraId="247A51A2" w14:textId="77777777" w:rsidR="00D31D6C" w:rsidRDefault="00D31D6C" w:rsidP="00566E0D">
            <w:pPr>
              <w:pStyle w:val="TableTextLeft"/>
              <w:rPr>
                <w:b/>
              </w:rPr>
            </w:pPr>
            <w:r w:rsidRPr="003159D9">
              <w:rPr>
                <w:b/>
              </w:rPr>
              <w:t>Section 128 of the Act</w:t>
            </w:r>
          </w:p>
          <w:p w14:paraId="039A8D05" w14:textId="77777777" w:rsidR="00D31D6C" w:rsidRPr="003159D9" w:rsidRDefault="00D31D6C" w:rsidP="00566E0D">
            <w:pPr>
              <w:pStyle w:val="TableTextLeft"/>
              <w:rPr>
                <w:rFonts w:asciiTheme="minorHAnsi" w:hAnsiTheme="minorHAnsi" w:cstheme="minorHAnsi"/>
              </w:rPr>
            </w:pPr>
            <w:r>
              <w:rPr>
                <w:rFonts w:asciiTheme="minorHAnsi" w:hAnsiTheme="minorHAnsi" w:cstheme="minorHAnsi"/>
              </w:rPr>
              <w:t>I</w:t>
            </w:r>
            <w:r w:rsidRPr="003159D9">
              <w:rPr>
                <w:rFonts w:asciiTheme="minorHAnsi" w:hAnsiTheme="minorHAnsi" w:cstheme="minorHAnsi"/>
              </w:rPr>
              <w:t>mprisonment for 2 years or 120 penalty units (or 600 penalty units if the person is a corporation), or both.</w:t>
            </w:r>
          </w:p>
          <w:p w14:paraId="5B20B223" w14:textId="77777777" w:rsidR="00D31D6C" w:rsidRPr="003159D9" w:rsidRDefault="00D31D6C" w:rsidP="00566E0D">
            <w:pPr>
              <w:pStyle w:val="TableTextLeft"/>
              <w:rPr>
                <w:b/>
              </w:rPr>
            </w:pPr>
          </w:p>
        </w:tc>
        <w:tc>
          <w:tcPr>
            <w:tcW w:w="5953" w:type="dxa"/>
            <w:shd w:val="clear" w:color="auto" w:fill="auto"/>
          </w:tcPr>
          <w:p w14:paraId="105EC0D5" w14:textId="77777777" w:rsidR="00D31D6C" w:rsidRPr="00A33A0B" w:rsidRDefault="00D31D6C" w:rsidP="00566E0D">
            <w:pPr>
              <w:pStyle w:val="TableTextLeft"/>
            </w:pPr>
            <w:r>
              <w:t>Not applicable.</w:t>
            </w:r>
          </w:p>
        </w:tc>
      </w:tr>
      <w:tr w:rsidR="00D31D6C" w14:paraId="1F145506" w14:textId="77777777" w:rsidTr="00566E0D">
        <w:trPr>
          <w:cantSplit/>
        </w:trPr>
        <w:tc>
          <w:tcPr>
            <w:tcW w:w="3539" w:type="dxa"/>
            <w:shd w:val="clear" w:color="auto" w:fill="auto"/>
          </w:tcPr>
          <w:p w14:paraId="2B7CA0E2" w14:textId="77777777" w:rsidR="00D31D6C" w:rsidRPr="00A12520" w:rsidRDefault="00D31D6C" w:rsidP="00566E0D">
            <w:pPr>
              <w:pStyle w:val="TableTextLeft"/>
            </w:pPr>
            <w:r w:rsidRPr="00A12520">
              <w:lastRenderedPageBreak/>
              <w:t>Failure to comply with a notice, given by the Treasurer, to provide information.</w:t>
            </w:r>
          </w:p>
        </w:tc>
        <w:tc>
          <w:tcPr>
            <w:tcW w:w="5387" w:type="dxa"/>
            <w:shd w:val="clear" w:color="auto" w:fill="auto"/>
          </w:tcPr>
          <w:p w14:paraId="6734C3B5" w14:textId="77777777" w:rsidR="00D31D6C" w:rsidRPr="003159D9" w:rsidRDefault="00D31D6C" w:rsidP="00566E0D">
            <w:pPr>
              <w:pStyle w:val="TableTextLeft"/>
              <w:rPr>
                <w:b/>
              </w:rPr>
            </w:pPr>
            <w:r w:rsidRPr="003159D9">
              <w:rPr>
                <w:b/>
              </w:rPr>
              <w:t>Subsection 133(5) of the Act</w:t>
            </w:r>
          </w:p>
          <w:p w14:paraId="6E44ED23" w14:textId="77777777" w:rsidR="00D31D6C" w:rsidRDefault="00D31D6C" w:rsidP="00566E0D">
            <w:pPr>
              <w:pStyle w:val="TableTextLeft"/>
              <w:rPr>
                <w:rFonts w:asciiTheme="minorHAnsi" w:hAnsiTheme="minorHAnsi" w:cstheme="minorHAnsi"/>
                <w:u w:val="single"/>
              </w:rPr>
            </w:pPr>
            <w:r>
              <w:rPr>
                <w:rFonts w:asciiTheme="minorHAnsi" w:hAnsiTheme="minorHAnsi" w:cstheme="minorHAnsi"/>
                <w:u w:val="single"/>
              </w:rPr>
              <w:t>Before 1 January 2021</w:t>
            </w:r>
          </w:p>
          <w:p w14:paraId="654A579E" w14:textId="77777777" w:rsidR="00D31D6C" w:rsidRDefault="00D31D6C" w:rsidP="00566E0D">
            <w:pPr>
              <w:pStyle w:val="TableTextLeft"/>
              <w:rPr>
                <w:rFonts w:asciiTheme="minorHAnsi" w:hAnsiTheme="minorHAnsi" w:cstheme="minorHAnsi"/>
                <w:u w:val="single"/>
              </w:rPr>
            </w:pPr>
            <w:r>
              <w:rPr>
                <w:rFonts w:asciiTheme="minorHAnsi" w:hAnsiTheme="minorHAnsi" w:cstheme="minorHAnsi"/>
              </w:rPr>
              <w:t>I</w:t>
            </w:r>
            <w:r w:rsidRPr="003159D9">
              <w:rPr>
                <w:rFonts w:asciiTheme="minorHAnsi" w:hAnsiTheme="minorHAnsi" w:cstheme="minorHAnsi"/>
              </w:rPr>
              <w:t xml:space="preserve">mprisonment for 6 months or 30 penalty units (or 150 penalty units if the person is a corporation), or both. </w:t>
            </w:r>
          </w:p>
          <w:p w14:paraId="701024A2" w14:textId="77777777" w:rsidR="00D31D6C" w:rsidRPr="00DE712B" w:rsidRDefault="00D31D6C" w:rsidP="00566E0D">
            <w:pPr>
              <w:pStyle w:val="TableTextLeft"/>
              <w:rPr>
                <w:rFonts w:asciiTheme="minorHAnsi" w:hAnsiTheme="minorHAnsi" w:cstheme="minorHAnsi"/>
                <w:u w:val="single"/>
              </w:rPr>
            </w:pPr>
            <w:r w:rsidRPr="007B4C6D">
              <w:rPr>
                <w:rFonts w:asciiTheme="minorHAnsi" w:hAnsiTheme="minorHAnsi" w:cstheme="minorHAnsi"/>
                <w:u w:val="single"/>
              </w:rPr>
              <w:t>On or after 1 January 2021</w:t>
            </w:r>
          </w:p>
          <w:p w14:paraId="365A4BB2" w14:textId="77777777" w:rsidR="00D31D6C" w:rsidRPr="003159D9" w:rsidRDefault="00D31D6C" w:rsidP="00566E0D">
            <w:pPr>
              <w:pStyle w:val="TableTextLeft"/>
              <w:rPr>
                <w:rFonts w:asciiTheme="minorHAnsi" w:hAnsiTheme="minorHAnsi" w:cstheme="minorHAnsi"/>
              </w:rPr>
            </w:pPr>
            <w:r>
              <w:rPr>
                <w:rFonts w:asciiTheme="minorHAnsi" w:hAnsiTheme="minorHAnsi" w:cstheme="minorHAnsi"/>
              </w:rPr>
              <w:t>I</w:t>
            </w:r>
            <w:r w:rsidRPr="003159D9">
              <w:rPr>
                <w:rFonts w:asciiTheme="minorHAnsi" w:hAnsiTheme="minorHAnsi" w:cstheme="minorHAnsi"/>
              </w:rPr>
              <w:t>mprisonment for 6 months, or 250 penalty units (or 1,250 penalty units if the person is a corporation), or both.</w:t>
            </w:r>
          </w:p>
        </w:tc>
        <w:tc>
          <w:tcPr>
            <w:tcW w:w="5953" w:type="dxa"/>
            <w:shd w:val="clear" w:color="auto" w:fill="auto"/>
          </w:tcPr>
          <w:p w14:paraId="4116B46B" w14:textId="77777777" w:rsidR="00D31D6C" w:rsidRDefault="00D31D6C" w:rsidP="00566E0D">
            <w:pPr>
              <w:pStyle w:val="TableTextLeft"/>
            </w:pPr>
            <w:r>
              <w:t>Not applicable.</w:t>
            </w:r>
          </w:p>
        </w:tc>
      </w:tr>
    </w:tbl>
    <w:p w14:paraId="6A0E8D16" w14:textId="77777777" w:rsidR="00566E0D" w:rsidRDefault="00566E0D" w:rsidP="00D31D6C">
      <w:pPr>
        <w:tabs>
          <w:tab w:val="left" w:pos="2280"/>
        </w:tabs>
        <w:spacing w:before="0" w:after="160" w:line="259" w:lineRule="auto"/>
        <w:sectPr w:rsidR="00566E0D" w:rsidSect="000F75FA">
          <w:headerReference w:type="even" r:id="rId31"/>
          <w:headerReference w:type="default" r:id="rId32"/>
          <w:footerReference w:type="even" r:id="rId33"/>
          <w:footerReference w:type="default" r:id="rId34"/>
          <w:headerReference w:type="first" r:id="rId35"/>
          <w:footerReference w:type="first" r:id="rId36"/>
          <w:pgSz w:w="16838" w:h="11906" w:orient="landscape" w:code="9"/>
          <w:pgMar w:top="1417" w:right="1417" w:bottom="1417" w:left="1417" w:header="709" w:footer="709" w:gutter="0"/>
          <w:cols w:space="708"/>
          <w:docGrid w:linePitch="360"/>
        </w:sectPr>
      </w:pPr>
    </w:p>
    <w:p w14:paraId="4B4770E3" w14:textId="4CD85577" w:rsidR="00566E0D" w:rsidRPr="003159D9" w:rsidRDefault="00566E0D" w:rsidP="00566E0D">
      <w:pPr>
        <w:pStyle w:val="Heading1"/>
      </w:pPr>
      <w:bookmarkStart w:id="14" w:name="_Toc59197705"/>
      <w:r w:rsidRPr="003159D9">
        <w:lastRenderedPageBreak/>
        <w:t xml:space="preserve">Attachment </w:t>
      </w:r>
      <w:r w:rsidR="00052DC0">
        <w:t>B</w:t>
      </w:r>
      <w:r w:rsidRPr="003159D9">
        <w:t xml:space="preserve">: </w:t>
      </w:r>
      <w:r w:rsidR="00052DC0">
        <w:t>O</w:t>
      </w:r>
      <w:r w:rsidRPr="003159D9">
        <w:t xml:space="preserve">verview of enforcement powers under the </w:t>
      </w:r>
      <w:r w:rsidRPr="00566E0D">
        <w:rPr>
          <w:i/>
        </w:rPr>
        <w:t>Foreign</w:t>
      </w:r>
      <w:r w:rsidRPr="003159D9">
        <w:rPr>
          <w:i/>
        </w:rPr>
        <w:t xml:space="preserve"> </w:t>
      </w:r>
      <w:r>
        <w:rPr>
          <w:i/>
        </w:rPr>
        <w:t>A</w:t>
      </w:r>
      <w:r w:rsidRPr="003159D9">
        <w:rPr>
          <w:i/>
        </w:rPr>
        <w:t xml:space="preserve">cquisitions and </w:t>
      </w:r>
      <w:r>
        <w:rPr>
          <w:i/>
        </w:rPr>
        <w:t>T</w:t>
      </w:r>
      <w:r w:rsidRPr="003159D9">
        <w:rPr>
          <w:i/>
        </w:rPr>
        <w:t xml:space="preserve">akeovers </w:t>
      </w:r>
      <w:r>
        <w:rPr>
          <w:i/>
        </w:rPr>
        <w:t>A</w:t>
      </w:r>
      <w:r w:rsidRPr="003159D9">
        <w:rPr>
          <w:i/>
        </w:rPr>
        <w:t>ct 1975</w:t>
      </w:r>
      <w:bookmarkEnd w:id="14"/>
    </w:p>
    <w:tbl>
      <w:tblPr>
        <w:tblW w:w="5000" w:type="pct"/>
        <w:tblBorders>
          <w:top w:val="single" w:sz="4" w:space="0" w:color="808080"/>
          <w:bottom w:val="single" w:sz="4" w:space="0" w:color="808080"/>
          <w:insideH w:val="single" w:sz="4" w:space="0" w:color="808080"/>
        </w:tblBorders>
        <w:shd w:val="clear" w:color="auto" w:fill="FFFFFF" w:themeFill="background1"/>
        <w:tblLayout w:type="fixed"/>
        <w:tblLook w:val="01E0" w:firstRow="1" w:lastRow="1" w:firstColumn="1" w:lastColumn="1" w:noHBand="0" w:noVBand="0"/>
      </w:tblPr>
      <w:tblGrid>
        <w:gridCol w:w="2730"/>
        <w:gridCol w:w="6296"/>
      </w:tblGrid>
      <w:tr w:rsidR="00566E0D" w:rsidRPr="00107DC9" w14:paraId="510EFEA0" w14:textId="77777777" w:rsidTr="00566E0D">
        <w:trPr>
          <w:tblHeader/>
        </w:trPr>
        <w:tc>
          <w:tcPr>
            <w:tcW w:w="2581" w:type="dxa"/>
            <w:shd w:val="clear" w:color="auto" w:fill="D9D9D9" w:themeFill="background1" w:themeFillShade="D9"/>
          </w:tcPr>
          <w:p w14:paraId="0EC2A3E3" w14:textId="77777777" w:rsidR="00566E0D" w:rsidRPr="00F40AC7" w:rsidRDefault="00566E0D" w:rsidP="00566E0D">
            <w:pPr>
              <w:pStyle w:val="TableColumnHeadingLeft"/>
            </w:pPr>
            <w:r w:rsidRPr="00F40AC7">
              <w:t>Power</w:t>
            </w:r>
          </w:p>
        </w:tc>
        <w:tc>
          <w:tcPr>
            <w:tcW w:w="5953" w:type="dxa"/>
            <w:shd w:val="clear" w:color="auto" w:fill="D9D9D9" w:themeFill="background1" w:themeFillShade="D9"/>
          </w:tcPr>
          <w:p w14:paraId="5C15F2C3" w14:textId="77777777" w:rsidR="00566E0D" w:rsidRPr="00F40AC7" w:rsidRDefault="00566E0D" w:rsidP="00566E0D">
            <w:pPr>
              <w:pStyle w:val="TableColumnHeadingLeft"/>
            </w:pPr>
            <w:r w:rsidRPr="00F40AC7">
              <w:t>Description</w:t>
            </w:r>
          </w:p>
        </w:tc>
      </w:tr>
      <w:tr w:rsidR="00566E0D" w:rsidRPr="00107DC9" w14:paraId="3E507A59" w14:textId="77777777" w:rsidTr="00566E0D">
        <w:tc>
          <w:tcPr>
            <w:tcW w:w="2581" w:type="dxa"/>
            <w:shd w:val="clear" w:color="auto" w:fill="FFFFFF" w:themeFill="background1"/>
          </w:tcPr>
          <w:p w14:paraId="474B2D85" w14:textId="77777777" w:rsidR="00566E0D" w:rsidRPr="00107DC9" w:rsidRDefault="00566E0D" w:rsidP="00205817">
            <w:pPr>
              <w:pStyle w:val="TableTextLeft"/>
            </w:pPr>
            <w:r>
              <w:t>Order to prohibit proposed actions and interim orders</w:t>
            </w:r>
          </w:p>
        </w:tc>
        <w:tc>
          <w:tcPr>
            <w:tcW w:w="5953" w:type="dxa"/>
            <w:shd w:val="clear" w:color="auto" w:fill="FFFFFF" w:themeFill="background1"/>
          </w:tcPr>
          <w:p w14:paraId="2A1E28A6" w14:textId="77777777" w:rsidR="00566E0D" w:rsidRDefault="00566E0D" w:rsidP="00205817">
            <w:pPr>
              <w:pStyle w:val="TableTextLeft"/>
            </w:pPr>
            <w:r>
              <w:t>Prohibits an investor from taking all or part of a proposed action.</w:t>
            </w:r>
          </w:p>
          <w:p w14:paraId="620A4045" w14:textId="77777777" w:rsidR="00566E0D" w:rsidRDefault="00566E0D" w:rsidP="00566E0D">
            <w:pPr>
              <w:pStyle w:val="TableTextLeft"/>
            </w:pPr>
            <w:r>
              <w:t>Interim orders are temporary orders that made by the Treasurer for the purposes of considering whether to make an order to prohibit all or part of a proposed action.</w:t>
            </w:r>
          </w:p>
        </w:tc>
      </w:tr>
      <w:tr w:rsidR="00566E0D" w:rsidRPr="00107DC9" w14:paraId="74BC29AD" w14:textId="77777777" w:rsidTr="00566E0D">
        <w:tc>
          <w:tcPr>
            <w:tcW w:w="2581" w:type="dxa"/>
            <w:shd w:val="clear" w:color="auto" w:fill="FFFFFF" w:themeFill="background1"/>
          </w:tcPr>
          <w:p w14:paraId="307275A9" w14:textId="77777777" w:rsidR="00566E0D" w:rsidRPr="00107DC9" w:rsidRDefault="00566E0D" w:rsidP="00205817">
            <w:pPr>
              <w:pStyle w:val="TableTextLeft"/>
            </w:pPr>
            <w:r>
              <w:t xml:space="preserve">Disposal order </w:t>
            </w:r>
          </w:p>
        </w:tc>
        <w:tc>
          <w:tcPr>
            <w:tcW w:w="5953" w:type="dxa"/>
            <w:shd w:val="clear" w:color="auto" w:fill="FFFFFF" w:themeFill="background1"/>
          </w:tcPr>
          <w:p w14:paraId="32189941" w14:textId="77777777" w:rsidR="00566E0D" w:rsidRDefault="00566E0D" w:rsidP="00566E0D">
            <w:pPr>
              <w:pStyle w:val="TableTextLeft"/>
            </w:pPr>
            <w:r>
              <w:t xml:space="preserve">If an </w:t>
            </w:r>
            <w:r w:rsidRPr="00074005">
              <w:t>action has already been taken and the Treasurer is satisfied the result of the action is contrary to the national interest, the Treasurer may make an order</w:t>
            </w:r>
            <w:r>
              <w:t xml:space="preserve"> requiring the investor to effectively dispose of their investment. A disposal order is</w:t>
            </w:r>
            <w:r w:rsidRPr="00074005">
              <w:t xml:space="preserve"> directed at unwind</w:t>
            </w:r>
            <w:r>
              <w:t>ing the action.</w:t>
            </w:r>
          </w:p>
        </w:tc>
      </w:tr>
      <w:tr w:rsidR="00566E0D" w14:paraId="3A2C024F" w14:textId="77777777" w:rsidTr="00566E0D">
        <w:tc>
          <w:tcPr>
            <w:tcW w:w="2581" w:type="dxa"/>
            <w:shd w:val="clear" w:color="auto" w:fill="FFFFFF" w:themeFill="background1"/>
          </w:tcPr>
          <w:p w14:paraId="7197D498" w14:textId="77777777" w:rsidR="00566E0D" w:rsidRDefault="00566E0D" w:rsidP="00205817">
            <w:pPr>
              <w:pStyle w:val="TableTextLeft"/>
            </w:pPr>
            <w:r w:rsidRPr="00107DC9">
              <w:t>Variation or revocation of exemption certificates due to false or misleading informati</w:t>
            </w:r>
            <w:r>
              <w:t>on or documents</w:t>
            </w:r>
          </w:p>
        </w:tc>
        <w:tc>
          <w:tcPr>
            <w:tcW w:w="5953" w:type="dxa"/>
            <w:shd w:val="clear" w:color="auto" w:fill="FFFFFF" w:themeFill="background1"/>
          </w:tcPr>
          <w:p w14:paraId="68C3CA12" w14:textId="77777777" w:rsidR="00566E0D" w:rsidRPr="00107DC9" w:rsidRDefault="00566E0D" w:rsidP="00566E0D">
            <w:pPr>
              <w:pStyle w:val="TableTextLeft"/>
            </w:pPr>
            <w:r>
              <w:t xml:space="preserve">An exemption certificate may be varied or revoked </w:t>
            </w:r>
            <w:r w:rsidRPr="00AC66E4">
              <w:t xml:space="preserve">where the Treasurer is satisfied that a person has given false or misleading information or documents, or omitted a material fact or a thing where this information is relevant and given before the </w:t>
            </w:r>
            <w:r>
              <w:t xml:space="preserve">exemption certificate was given. </w:t>
            </w:r>
          </w:p>
        </w:tc>
      </w:tr>
      <w:tr w:rsidR="00566E0D" w:rsidRPr="00107DC9" w14:paraId="3E83016E" w14:textId="77777777" w:rsidTr="00566E0D">
        <w:tc>
          <w:tcPr>
            <w:tcW w:w="2581" w:type="dxa"/>
            <w:shd w:val="clear" w:color="auto" w:fill="FFFFFF" w:themeFill="background1"/>
          </w:tcPr>
          <w:p w14:paraId="45616E82" w14:textId="77777777" w:rsidR="00566E0D" w:rsidRPr="00107DC9" w:rsidRDefault="00566E0D" w:rsidP="00205817">
            <w:pPr>
              <w:pStyle w:val="TableTextLeft"/>
            </w:pPr>
            <w:r w:rsidRPr="00107DC9">
              <w:t>Revocation of no objection notification due to false or misle</w:t>
            </w:r>
            <w:r>
              <w:t xml:space="preserve">ading information or documents </w:t>
            </w:r>
          </w:p>
        </w:tc>
        <w:tc>
          <w:tcPr>
            <w:tcW w:w="5953" w:type="dxa"/>
            <w:shd w:val="clear" w:color="auto" w:fill="FFFFFF" w:themeFill="background1"/>
          </w:tcPr>
          <w:p w14:paraId="45D95AF3" w14:textId="77777777" w:rsidR="00566E0D" w:rsidRPr="00107DC9" w:rsidRDefault="00566E0D" w:rsidP="00566E0D">
            <w:pPr>
              <w:pStyle w:val="TableTextLeft"/>
            </w:pPr>
            <w:r w:rsidRPr="003159D9">
              <w:t>A no objection notification may be revoked where the Treasurer is satisfied that a person has given false or misleading information or documents, or omitted a material fact or a thing where this information is relevant and given before the no objection notification is issued.</w:t>
            </w:r>
          </w:p>
        </w:tc>
      </w:tr>
      <w:tr w:rsidR="00566E0D" w:rsidRPr="00107DC9" w14:paraId="13C0C8CF" w14:textId="77777777" w:rsidTr="00566E0D">
        <w:tc>
          <w:tcPr>
            <w:tcW w:w="2581" w:type="dxa"/>
            <w:shd w:val="clear" w:color="auto" w:fill="FFFFFF" w:themeFill="background1"/>
          </w:tcPr>
          <w:p w14:paraId="42DABB0B" w14:textId="77777777" w:rsidR="00566E0D" w:rsidRPr="00107DC9" w:rsidRDefault="00566E0D" w:rsidP="00205817">
            <w:pPr>
              <w:pStyle w:val="TableTextLeft"/>
            </w:pPr>
            <w:r>
              <w:t>Treasurer’s directions</w:t>
            </w:r>
          </w:p>
        </w:tc>
        <w:tc>
          <w:tcPr>
            <w:tcW w:w="5953" w:type="dxa"/>
            <w:shd w:val="clear" w:color="auto" w:fill="FFFFFF" w:themeFill="background1"/>
          </w:tcPr>
          <w:p w14:paraId="5C4665EB" w14:textId="77777777" w:rsidR="00566E0D" w:rsidRPr="003159D9" w:rsidRDefault="00566E0D" w:rsidP="00566E0D">
            <w:pPr>
              <w:pStyle w:val="TableTextLeft"/>
            </w:pPr>
            <w:r w:rsidRPr="003159D9">
              <w:t xml:space="preserve">If there is reason to believe that a person has engaged, or is engaging, in conduct that constitutes a contravention of the </w:t>
            </w:r>
            <w:r w:rsidRPr="003159D9">
              <w:rPr>
                <w:i/>
              </w:rPr>
              <w:t>Foreign Acquisitions and Takeovers Act 1975</w:t>
            </w:r>
            <w:r>
              <w:t xml:space="preserve"> (the Act)</w:t>
            </w:r>
            <w:r w:rsidRPr="003159D9">
              <w:t xml:space="preserve">, the Treasurer may direct an investors to address or prevent a contravention of the Act (or prevent a similar or related contravention).  </w:t>
            </w:r>
          </w:p>
        </w:tc>
      </w:tr>
      <w:tr w:rsidR="00566E0D" w:rsidRPr="00107DC9" w14:paraId="0D68C880" w14:textId="77777777" w:rsidTr="00566E0D">
        <w:tc>
          <w:tcPr>
            <w:tcW w:w="2581" w:type="dxa"/>
            <w:shd w:val="clear" w:color="auto" w:fill="FFFFFF" w:themeFill="background1"/>
          </w:tcPr>
          <w:p w14:paraId="65E457E8" w14:textId="77777777" w:rsidR="00566E0D" w:rsidRPr="00107DC9" w:rsidRDefault="00566E0D" w:rsidP="00205817">
            <w:pPr>
              <w:pStyle w:val="TableTextLeft"/>
            </w:pPr>
            <w:r>
              <w:t>Interim directions</w:t>
            </w:r>
          </w:p>
        </w:tc>
        <w:tc>
          <w:tcPr>
            <w:tcW w:w="5953" w:type="dxa"/>
            <w:shd w:val="clear" w:color="auto" w:fill="FFFFFF" w:themeFill="background1"/>
          </w:tcPr>
          <w:p w14:paraId="040D4DA8" w14:textId="77777777" w:rsidR="00566E0D" w:rsidRPr="003159D9" w:rsidRDefault="00566E0D" w:rsidP="00566E0D">
            <w:pPr>
              <w:pStyle w:val="TableTextLeft"/>
            </w:pPr>
            <w:r w:rsidRPr="003159D9">
              <w:t xml:space="preserve">If there is reason to believe that a person has engaged, or is engaging, in conduct that constitutes a contravention of the Act, the Treasurer may direct an investors to address or prevent a contravention of the Act (or prevent a similar or related contravention) in circumstances where any delay in giving the direction would be contrary to the national interest. </w:t>
            </w:r>
          </w:p>
        </w:tc>
      </w:tr>
      <w:tr w:rsidR="00566E0D" w:rsidRPr="00107DC9" w14:paraId="74A1ED1C" w14:textId="77777777" w:rsidTr="00566E0D">
        <w:tc>
          <w:tcPr>
            <w:tcW w:w="2581" w:type="dxa"/>
            <w:shd w:val="clear" w:color="auto" w:fill="FFFFFF" w:themeFill="background1"/>
          </w:tcPr>
          <w:p w14:paraId="07E09F42" w14:textId="77777777" w:rsidR="00566E0D" w:rsidRDefault="00566E0D" w:rsidP="00205817">
            <w:pPr>
              <w:pStyle w:val="TableTextLeft"/>
            </w:pPr>
            <w:r>
              <w:t>Infringement notices</w:t>
            </w:r>
          </w:p>
        </w:tc>
        <w:tc>
          <w:tcPr>
            <w:tcW w:w="5953" w:type="dxa"/>
            <w:shd w:val="clear" w:color="auto" w:fill="FFFFFF" w:themeFill="background1"/>
          </w:tcPr>
          <w:p w14:paraId="4F4A68C3" w14:textId="77777777" w:rsidR="00566E0D" w:rsidRPr="003159D9" w:rsidRDefault="00566E0D" w:rsidP="00566E0D">
            <w:pPr>
              <w:pStyle w:val="TableTextLeft"/>
            </w:pPr>
            <w:r w:rsidRPr="003159D9">
              <w:t xml:space="preserve">An infringement notice is a financial penalty that an infringement officer may impose for certain breaches of the Act where there are reasonable grounds to believe that a contravention has occurred. </w:t>
            </w:r>
          </w:p>
        </w:tc>
      </w:tr>
      <w:tr w:rsidR="00566E0D" w:rsidRPr="00107DC9" w14:paraId="20ED82E2" w14:textId="77777777" w:rsidTr="00566E0D">
        <w:tc>
          <w:tcPr>
            <w:tcW w:w="2581" w:type="dxa"/>
            <w:shd w:val="clear" w:color="auto" w:fill="FFFFFF" w:themeFill="background1"/>
          </w:tcPr>
          <w:p w14:paraId="03123713" w14:textId="77777777" w:rsidR="00566E0D" w:rsidRPr="00107DC9" w:rsidRDefault="00566E0D" w:rsidP="00205817">
            <w:pPr>
              <w:pStyle w:val="TableTextLeft"/>
            </w:pPr>
            <w:r>
              <w:t xml:space="preserve">Civil penalty orders </w:t>
            </w:r>
          </w:p>
        </w:tc>
        <w:tc>
          <w:tcPr>
            <w:tcW w:w="5953" w:type="dxa"/>
            <w:shd w:val="clear" w:color="auto" w:fill="FFFFFF" w:themeFill="background1"/>
          </w:tcPr>
          <w:p w14:paraId="6CD77697" w14:textId="77777777" w:rsidR="00566E0D" w:rsidRPr="003159D9" w:rsidRDefault="00566E0D" w:rsidP="00566E0D">
            <w:pPr>
              <w:pStyle w:val="TableTextLeft"/>
            </w:pPr>
            <w:r w:rsidRPr="003159D9">
              <w:t xml:space="preserve">A civil penalty </w:t>
            </w:r>
            <w:r>
              <w:t xml:space="preserve">order can be made by a court for the payment of a </w:t>
            </w:r>
            <w:r w:rsidRPr="003159D9">
              <w:t>financial penalty</w:t>
            </w:r>
            <w:r>
              <w:t xml:space="preserve"> where the person is</w:t>
            </w:r>
            <w:r w:rsidRPr="003159D9">
              <w:t xml:space="preserve"> found by </w:t>
            </w:r>
            <w:r>
              <w:t>the</w:t>
            </w:r>
            <w:r w:rsidRPr="003159D9">
              <w:t xml:space="preserve"> court to have contravened a civil penalty provisions of the Act.</w:t>
            </w:r>
          </w:p>
        </w:tc>
      </w:tr>
      <w:tr w:rsidR="00566E0D" w:rsidRPr="00107DC9" w14:paraId="485CCF8F" w14:textId="77777777" w:rsidTr="00566E0D">
        <w:tc>
          <w:tcPr>
            <w:tcW w:w="2581" w:type="dxa"/>
            <w:shd w:val="clear" w:color="auto" w:fill="FFFFFF" w:themeFill="background1"/>
          </w:tcPr>
          <w:p w14:paraId="52C2E49A" w14:textId="77777777" w:rsidR="00566E0D" w:rsidRPr="00107DC9" w:rsidRDefault="00566E0D" w:rsidP="00205817">
            <w:pPr>
              <w:pStyle w:val="TableTextLeft"/>
            </w:pPr>
            <w:r>
              <w:t>Enforceable undertakings</w:t>
            </w:r>
          </w:p>
        </w:tc>
        <w:tc>
          <w:tcPr>
            <w:tcW w:w="5953" w:type="dxa"/>
            <w:shd w:val="clear" w:color="auto" w:fill="FFFFFF" w:themeFill="background1"/>
          </w:tcPr>
          <w:p w14:paraId="19C8D33F" w14:textId="77777777" w:rsidR="00566E0D" w:rsidRDefault="00566E0D" w:rsidP="00566E0D">
            <w:pPr>
              <w:pStyle w:val="TableTextLeft"/>
            </w:pPr>
            <w:r>
              <w:t xml:space="preserve">An enforceable undertaking can be entered into by the Treasurer with a person in order to prevent, or respond to non-compliance with the Act. </w:t>
            </w:r>
          </w:p>
        </w:tc>
      </w:tr>
      <w:tr w:rsidR="00566E0D" w:rsidRPr="00107DC9" w14:paraId="713667C5" w14:textId="77777777" w:rsidTr="00566E0D">
        <w:tc>
          <w:tcPr>
            <w:tcW w:w="2581" w:type="dxa"/>
            <w:shd w:val="clear" w:color="auto" w:fill="FFFFFF" w:themeFill="background1"/>
          </w:tcPr>
          <w:p w14:paraId="2B937937" w14:textId="77777777" w:rsidR="00566E0D" w:rsidRPr="00107DC9" w:rsidRDefault="00566E0D" w:rsidP="00205817">
            <w:pPr>
              <w:pStyle w:val="TableTextLeft"/>
            </w:pPr>
            <w:r>
              <w:t xml:space="preserve">Compelling documents or information relevant to the exercise of the Treasurer’s powers </w:t>
            </w:r>
          </w:p>
        </w:tc>
        <w:tc>
          <w:tcPr>
            <w:tcW w:w="5953" w:type="dxa"/>
            <w:shd w:val="clear" w:color="auto" w:fill="FFFFFF" w:themeFill="background1"/>
          </w:tcPr>
          <w:p w14:paraId="539E0BC5" w14:textId="77777777" w:rsidR="00566E0D" w:rsidRDefault="00566E0D" w:rsidP="00566E0D">
            <w:pPr>
              <w:pStyle w:val="TableTextLeft"/>
            </w:pPr>
            <w:r w:rsidRPr="003159D9">
              <w:t xml:space="preserve">The power allows the Treasurer to request information and documents from an investor, which supports desktop and paper based auditing and compliance monitoring. </w:t>
            </w:r>
          </w:p>
        </w:tc>
      </w:tr>
    </w:tbl>
    <w:p w14:paraId="4F37DD49" w14:textId="77777777" w:rsidR="009E171B" w:rsidRDefault="009E171B" w:rsidP="00D31D6C">
      <w:pPr>
        <w:tabs>
          <w:tab w:val="left" w:pos="2280"/>
        </w:tabs>
        <w:spacing w:before="0" w:after="160" w:line="259" w:lineRule="auto"/>
      </w:pPr>
    </w:p>
    <w:sectPr w:rsidR="009E171B" w:rsidSect="003159D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32558" w14:textId="77777777" w:rsidR="000A7565" w:rsidRDefault="000A7565">
      <w:pPr>
        <w:spacing w:before="0" w:after="0"/>
      </w:pPr>
      <w:r>
        <w:separator/>
      </w:r>
    </w:p>
  </w:endnote>
  <w:endnote w:type="continuationSeparator" w:id="0">
    <w:p w14:paraId="45A2C247" w14:textId="77777777" w:rsidR="000A7565" w:rsidRDefault="000A756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17E76" w14:textId="77777777" w:rsidR="00541779" w:rsidRDefault="00541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DD7AB" w14:textId="177B5F83" w:rsidR="00EF145E" w:rsidRPr="00F60198" w:rsidRDefault="00EF145E" w:rsidP="00F60198">
    <w:pPr>
      <w:pStyle w:val="FooterOdd"/>
    </w:pPr>
    <w:r w:rsidRPr="00F60198">
      <w:fldChar w:fldCharType="begin"/>
    </w:r>
    <w:r w:rsidRPr="00F60198">
      <w:instrText xml:space="preserve"> PAGE   \* MERGEFORMAT </w:instrText>
    </w:r>
    <w:r w:rsidRPr="00F60198">
      <w:fldChar w:fldCharType="separate"/>
    </w:r>
    <w:r w:rsidR="00541779">
      <w:rPr>
        <w:noProof/>
      </w:rPr>
      <w:t>3</w:t>
    </w:r>
    <w:r w:rsidRPr="00F6019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945D2" w14:textId="77777777" w:rsidR="00541779" w:rsidRDefault="005417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F0FDD" w14:textId="6288B5C4" w:rsidR="00EF145E" w:rsidRPr="00E77C89" w:rsidRDefault="00EF145E" w:rsidP="00EE1447">
    <w:pPr>
      <w:pStyle w:val="FooterEven"/>
    </w:pPr>
    <w:r>
      <w:fldChar w:fldCharType="begin"/>
    </w:r>
    <w:r>
      <w:instrText xml:space="preserve"> PAGE  \* Arabic  \* MERGEFORMAT </w:instrText>
    </w:r>
    <w:r>
      <w:fldChar w:fldCharType="separate"/>
    </w:r>
    <w:r w:rsidR="00541779">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752B6" w14:textId="77777777" w:rsidR="00EF145E" w:rsidRDefault="00EF14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11C12" w14:textId="2EC72B97" w:rsidR="00EF145E" w:rsidRPr="00E77C89" w:rsidRDefault="00EF145E" w:rsidP="00EE1447">
    <w:pPr>
      <w:pStyle w:val="FooterEven"/>
    </w:pPr>
    <w:r>
      <w:fldChar w:fldCharType="begin"/>
    </w:r>
    <w:r>
      <w:instrText xml:space="preserve"> PAGE  \* Arabic  \* MERGEFORMAT </w:instrText>
    </w:r>
    <w:r>
      <w:fldChar w:fldCharType="separate"/>
    </w:r>
    <w:r w:rsidR="00541779">
      <w:t>10</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08A0A" w14:textId="5D295412" w:rsidR="00EF145E" w:rsidRDefault="00EF145E" w:rsidP="00F60198">
    <w:pPr>
      <w:pStyle w:val="FooterOdd"/>
    </w:pPr>
    <w:r>
      <w:fldChar w:fldCharType="begin"/>
    </w:r>
    <w:r>
      <w:instrText xml:space="preserve"> PAGE   \* MERGEFORMAT </w:instrText>
    </w:r>
    <w:r>
      <w:fldChar w:fldCharType="separate"/>
    </w:r>
    <w:r w:rsidR="00541779">
      <w:rPr>
        <w:noProof/>
      </w:rPr>
      <w:t>9</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2E323" w14:textId="77777777" w:rsidR="00EF145E" w:rsidRDefault="00EF1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52D38" w14:textId="77777777" w:rsidR="000A7565" w:rsidRDefault="000A7565">
      <w:pPr>
        <w:spacing w:before="0" w:after="0"/>
      </w:pPr>
      <w:r>
        <w:separator/>
      </w:r>
    </w:p>
  </w:footnote>
  <w:footnote w:type="continuationSeparator" w:id="0">
    <w:p w14:paraId="6C3085DC" w14:textId="77777777" w:rsidR="000A7565" w:rsidRDefault="000A756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E98B5" w14:textId="77777777" w:rsidR="00541779" w:rsidRDefault="005417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92EFF" w14:textId="77777777" w:rsidR="00541779" w:rsidRDefault="005417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BC90F" w14:textId="77777777" w:rsidR="00541779" w:rsidRDefault="005417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C3F33" w14:textId="1B59EACA" w:rsidR="00EF145E" w:rsidRPr="001F3912" w:rsidRDefault="00541779" w:rsidP="00A12F62">
    <w:pPr>
      <w:pStyle w:val="HeaderEven"/>
    </w:pPr>
    <w:r>
      <w:fldChar w:fldCharType="begin"/>
    </w:r>
    <w:r>
      <w:instrText xml:space="preserve"> STYLEREF  "Title"  \* MERGEFORMAT </w:instrText>
    </w:r>
    <w:r>
      <w:fldChar w:fldCharType="separate"/>
    </w:r>
    <w:r>
      <w:rPr>
        <w:noProof/>
      </w:rPr>
      <w:t>Foreign investment: Compliance framework policy statement</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FE15A" w14:textId="77777777" w:rsidR="00EF145E" w:rsidRPr="00F836F9" w:rsidRDefault="00EF145E" w:rsidP="00F836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7D258" w14:textId="77777777" w:rsidR="00EF145E" w:rsidRDefault="00EF14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91D22" w14:textId="14B51741" w:rsidR="00EF145E" w:rsidRPr="001F3912" w:rsidRDefault="00541779" w:rsidP="00A12F62">
    <w:pPr>
      <w:pStyle w:val="HeaderEven"/>
    </w:pPr>
    <w:r>
      <w:fldChar w:fldCharType="begin"/>
    </w:r>
    <w:r>
      <w:instrText xml:space="preserve"> STYLEREF  Title  \* MERGEFORMAT </w:instrText>
    </w:r>
    <w:r>
      <w:fldChar w:fldCharType="separate"/>
    </w:r>
    <w:r>
      <w:rPr>
        <w:noProof/>
      </w:rPr>
      <w:t>Foreign investment: Compliance framework policy statement</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F0B2C" w14:textId="4663C880" w:rsidR="00EF145E" w:rsidRPr="001F3912" w:rsidRDefault="00BF278D" w:rsidP="00A12F62">
    <w:pPr>
      <w:pStyle w:val="HeaderOdd"/>
    </w:pPr>
    <w:fldSimple w:instr=" STYLEREF  &quot;Heading 1&quot;  \* MERGEFORMAT ">
      <w:r w:rsidR="00541779">
        <w:rPr>
          <w:noProof/>
        </w:rPr>
        <w:t>Attachment A: Offences and penalties under the Foreign Acquisitions and Takeovers Act 1975 (except in relation to residential real estate)</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9DA5" w14:textId="77777777" w:rsidR="00EF145E" w:rsidRDefault="00EF1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023D79"/>
    <w:multiLevelType w:val="hybridMultilevel"/>
    <w:tmpl w:val="FFD2C0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2" w15:restartNumberingAfterBreak="0">
    <w:nsid w:val="510D2021"/>
    <w:multiLevelType w:val="multilevel"/>
    <w:tmpl w:val="72F8140E"/>
    <w:numStyleLink w:val="OutlineList"/>
  </w:abstractNum>
  <w:abstractNum w:abstractNumId="13"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5A164B"/>
    <w:multiLevelType w:val="multilevel"/>
    <w:tmpl w:val="58B8F2C0"/>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8"/>
  </w:num>
  <w:num w:numId="2">
    <w:abstractNumId w:val="0"/>
  </w:num>
  <w:num w:numId="3">
    <w:abstractNumId w:val="10"/>
  </w:num>
  <w:num w:numId="4">
    <w:abstractNumId w:val="3"/>
  </w:num>
  <w:num w:numId="5">
    <w:abstractNumId w:val="4"/>
  </w:num>
  <w:num w:numId="6">
    <w:abstractNumId w:val="12"/>
  </w:num>
  <w:num w:numId="7">
    <w:abstractNumId w:val="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5"/>
  </w:num>
  <w:num w:numId="9">
    <w:abstractNumId w:val="1"/>
  </w:num>
  <w:num w:numId="10">
    <w:abstractNumId w:val="7"/>
  </w:num>
  <w:num w:numId="11">
    <w:abstractNumId w:val="16"/>
  </w:num>
  <w:num w:numId="12">
    <w:abstractNumId w:val="12"/>
  </w:num>
  <w:num w:numId="13">
    <w:abstractNumId w:val="17"/>
  </w:num>
  <w:num w:numId="14">
    <w:abstractNumId w:val="11"/>
  </w:num>
  <w:num w:numId="15">
    <w:abstractNumId w:val="6"/>
  </w:num>
  <w:num w:numId="16">
    <w:abstractNumId w:val="13"/>
  </w:num>
  <w:num w:numId="17">
    <w:abstractNumId w:val="9"/>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mirrorMargins/>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5FA"/>
    <w:rsid w:val="00011725"/>
    <w:rsid w:val="00012C62"/>
    <w:rsid w:val="0001396A"/>
    <w:rsid w:val="0002544D"/>
    <w:rsid w:val="0004274D"/>
    <w:rsid w:val="00043348"/>
    <w:rsid w:val="0004483F"/>
    <w:rsid w:val="0005138B"/>
    <w:rsid w:val="000522B7"/>
    <w:rsid w:val="00052DC0"/>
    <w:rsid w:val="00056880"/>
    <w:rsid w:val="000675D1"/>
    <w:rsid w:val="00073521"/>
    <w:rsid w:val="000775DE"/>
    <w:rsid w:val="00087FAF"/>
    <w:rsid w:val="000A2D98"/>
    <w:rsid w:val="000A7565"/>
    <w:rsid w:val="000C571D"/>
    <w:rsid w:val="000C5F40"/>
    <w:rsid w:val="000E0B74"/>
    <w:rsid w:val="000E7901"/>
    <w:rsid w:val="000F75FA"/>
    <w:rsid w:val="00131DC3"/>
    <w:rsid w:val="00135E4C"/>
    <w:rsid w:val="001373F5"/>
    <w:rsid w:val="001574C0"/>
    <w:rsid w:val="001606CF"/>
    <w:rsid w:val="0016128D"/>
    <w:rsid w:val="0017089D"/>
    <w:rsid w:val="0019101A"/>
    <w:rsid w:val="001972D2"/>
    <w:rsid w:val="001C358D"/>
    <w:rsid w:val="001F1B27"/>
    <w:rsid w:val="00221EC0"/>
    <w:rsid w:val="00231049"/>
    <w:rsid w:val="002314D2"/>
    <w:rsid w:val="0023305C"/>
    <w:rsid w:val="00241881"/>
    <w:rsid w:val="0024294C"/>
    <w:rsid w:val="0025652F"/>
    <w:rsid w:val="00263B6C"/>
    <w:rsid w:val="00272939"/>
    <w:rsid w:val="0027590B"/>
    <w:rsid w:val="00285969"/>
    <w:rsid w:val="002A74EF"/>
    <w:rsid w:val="002B3829"/>
    <w:rsid w:val="002C22EF"/>
    <w:rsid w:val="002C48DE"/>
    <w:rsid w:val="002E454C"/>
    <w:rsid w:val="002F617F"/>
    <w:rsid w:val="00300109"/>
    <w:rsid w:val="00301755"/>
    <w:rsid w:val="0030665E"/>
    <w:rsid w:val="00306894"/>
    <w:rsid w:val="003122F4"/>
    <w:rsid w:val="003268D5"/>
    <w:rsid w:val="003448F6"/>
    <w:rsid w:val="00350759"/>
    <w:rsid w:val="00354D27"/>
    <w:rsid w:val="0035738A"/>
    <w:rsid w:val="00371FE1"/>
    <w:rsid w:val="003858A6"/>
    <w:rsid w:val="00392DCC"/>
    <w:rsid w:val="003A5B36"/>
    <w:rsid w:val="003C24B4"/>
    <w:rsid w:val="003E20D6"/>
    <w:rsid w:val="003E4D87"/>
    <w:rsid w:val="00401082"/>
    <w:rsid w:val="00416762"/>
    <w:rsid w:val="00416E55"/>
    <w:rsid w:val="0042518A"/>
    <w:rsid w:val="004276A0"/>
    <w:rsid w:val="004431EF"/>
    <w:rsid w:val="00445265"/>
    <w:rsid w:val="004559CE"/>
    <w:rsid w:val="00460E1A"/>
    <w:rsid w:val="00463DF8"/>
    <w:rsid w:val="00475085"/>
    <w:rsid w:val="00476CF6"/>
    <w:rsid w:val="00477AA8"/>
    <w:rsid w:val="00492FCB"/>
    <w:rsid w:val="004A0F11"/>
    <w:rsid w:val="004A3EAA"/>
    <w:rsid w:val="004A7D97"/>
    <w:rsid w:val="004B5133"/>
    <w:rsid w:val="004C41B6"/>
    <w:rsid w:val="004D6E37"/>
    <w:rsid w:val="004E00EA"/>
    <w:rsid w:val="004F4B92"/>
    <w:rsid w:val="00516785"/>
    <w:rsid w:val="0052419D"/>
    <w:rsid w:val="005301F8"/>
    <w:rsid w:val="005312FC"/>
    <w:rsid w:val="0053569E"/>
    <w:rsid w:val="0053603D"/>
    <w:rsid w:val="0053742A"/>
    <w:rsid w:val="00537C85"/>
    <w:rsid w:val="00541779"/>
    <w:rsid w:val="00541D29"/>
    <w:rsid w:val="00562F17"/>
    <w:rsid w:val="0056582C"/>
    <w:rsid w:val="00566E0D"/>
    <w:rsid w:val="005868DE"/>
    <w:rsid w:val="005877AC"/>
    <w:rsid w:val="005966B7"/>
    <w:rsid w:val="005B5E2A"/>
    <w:rsid w:val="005C02A4"/>
    <w:rsid w:val="005C20D2"/>
    <w:rsid w:val="005C32FE"/>
    <w:rsid w:val="005C503A"/>
    <w:rsid w:val="005D024A"/>
    <w:rsid w:val="005D4FD4"/>
    <w:rsid w:val="005D6D64"/>
    <w:rsid w:val="00601650"/>
    <w:rsid w:val="00604EEF"/>
    <w:rsid w:val="00605AFD"/>
    <w:rsid w:val="006123D4"/>
    <w:rsid w:val="0061445B"/>
    <w:rsid w:val="00624C4B"/>
    <w:rsid w:val="006670C9"/>
    <w:rsid w:val="0067622C"/>
    <w:rsid w:val="00685CF7"/>
    <w:rsid w:val="00686165"/>
    <w:rsid w:val="00691CB5"/>
    <w:rsid w:val="006923DF"/>
    <w:rsid w:val="006A37F5"/>
    <w:rsid w:val="006B38FF"/>
    <w:rsid w:val="006C1892"/>
    <w:rsid w:val="006C5B73"/>
    <w:rsid w:val="006C645D"/>
    <w:rsid w:val="006E2D2A"/>
    <w:rsid w:val="006E3CC3"/>
    <w:rsid w:val="00706E8E"/>
    <w:rsid w:val="00722B53"/>
    <w:rsid w:val="007509DD"/>
    <w:rsid w:val="00763474"/>
    <w:rsid w:val="00784C0A"/>
    <w:rsid w:val="00794B40"/>
    <w:rsid w:val="007A1079"/>
    <w:rsid w:val="007B2677"/>
    <w:rsid w:val="007B76AB"/>
    <w:rsid w:val="007D592B"/>
    <w:rsid w:val="007D5AA6"/>
    <w:rsid w:val="007D7A91"/>
    <w:rsid w:val="007E6456"/>
    <w:rsid w:val="00811943"/>
    <w:rsid w:val="008311B8"/>
    <w:rsid w:val="00834243"/>
    <w:rsid w:val="00857969"/>
    <w:rsid w:val="008622EC"/>
    <w:rsid w:val="00882CC4"/>
    <w:rsid w:val="008844AC"/>
    <w:rsid w:val="008C7F71"/>
    <w:rsid w:val="008D339F"/>
    <w:rsid w:val="008E6292"/>
    <w:rsid w:val="008F23EB"/>
    <w:rsid w:val="00917E28"/>
    <w:rsid w:val="00925AA5"/>
    <w:rsid w:val="0093540D"/>
    <w:rsid w:val="0094019D"/>
    <w:rsid w:val="00942C11"/>
    <w:rsid w:val="0094351F"/>
    <w:rsid w:val="009547F8"/>
    <w:rsid w:val="009729D4"/>
    <w:rsid w:val="00980759"/>
    <w:rsid w:val="009817B0"/>
    <w:rsid w:val="009821CE"/>
    <w:rsid w:val="009A277C"/>
    <w:rsid w:val="009A2DA2"/>
    <w:rsid w:val="009A658F"/>
    <w:rsid w:val="009C54EA"/>
    <w:rsid w:val="009E171B"/>
    <w:rsid w:val="00A015E8"/>
    <w:rsid w:val="00A07D47"/>
    <w:rsid w:val="00A12F62"/>
    <w:rsid w:val="00A14FE9"/>
    <w:rsid w:val="00A3749B"/>
    <w:rsid w:val="00A37D87"/>
    <w:rsid w:val="00A50D88"/>
    <w:rsid w:val="00A56923"/>
    <w:rsid w:val="00A62E42"/>
    <w:rsid w:val="00A64A71"/>
    <w:rsid w:val="00A72960"/>
    <w:rsid w:val="00A72D8F"/>
    <w:rsid w:val="00A93401"/>
    <w:rsid w:val="00AC3196"/>
    <w:rsid w:val="00AE2F90"/>
    <w:rsid w:val="00B03DD6"/>
    <w:rsid w:val="00B3583B"/>
    <w:rsid w:val="00B37A8F"/>
    <w:rsid w:val="00B65347"/>
    <w:rsid w:val="00B65DE1"/>
    <w:rsid w:val="00B87927"/>
    <w:rsid w:val="00BD26AA"/>
    <w:rsid w:val="00BD454F"/>
    <w:rsid w:val="00BF278D"/>
    <w:rsid w:val="00BF4F17"/>
    <w:rsid w:val="00C01DCC"/>
    <w:rsid w:val="00C202B3"/>
    <w:rsid w:val="00C21EE0"/>
    <w:rsid w:val="00C30297"/>
    <w:rsid w:val="00C72318"/>
    <w:rsid w:val="00C724E6"/>
    <w:rsid w:val="00C747A5"/>
    <w:rsid w:val="00C85314"/>
    <w:rsid w:val="00CA0116"/>
    <w:rsid w:val="00CA4BC0"/>
    <w:rsid w:val="00CA5CA8"/>
    <w:rsid w:val="00CB0157"/>
    <w:rsid w:val="00CB5205"/>
    <w:rsid w:val="00CC559D"/>
    <w:rsid w:val="00CD654B"/>
    <w:rsid w:val="00CE223E"/>
    <w:rsid w:val="00CF3F0D"/>
    <w:rsid w:val="00D101F7"/>
    <w:rsid w:val="00D145F5"/>
    <w:rsid w:val="00D31D6C"/>
    <w:rsid w:val="00D355F0"/>
    <w:rsid w:val="00D43AC8"/>
    <w:rsid w:val="00D56113"/>
    <w:rsid w:val="00D833D9"/>
    <w:rsid w:val="00D83BD9"/>
    <w:rsid w:val="00D94DCF"/>
    <w:rsid w:val="00D94EAE"/>
    <w:rsid w:val="00DA586F"/>
    <w:rsid w:val="00DB08DA"/>
    <w:rsid w:val="00DB7F09"/>
    <w:rsid w:val="00DC00E8"/>
    <w:rsid w:val="00DC1C56"/>
    <w:rsid w:val="00DC4756"/>
    <w:rsid w:val="00DC6379"/>
    <w:rsid w:val="00DE3C77"/>
    <w:rsid w:val="00DE471C"/>
    <w:rsid w:val="00DF6F61"/>
    <w:rsid w:val="00E00D24"/>
    <w:rsid w:val="00E101C6"/>
    <w:rsid w:val="00E22D51"/>
    <w:rsid w:val="00E50E7C"/>
    <w:rsid w:val="00E51545"/>
    <w:rsid w:val="00E51D9E"/>
    <w:rsid w:val="00E537D1"/>
    <w:rsid w:val="00E567E6"/>
    <w:rsid w:val="00E56971"/>
    <w:rsid w:val="00E61484"/>
    <w:rsid w:val="00E711D7"/>
    <w:rsid w:val="00E815E1"/>
    <w:rsid w:val="00E902B0"/>
    <w:rsid w:val="00E902E8"/>
    <w:rsid w:val="00EA23AC"/>
    <w:rsid w:val="00EA7C3D"/>
    <w:rsid w:val="00EB6878"/>
    <w:rsid w:val="00EC1E0E"/>
    <w:rsid w:val="00EC236D"/>
    <w:rsid w:val="00EC6B16"/>
    <w:rsid w:val="00EE1447"/>
    <w:rsid w:val="00EF145E"/>
    <w:rsid w:val="00EF2BBB"/>
    <w:rsid w:val="00F0082D"/>
    <w:rsid w:val="00F015AB"/>
    <w:rsid w:val="00F07C90"/>
    <w:rsid w:val="00F33DB8"/>
    <w:rsid w:val="00F57BED"/>
    <w:rsid w:val="00F60198"/>
    <w:rsid w:val="00F7613A"/>
    <w:rsid w:val="00F82746"/>
    <w:rsid w:val="00F836F9"/>
    <w:rsid w:val="00F845D7"/>
    <w:rsid w:val="00F92279"/>
    <w:rsid w:val="00FB4D21"/>
    <w:rsid w:val="00FB762B"/>
    <w:rsid w:val="00FC6ADA"/>
    <w:rsid w:val="00FF44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5CA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6AA"/>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923DF"/>
    <w:pPr>
      <w:spacing w:before="240"/>
      <w:outlineLvl w:val="2"/>
    </w:pPr>
    <w:rPr>
      <w:bCs w:val="0"/>
      <w:color w:val="3A6FAF"/>
      <w:sz w:val="28"/>
      <w:szCs w:val="26"/>
    </w:rPr>
  </w:style>
  <w:style w:type="paragraph" w:styleId="Heading4">
    <w:name w:val="heading 4"/>
    <w:basedOn w:val="HeadingBase"/>
    <w:next w:val="Normal"/>
    <w:link w:val="Heading4Char"/>
    <w:qFormat/>
    <w:rsid w:val="000E0B74"/>
    <w:pPr>
      <w:outlineLvl w:val="3"/>
    </w:pPr>
    <w:rPr>
      <w:bCs w:val="0"/>
      <w:color w:val="336E98"/>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923DF"/>
    <w:rPr>
      <w:rFonts w:ascii="Calibri" w:eastAsia="Times New Roman" w:hAnsi="Calibri" w:cs="Arial"/>
      <w:color w:val="3A6FAF"/>
      <w:kern w:val="32"/>
      <w:sz w:val="28"/>
      <w:szCs w:val="26"/>
      <w:lang w:eastAsia="en-AU"/>
    </w:rPr>
  </w:style>
  <w:style w:type="character" w:customStyle="1" w:styleId="Heading4Char">
    <w:name w:val="Heading 4 Char"/>
    <w:basedOn w:val="DefaultParagraphFont"/>
    <w:link w:val="Heading4"/>
    <w:rsid w:val="003E4D87"/>
    <w:rPr>
      <w:rFonts w:ascii="Calibri" w:eastAsia="Times New Roman" w:hAnsi="Calibri" w:cs="Arial"/>
      <w:color w:val="336E98"/>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CE223E"/>
    <w:pPr>
      <w:keepNext/>
      <w:spacing w:before="240"/>
    </w:pPr>
    <w:rPr>
      <w:b/>
      <w:color w:val="004A7F"/>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6923DF"/>
    <w:pPr>
      <w:keepNext/>
      <w:spacing w:before="0" w:after="360"/>
    </w:pPr>
    <w:rPr>
      <w:color w:val="00827F"/>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923DF"/>
    <w:pPr>
      <w:keepNext/>
      <w:tabs>
        <w:tab w:val="right" w:leader="dot" w:pos="9072"/>
      </w:tabs>
      <w:spacing w:before="180" w:after="0"/>
      <w:ind w:right="-2"/>
    </w:pPr>
    <w:rPr>
      <w:b/>
      <w:noProof/>
      <w:color w:val="002C4A"/>
      <w:szCs w:val="22"/>
    </w:rPr>
  </w:style>
  <w:style w:type="paragraph" w:styleId="TOC2">
    <w:name w:val="toc 2"/>
    <w:basedOn w:val="Normal"/>
    <w:next w:val="Normal"/>
    <w:uiPriority w:val="39"/>
    <w:qFormat/>
    <w:rsid w:val="0025652F"/>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923DF"/>
    <w:pPr>
      <w:spacing w:before="0" w:after="300"/>
      <w:contextualSpacing/>
    </w:pPr>
    <w:rPr>
      <w:rFonts w:eastAsiaTheme="majorEastAsia" w:cstheme="majorBidi"/>
      <w:b/>
      <w:color w:val="002C4A"/>
      <w:spacing w:val="5"/>
      <w:kern w:val="28"/>
      <w:sz w:val="72"/>
      <w:szCs w:val="52"/>
    </w:rPr>
  </w:style>
  <w:style w:type="character" w:customStyle="1" w:styleId="TitleChar">
    <w:name w:val="Title Char"/>
    <w:basedOn w:val="DefaultParagraphFont"/>
    <w:link w:val="Title"/>
    <w:uiPriority w:val="10"/>
    <w:rsid w:val="006923DF"/>
    <w:rPr>
      <w:rFonts w:ascii="Calibri" w:eastAsiaTheme="majorEastAsia" w:hAnsi="Calibri" w:cstheme="majorBidi"/>
      <w:b/>
      <w:color w:val="002C4A"/>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6923DF"/>
    <w:rPr>
      <w:rFonts w:ascii="Calibri" w:eastAsia="Times New Roman" w:hAnsi="Calibri" w:cs="Times New Roman"/>
      <w:color w:val="0082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paragraph" w:customStyle="1" w:styleId="Default">
    <w:name w:val="Default"/>
    <w:link w:val="DefaultChar"/>
    <w:rsid w:val="000F75FA"/>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basedOn w:val="DefaultParagraphFont"/>
    <w:link w:val="Default"/>
    <w:rsid w:val="000F75FA"/>
    <w:rPr>
      <w:rFonts w:ascii="Calibri" w:hAnsi="Calibri" w:cs="Calibri"/>
      <w:color w:val="000000"/>
      <w:sz w:val="24"/>
      <w:szCs w:val="24"/>
    </w:rPr>
  </w:style>
  <w:style w:type="character" w:customStyle="1" w:styleId="BulletChar">
    <w:name w:val="Bullet Char"/>
    <w:basedOn w:val="DefaultChar"/>
    <w:link w:val="Bullet"/>
    <w:rsid w:val="000F75FA"/>
    <w:rPr>
      <w:rFonts w:ascii="Calibri" w:eastAsia="Times New Roman" w:hAnsi="Calibri" w:cs="Times New Roman"/>
      <w:color w:val="000000"/>
      <w:sz w:val="24"/>
      <w:szCs w:val="20"/>
      <w:lang w:eastAsia="en-AU"/>
    </w:rPr>
  </w:style>
  <w:style w:type="character" w:styleId="CommentReference">
    <w:name w:val="annotation reference"/>
    <w:basedOn w:val="DefaultParagraphFont"/>
    <w:uiPriority w:val="99"/>
    <w:semiHidden/>
    <w:unhideWhenUsed/>
    <w:rsid w:val="000F75FA"/>
    <w:rPr>
      <w:sz w:val="16"/>
      <w:szCs w:val="16"/>
    </w:rPr>
  </w:style>
  <w:style w:type="paragraph" w:styleId="CommentText">
    <w:name w:val="annotation text"/>
    <w:basedOn w:val="Normal"/>
    <w:link w:val="CommentTextChar"/>
    <w:uiPriority w:val="99"/>
    <w:unhideWhenUsed/>
    <w:rsid w:val="000F75FA"/>
    <w:pPr>
      <w:spacing w:before="0"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0F75FA"/>
    <w:rPr>
      <w:sz w:val="20"/>
      <w:szCs w:val="20"/>
    </w:rPr>
  </w:style>
  <w:style w:type="paragraph" w:styleId="ListParagraph">
    <w:name w:val="List Paragraph"/>
    <w:basedOn w:val="Normal"/>
    <w:link w:val="ListParagraphChar"/>
    <w:uiPriority w:val="34"/>
    <w:qFormat/>
    <w:rsid w:val="00D31D6C"/>
    <w:pPr>
      <w:spacing w:before="0" w:after="0"/>
      <w:ind w:left="720"/>
    </w:pPr>
    <w:rPr>
      <w:rFonts w:asciiTheme="minorHAnsi" w:eastAsiaTheme="minorHAnsi" w:hAnsiTheme="minorHAnsi" w:cstheme="minorBidi"/>
      <w:szCs w:val="22"/>
      <w:lang w:eastAsia="en-US"/>
    </w:rPr>
  </w:style>
  <w:style w:type="character" w:customStyle="1" w:styleId="ListParagraphChar">
    <w:name w:val="List Paragraph Char"/>
    <w:basedOn w:val="DefaultParagraphFont"/>
    <w:link w:val="ListParagraph"/>
    <w:uiPriority w:val="34"/>
    <w:rsid w:val="00D31D6C"/>
  </w:style>
  <w:style w:type="paragraph" w:styleId="CommentSubject">
    <w:name w:val="annotation subject"/>
    <w:basedOn w:val="CommentText"/>
    <w:next w:val="CommentText"/>
    <w:link w:val="CommentSubjectChar"/>
    <w:uiPriority w:val="99"/>
    <w:semiHidden/>
    <w:unhideWhenUsed/>
    <w:rsid w:val="009C54EA"/>
    <w:pPr>
      <w:spacing w:before="120" w:after="120"/>
    </w:pPr>
    <w:rPr>
      <w:rFonts w:ascii="Calibri" w:eastAsia="Times New Roman" w:hAnsi="Calibri" w:cs="Times New Roman"/>
      <w:b/>
      <w:bCs/>
      <w:lang w:eastAsia="en-AU"/>
    </w:rPr>
  </w:style>
  <w:style w:type="character" w:customStyle="1" w:styleId="CommentSubjectChar">
    <w:name w:val="Comment Subject Char"/>
    <w:basedOn w:val="CommentTextChar"/>
    <w:link w:val="CommentSubject"/>
    <w:uiPriority w:val="99"/>
    <w:semiHidden/>
    <w:rsid w:val="009C54EA"/>
    <w:rPr>
      <w:rFonts w:ascii="Calibri" w:eastAsia="Times New Roman" w:hAnsi="Calibri"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mc.gov.au/government/commonwealth-coat-arms" TargetMode="External"/><Relationship Id="rId18" Type="http://schemas.openxmlformats.org/officeDocument/2006/relationships/footer" Target="footer2.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firb.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www.pmc.gov.au/resource-centre/regulation/regulator-performance-framework" TargetMode="External"/><Relationship Id="rId36" Type="http://schemas.openxmlformats.org/officeDocument/2006/relationships/footer" Target="footer8.xml"/><Relationship Id="rId10" Type="http://schemas.openxmlformats.org/officeDocument/2006/relationships/hyperlink" Target="http://creativecommons.org/licenses/by/3.0/au/legalcode" TargetMode="Externa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mailto:media@treasury.gov.au" TargetMode="External"/><Relationship Id="rId22" Type="http://schemas.openxmlformats.org/officeDocument/2006/relationships/header" Target="header5.xml"/><Relationship Id="rId27" Type="http://schemas.openxmlformats.org/officeDocument/2006/relationships/hyperlink" Target="mailto:firbcompliance@treasury.gov.au" TargetMode="External"/><Relationship Id="rId30" Type="http://schemas.openxmlformats.org/officeDocument/2006/relationships/hyperlink" Target="mailto:firbcompliance@treasury.gov.au" TargetMode="External"/><Relationship Id="rId35" Type="http://schemas.openxmlformats.org/officeDocument/2006/relationships/header" Target="header9.xml"/></Relationships>
</file>

<file path=word/theme/theme1.xml><?xml version="1.0" encoding="utf-8"?>
<a:theme xmlns:a="http://schemas.openxmlformats.org/drawingml/2006/main" name="Corporat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59749-B461-4400-8A9E-795B358E5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3212</Words>
  <Characters>18313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Foreign investment: Compliance Framework Policy Statement</vt:lpstr>
    </vt:vector>
  </TitlesOfParts>
  <Company/>
  <LinksUpToDate>false</LinksUpToDate>
  <CharactersWithSpaces>21483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investment: Compliance Framework Policy Statement</dc:title>
  <dc:subject/>
  <dc:creator/>
  <cp:keywords/>
  <cp:lastModifiedBy/>
  <cp:revision>1</cp:revision>
  <dcterms:created xsi:type="dcterms:W3CDTF">2021-01-04T04:21:00Z</dcterms:created>
  <dcterms:modified xsi:type="dcterms:W3CDTF">2021-01-04T04:21:00Z</dcterms:modified>
</cp:coreProperties>
</file>