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charts/chart4.xml" ContentType="application/vnd.openxmlformats-officedocument.drawingml.chart+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C08FB" w14:textId="77777777" w:rsidR="001607BB" w:rsidRPr="00A84283" w:rsidRDefault="001607BB" w:rsidP="00DC7356">
      <w:pPr>
        <w:pStyle w:val="Circletext"/>
        <w:ind w:left="0"/>
      </w:pPr>
    </w:p>
    <w:p w14:paraId="66918B01" w14:textId="77777777" w:rsidR="00823C66" w:rsidRPr="000814CB" w:rsidRDefault="00823C66" w:rsidP="00FE4773"/>
    <w:p w14:paraId="788E8F15" w14:textId="77777777" w:rsidR="00823C66" w:rsidRPr="000814CB" w:rsidRDefault="00823C66" w:rsidP="00FE4773"/>
    <w:p w14:paraId="10142426" w14:textId="77777777" w:rsidR="00823C66" w:rsidRPr="000814CB" w:rsidRDefault="00823C66" w:rsidP="002F150A">
      <w:pPr>
        <w:pStyle w:val="CoverTitleMain"/>
      </w:pPr>
      <w:r w:rsidRPr="000814CB">
        <w:t>Foreign Investment</w:t>
      </w:r>
    </w:p>
    <w:p w14:paraId="6FBB81AB" w14:textId="77777777" w:rsidR="00823C66" w:rsidRPr="000814CB" w:rsidRDefault="00823C66" w:rsidP="002F150A">
      <w:pPr>
        <w:pStyle w:val="CoverTitleMain"/>
      </w:pPr>
      <w:r w:rsidRPr="000814CB">
        <w:t>Review Board</w:t>
      </w:r>
    </w:p>
    <w:p w14:paraId="076A8259" w14:textId="77777777" w:rsidR="00823C66" w:rsidRPr="000814CB" w:rsidRDefault="00823C66" w:rsidP="00FE4773"/>
    <w:p w14:paraId="1C174250" w14:textId="77777777" w:rsidR="00823C66" w:rsidRPr="000814CB" w:rsidRDefault="00823C66" w:rsidP="002F150A">
      <w:pPr>
        <w:pStyle w:val="CoverTitleSub"/>
        <w:jc w:val="right"/>
      </w:pPr>
      <w:r w:rsidRPr="000814CB">
        <w:t>Annual Report</w:t>
      </w:r>
    </w:p>
    <w:p w14:paraId="4357B075" w14:textId="77777777" w:rsidR="00823C66" w:rsidRDefault="00823C66" w:rsidP="002F150A">
      <w:pPr>
        <w:pStyle w:val="CoverTitleSub"/>
        <w:jc w:val="right"/>
      </w:pPr>
      <w:r w:rsidRPr="000814CB">
        <w:t>2019</w:t>
      </w:r>
      <w:r w:rsidR="006225EA">
        <w:t>–</w:t>
      </w:r>
      <w:r w:rsidR="00C7586A">
        <w:t>20</w:t>
      </w:r>
    </w:p>
    <w:p w14:paraId="621CD45F" w14:textId="77777777" w:rsidR="00757660" w:rsidRDefault="00757660">
      <w:pPr>
        <w:spacing w:after="0" w:line="240" w:lineRule="auto"/>
        <w:jc w:val="left"/>
        <w:sectPr w:rsidR="00757660" w:rsidSect="00757660">
          <w:footerReference w:type="even" r:id="rId13"/>
          <w:footerReference w:type="default" r:id="rId14"/>
          <w:pgSz w:w="11906" w:h="16838" w:code="9"/>
          <w:pgMar w:top="2466" w:right="2098" w:bottom="2466" w:left="2098" w:header="1899" w:footer="1899" w:gutter="0"/>
          <w:pgNumType w:start="1"/>
          <w:cols w:space="708"/>
          <w:titlePg/>
          <w:docGrid w:linePitch="360"/>
        </w:sectPr>
      </w:pPr>
    </w:p>
    <w:p w14:paraId="070C1C01" w14:textId="77777777" w:rsidR="00645B20" w:rsidRPr="00CB54C2" w:rsidRDefault="00645B20" w:rsidP="00645B20">
      <w:r w:rsidRPr="00CB54C2">
        <w:rPr>
          <w:rFonts w:ascii="Symbol" w:hAnsi="Symbol"/>
        </w:rPr>
        <w:lastRenderedPageBreak/>
        <w:t></w:t>
      </w:r>
      <w:r w:rsidRPr="00CB54C2">
        <w:t xml:space="preserve"> Commonwealth of Australia </w:t>
      </w:r>
      <w:r>
        <w:t>2021</w:t>
      </w:r>
    </w:p>
    <w:p w14:paraId="769AFD85" w14:textId="77777777" w:rsidR="00645B20" w:rsidRPr="00CB54C2" w:rsidRDefault="00645B20" w:rsidP="00645B20">
      <w:pPr>
        <w:jc w:val="left"/>
      </w:pPr>
      <w:r w:rsidRPr="00C0790A">
        <w:t>ISSN 0155</w:t>
      </w:r>
      <w:r>
        <w:t>–</w:t>
      </w:r>
      <w:r w:rsidRPr="00C0790A">
        <w:t>0802 (print)</w:t>
      </w:r>
      <w:r w:rsidRPr="00C0790A">
        <w:br/>
        <w:t>ISSN 2204</w:t>
      </w:r>
      <w:r>
        <w:t>–</w:t>
      </w:r>
      <w:r w:rsidRPr="00C0790A">
        <w:t>0927 (web)</w:t>
      </w:r>
    </w:p>
    <w:p w14:paraId="32FCC922" w14:textId="77777777" w:rsidR="00645B20" w:rsidRPr="00CB54C2" w:rsidRDefault="00645B20" w:rsidP="00645B20">
      <w:r w:rsidRPr="00CB54C2">
        <w:t xml:space="preserve">This publication is available for your use under a </w:t>
      </w:r>
      <w:hyperlink r:id="rId15" w:history="1">
        <w:r w:rsidRPr="00CB54C2">
          <w:t>Creative Commons Attribution 3.0 Australia</w:t>
        </w:r>
      </w:hyperlink>
      <w:r w:rsidRPr="00CB54C2">
        <w:t xml:space="preserve"> licence, with the exception of the Commonwealth Coat of Arms, the Treasury logo, photographs, images, signatures and where otherwise stated. The full licence terms are available from </w:t>
      </w:r>
      <w:hyperlink r:id="rId16" w:history="1">
        <w:r w:rsidRPr="00CB54C2">
          <w:t>http://creativecommons.org/licenses/by/3.0/au/legalcode</w:t>
        </w:r>
      </w:hyperlink>
      <w:r w:rsidRPr="00CB54C2">
        <w:t>.</w:t>
      </w:r>
    </w:p>
    <w:p w14:paraId="26BCF3E5" w14:textId="77777777" w:rsidR="00645B20" w:rsidRPr="00CB54C2" w:rsidRDefault="00645B20" w:rsidP="00645B20">
      <w:pPr>
        <w:spacing w:after="120" w:line="240" w:lineRule="auto"/>
      </w:pPr>
      <w:r w:rsidRPr="00CB54C2">
        <w:rPr>
          <w:noProof/>
        </w:rPr>
        <w:drawing>
          <wp:inline distT="0" distB="0" distL="0" distR="0" wp14:anchorId="45E74C51" wp14:editId="5567955E">
            <wp:extent cx="810895" cy="286385"/>
            <wp:effectExtent l="0" t="0" r="8255" b="0"/>
            <wp:docPr id="36" name="Picture 36"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286385"/>
                    </a:xfrm>
                    <a:prstGeom prst="rect">
                      <a:avLst/>
                    </a:prstGeom>
                    <a:noFill/>
                    <a:ln>
                      <a:noFill/>
                    </a:ln>
                  </pic:spPr>
                </pic:pic>
              </a:graphicData>
            </a:graphic>
          </wp:inline>
        </w:drawing>
      </w:r>
    </w:p>
    <w:p w14:paraId="39E56A2A" w14:textId="77777777" w:rsidR="00645B20" w:rsidRPr="00CB54C2" w:rsidRDefault="00645B20" w:rsidP="00645B20">
      <w:pPr>
        <w:tabs>
          <w:tab w:val="left" w:pos="1650"/>
        </w:tabs>
        <w:spacing w:after="80"/>
      </w:pPr>
      <w:r w:rsidRPr="00CB54C2">
        <w:t>Use of Treasury material under a</w:t>
      </w:r>
      <w:r w:rsidRPr="00CB54C2">
        <w:rPr>
          <w:rFonts w:cs="Calibri"/>
          <w:sz w:val="24"/>
          <w:szCs w:val="24"/>
        </w:rPr>
        <w:t xml:space="preserve"> </w:t>
      </w:r>
      <w:hyperlink r:id="rId18" w:history="1">
        <w:r w:rsidRPr="00CB54C2">
          <w:t>Creative Commons Attribution 3.0 Australia</w:t>
        </w:r>
      </w:hyperlink>
      <w:r w:rsidRPr="00CB54C2">
        <w:t xml:space="preserve"> licence requires you to attribute the work (but not in any way that suggests that the Treasury endorses you or your use of the work).</w:t>
      </w:r>
    </w:p>
    <w:p w14:paraId="31269C29" w14:textId="1BD4AE13" w:rsidR="00645B20" w:rsidRPr="00CB54C2" w:rsidRDefault="00645B20" w:rsidP="00645B20">
      <w:pPr>
        <w:tabs>
          <w:tab w:val="left" w:pos="4152"/>
        </w:tabs>
        <w:ind w:left="567"/>
        <w:rPr>
          <w:i/>
        </w:rPr>
      </w:pPr>
      <w:r w:rsidRPr="00CB54C2">
        <w:rPr>
          <w:i/>
        </w:rPr>
        <w:t xml:space="preserve">Treasury material used </w:t>
      </w:r>
      <w:r w:rsidR="00BD4D19">
        <w:rPr>
          <w:i/>
        </w:rPr>
        <w:t>‘</w:t>
      </w:r>
      <w:r w:rsidRPr="00CB54C2">
        <w:rPr>
          <w:i/>
        </w:rPr>
        <w:t>as supplied</w:t>
      </w:r>
      <w:r w:rsidR="00BD4D19">
        <w:rPr>
          <w:i/>
        </w:rPr>
        <w:t>’</w:t>
      </w:r>
      <w:r w:rsidRPr="00CB54C2">
        <w:rPr>
          <w:i/>
        </w:rPr>
        <w:t>.</w:t>
      </w:r>
    </w:p>
    <w:p w14:paraId="31418EA3" w14:textId="77777777" w:rsidR="00645B20" w:rsidRPr="00CB54C2" w:rsidRDefault="00645B20" w:rsidP="00645B20">
      <w:pPr>
        <w:spacing w:after="80"/>
      </w:pPr>
      <w:r w:rsidRPr="00CB54C2">
        <w:t>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w:t>
      </w:r>
    </w:p>
    <w:p w14:paraId="3B09D077" w14:textId="77777777" w:rsidR="00645B20" w:rsidRPr="00CB54C2" w:rsidRDefault="00645B20" w:rsidP="00645B20">
      <w:pPr>
        <w:ind w:left="567"/>
      </w:pPr>
      <w:r w:rsidRPr="00CB54C2">
        <w:rPr>
          <w:i/>
        </w:rPr>
        <w:t>Source</w:t>
      </w:r>
      <w:r w:rsidRPr="00CB54C2">
        <w:t xml:space="preserve">: </w:t>
      </w:r>
      <w:r w:rsidRPr="00CB54C2">
        <w:rPr>
          <w:i/>
        </w:rPr>
        <w:t>The Treasury.</w:t>
      </w:r>
    </w:p>
    <w:p w14:paraId="028F497D" w14:textId="77777777" w:rsidR="00645B20" w:rsidRPr="00CB54C2" w:rsidRDefault="00645B20" w:rsidP="00645B20">
      <w:pPr>
        <w:spacing w:after="40"/>
        <w:rPr>
          <w:b/>
        </w:rPr>
      </w:pPr>
      <w:r w:rsidRPr="00CB54C2">
        <w:rPr>
          <w:b/>
        </w:rPr>
        <w:t>Derivative material</w:t>
      </w:r>
    </w:p>
    <w:p w14:paraId="4E02F53C" w14:textId="77777777" w:rsidR="00645B20" w:rsidRPr="00CB54C2" w:rsidRDefault="00645B20" w:rsidP="00645B20">
      <w:pPr>
        <w:spacing w:after="120"/>
      </w:pPr>
      <w:r w:rsidRPr="00CB54C2">
        <w:t>If you have modified or transformed Treasury material, or derived new material from those of the Treasury in any way, then Treasury prefers the following attribution:</w:t>
      </w:r>
    </w:p>
    <w:p w14:paraId="6286DACF" w14:textId="77777777" w:rsidR="00645B20" w:rsidRPr="00CB54C2" w:rsidRDefault="00645B20" w:rsidP="00645B20">
      <w:pPr>
        <w:tabs>
          <w:tab w:val="left" w:pos="4152"/>
        </w:tabs>
        <w:ind w:left="567"/>
        <w:rPr>
          <w:i/>
        </w:rPr>
      </w:pPr>
      <w:r w:rsidRPr="00CB54C2">
        <w:rPr>
          <w:i/>
        </w:rPr>
        <w:t>Based on The Australian Government the Treasury</w:t>
      </w:r>
    </w:p>
    <w:p w14:paraId="6A852A23" w14:textId="77777777" w:rsidR="00645B20" w:rsidRPr="00CB54C2" w:rsidRDefault="00645B20" w:rsidP="00645B20">
      <w:pPr>
        <w:spacing w:after="40"/>
        <w:rPr>
          <w:b/>
        </w:rPr>
      </w:pPr>
      <w:r w:rsidRPr="00CB54C2">
        <w:rPr>
          <w:b/>
        </w:rPr>
        <w:t>Use of the Coat of Arms</w:t>
      </w:r>
    </w:p>
    <w:p w14:paraId="11AE72FC" w14:textId="35264405" w:rsidR="00645B20" w:rsidRPr="006627B4" w:rsidRDefault="00645B20" w:rsidP="00873AA9">
      <w:pPr>
        <w:jc w:val="left"/>
      </w:pPr>
      <w:r>
        <w:t xml:space="preserve">The terms under which the Coat of Arms can be used are set out on the Department of the Prime Minister and Cabinet website (see </w:t>
      </w:r>
      <w:hyperlink r:id="rId19" w:history="1">
        <w:r w:rsidRPr="00A42FAB">
          <w:t>www.pmc.gov.au/government/commonwealth</w:t>
        </w:r>
        <w:r w:rsidR="00BD4D19">
          <w:noBreakHyphen/>
        </w:r>
        <w:r w:rsidRPr="00A42FAB">
          <w:t>coat</w:t>
        </w:r>
        <w:r w:rsidR="00BD4D19">
          <w:noBreakHyphen/>
        </w:r>
        <w:r w:rsidRPr="00A42FAB">
          <w:t>arms</w:t>
        </w:r>
      </w:hyperlink>
      <w:r>
        <w:t>).</w:t>
      </w:r>
    </w:p>
    <w:p w14:paraId="6C7DE118" w14:textId="77777777" w:rsidR="00645B20" w:rsidRPr="00CB54C2" w:rsidRDefault="00645B20" w:rsidP="00645B20">
      <w:pPr>
        <w:spacing w:after="40"/>
        <w:rPr>
          <w:b/>
        </w:rPr>
      </w:pPr>
      <w:r w:rsidRPr="00CB54C2">
        <w:rPr>
          <w:b/>
        </w:rPr>
        <w:t>Other uses</w:t>
      </w:r>
    </w:p>
    <w:p w14:paraId="343154B9" w14:textId="77777777" w:rsidR="00645B20" w:rsidRPr="00CB54C2" w:rsidRDefault="00645B20" w:rsidP="00645B20">
      <w:pPr>
        <w:spacing w:after="100"/>
      </w:pPr>
      <w:r w:rsidRPr="00CB54C2">
        <w:t>Inquiries regarding this licence and any other use of this document are welcome at:</w:t>
      </w:r>
    </w:p>
    <w:p w14:paraId="638C128C" w14:textId="77777777" w:rsidR="00645B20" w:rsidRPr="00CB54C2" w:rsidRDefault="00645B20" w:rsidP="00645B20">
      <w:pPr>
        <w:ind w:left="720"/>
        <w:jc w:val="left"/>
      </w:pPr>
      <w:r w:rsidRPr="00CB54C2">
        <w:t>Manager</w:t>
      </w:r>
      <w:r w:rsidRPr="00CB54C2">
        <w:br/>
        <w:t xml:space="preserve">Communications </w:t>
      </w:r>
      <w:r w:rsidRPr="00CB54C2">
        <w:br/>
        <w:t>The Treasury</w:t>
      </w:r>
      <w:r w:rsidRPr="00CB54C2">
        <w:br/>
        <w:t xml:space="preserve">Langton Crescent </w:t>
      </w:r>
      <w:r w:rsidRPr="00CB54C2">
        <w:br/>
        <w:t>Parkes ACT 2600</w:t>
      </w:r>
      <w:r w:rsidRPr="00CB54C2">
        <w:br/>
        <w:t xml:space="preserve">Email: </w:t>
      </w:r>
      <w:hyperlink r:id="rId20" w:history="1">
        <w:r w:rsidRPr="00A42FAB">
          <w:rPr>
            <w:rStyle w:val="Hyperlink"/>
            <w:color w:val="auto"/>
          </w:rPr>
          <w:t>media@treasury.gov.au</w:t>
        </w:r>
      </w:hyperlink>
    </w:p>
    <w:p w14:paraId="7D31C70E" w14:textId="77777777" w:rsidR="00757660" w:rsidRPr="00A42FAB" w:rsidRDefault="00645B20" w:rsidP="00757660">
      <w:pPr>
        <w:spacing w:after="0"/>
        <w:rPr>
          <w:color w:val="auto"/>
        </w:rPr>
        <w:sectPr w:rsidR="00757660" w:rsidRPr="00A42FAB" w:rsidSect="00497197">
          <w:headerReference w:type="even" r:id="rId21"/>
          <w:headerReference w:type="default" r:id="rId22"/>
          <w:footerReference w:type="even" r:id="rId23"/>
          <w:footerReference w:type="default" r:id="rId24"/>
          <w:headerReference w:type="first" r:id="rId25"/>
          <w:footerReference w:type="first" r:id="rId26"/>
          <w:pgSz w:w="11907" w:h="16840" w:code="9"/>
          <w:pgMar w:top="2466" w:right="2098" w:bottom="2466" w:left="2098" w:header="1899" w:footer="1899" w:gutter="0"/>
          <w:pgNumType w:fmt="lowerRoman"/>
          <w:cols w:space="720"/>
          <w:titlePg/>
          <w:docGrid w:linePitch="360"/>
        </w:sectPr>
      </w:pPr>
      <w:r w:rsidRPr="00A42FAB">
        <w:rPr>
          <w:color w:val="auto"/>
        </w:rPr>
        <w:t xml:space="preserve">A copy of this document appears on the Foreign Investment Review Board website at </w:t>
      </w:r>
      <w:hyperlink r:id="rId27" w:history="1">
        <w:r w:rsidRPr="00A42FAB">
          <w:rPr>
            <w:rStyle w:val="Hyperlink"/>
            <w:color w:val="auto"/>
          </w:rPr>
          <w:t>www.firb.gov.au</w:t>
        </w:r>
      </w:hyperlink>
      <w:r w:rsidRPr="00A42FAB">
        <w:rPr>
          <w:color w:val="auto"/>
        </w:rPr>
        <w:t>.</w:t>
      </w:r>
    </w:p>
    <w:p w14:paraId="79AE5F31" w14:textId="5E7E29C8" w:rsidR="00A84283" w:rsidRPr="00A84283" w:rsidRDefault="00A47A23" w:rsidP="000814CB">
      <w:pPr>
        <w:jc w:val="right"/>
        <w:rPr>
          <w:b/>
          <w:color w:val="auto"/>
        </w:rPr>
      </w:pPr>
      <w:r>
        <w:lastRenderedPageBreak/>
        <w:t>21</w:t>
      </w:r>
      <w:r w:rsidR="00C7586A" w:rsidRPr="001D6B0F">
        <w:t xml:space="preserve"> </w:t>
      </w:r>
      <w:r>
        <w:t>June</w:t>
      </w:r>
      <w:r w:rsidR="00FB6BFE" w:rsidRPr="001D6B0F">
        <w:t xml:space="preserve"> </w:t>
      </w:r>
      <w:r w:rsidR="00D125F2" w:rsidRPr="001D6B0F">
        <w:t>202</w:t>
      </w:r>
      <w:r w:rsidR="001E5DA1" w:rsidRPr="001D6B0F">
        <w:t>1</w:t>
      </w:r>
    </w:p>
    <w:p w14:paraId="3186C56D" w14:textId="77777777" w:rsidR="00A84283" w:rsidRPr="00A84283" w:rsidRDefault="00A84283" w:rsidP="000814CB">
      <w:pPr>
        <w:jc w:val="left"/>
      </w:pPr>
      <w:r w:rsidRPr="00A84283">
        <w:t>The Hon Josh Frydenberg MP</w:t>
      </w:r>
      <w:r w:rsidR="00B95941">
        <w:br/>
      </w:r>
      <w:r w:rsidRPr="00A84283">
        <w:t>Treasurer</w:t>
      </w:r>
      <w:r w:rsidR="00B95941">
        <w:br/>
      </w:r>
      <w:r w:rsidRPr="00A84283">
        <w:t>Parliament House</w:t>
      </w:r>
      <w:r w:rsidR="00B95941">
        <w:br/>
      </w:r>
      <w:r w:rsidRPr="00A84283">
        <w:t xml:space="preserve">CANBERRA </w:t>
      </w:r>
      <w:r w:rsidR="000A20BC">
        <w:t xml:space="preserve"> </w:t>
      </w:r>
      <w:r w:rsidRPr="00A84283">
        <w:t>ACT</w:t>
      </w:r>
      <w:r w:rsidR="000A20BC">
        <w:t xml:space="preserve"> </w:t>
      </w:r>
      <w:r w:rsidRPr="00A84283">
        <w:t xml:space="preserve"> 2600</w:t>
      </w:r>
    </w:p>
    <w:p w14:paraId="1A50AC5C" w14:textId="77777777" w:rsidR="00A84283" w:rsidRPr="00A84283" w:rsidRDefault="00A84283" w:rsidP="002E2EFE">
      <w:r w:rsidRPr="00A84283">
        <w:t>Dear Treasurer</w:t>
      </w:r>
      <w:r w:rsidR="00011127">
        <w:t xml:space="preserve"> </w:t>
      </w:r>
    </w:p>
    <w:p w14:paraId="23F0FD05" w14:textId="5A239FBC" w:rsidR="00763C0E" w:rsidRPr="00C36EB8" w:rsidRDefault="00763C0E" w:rsidP="00763C0E">
      <w:pPr>
        <w:rPr>
          <w:rFonts w:cstheme="minorHAnsi"/>
        </w:rPr>
      </w:pPr>
      <w:r w:rsidRPr="00C36EB8">
        <w:rPr>
          <w:rFonts w:cstheme="minorHAnsi"/>
        </w:rPr>
        <w:t xml:space="preserve">It is my pleasure to present to you the </w:t>
      </w:r>
      <w:r>
        <w:rPr>
          <w:rFonts w:cstheme="minorHAnsi"/>
        </w:rPr>
        <w:t>A</w:t>
      </w:r>
      <w:r w:rsidRPr="00C36EB8">
        <w:rPr>
          <w:rFonts w:cstheme="minorHAnsi"/>
        </w:rPr>
        <w:t xml:space="preserve">nnual </w:t>
      </w:r>
      <w:r>
        <w:rPr>
          <w:rFonts w:cstheme="minorHAnsi"/>
        </w:rPr>
        <w:t>R</w:t>
      </w:r>
      <w:r w:rsidRPr="00C36EB8">
        <w:rPr>
          <w:rFonts w:cstheme="minorHAnsi"/>
        </w:rPr>
        <w:t>eport of the Foreign Investment Review Board (the Board) for the year ending 30 June 2020. The report has been prepared in accordance with the Board</w:t>
      </w:r>
      <w:r w:rsidR="00BD4D19">
        <w:rPr>
          <w:rFonts w:cstheme="minorHAnsi"/>
        </w:rPr>
        <w:t>’</w:t>
      </w:r>
      <w:r w:rsidRPr="00C36EB8">
        <w:rPr>
          <w:rFonts w:cstheme="minorHAnsi"/>
        </w:rPr>
        <w:t>s responsibilities to advise the Government on foreign investment</w:t>
      </w:r>
      <w:r w:rsidR="00605A9B">
        <w:rPr>
          <w:rFonts w:cstheme="minorHAnsi"/>
        </w:rPr>
        <w:t xml:space="preserve"> </w:t>
      </w:r>
      <w:r w:rsidRPr="00C36EB8">
        <w:rPr>
          <w:rFonts w:cstheme="minorHAnsi"/>
        </w:rPr>
        <w:t>matters.</w:t>
      </w:r>
      <w:r w:rsidR="00605A9B">
        <w:rPr>
          <w:rFonts w:cstheme="minorHAnsi"/>
        </w:rPr>
        <w:t xml:space="preserve"> As in previous years, the report reference</w:t>
      </w:r>
      <w:r w:rsidR="00BE182C">
        <w:rPr>
          <w:rFonts w:cstheme="minorHAnsi"/>
        </w:rPr>
        <w:t>s</w:t>
      </w:r>
      <w:r w:rsidR="00605A9B">
        <w:rPr>
          <w:rFonts w:cstheme="minorHAnsi"/>
        </w:rPr>
        <w:t xml:space="preserve"> </w:t>
      </w:r>
      <w:r w:rsidR="00BE182C">
        <w:rPr>
          <w:rFonts w:cstheme="minorHAnsi"/>
        </w:rPr>
        <w:t xml:space="preserve">developments in foreign investment </w:t>
      </w:r>
      <w:r w:rsidR="00E85B5E">
        <w:rPr>
          <w:rFonts w:cstheme="minorHAnsi"/>
        </w:rPr>
        <w:t xml:space="preserve">and its related </w:t>
      </w:r>
      <w:r w:rsidR="00BE182C">
        <w:rPr>
          <w:rFonts w:cstheme="minorHAnsi"/>
        </w:rPr>
        <w:t xml:space="preserve">policy </w:t>
      </w:r>
      <w:r w:rsidR="000F7583">
        <w:rPr>
          <w:rFonts w:cstheme="minorHAnsi"/>
        </w:rPr>
        <w:t xml:space="preserve">that occurred </w:t>
      </w:r>
      <w:r w:rsidR="00605A9B">
        <w:rPr>
          <w:rFonts w:cstheme="minorHAnsi"/>
        </w:rPr>
        <w:t>outside of the reporting period</w:t>
      </w:r>
      <w:r w:rsidR="005749A6">
        <w:rPr>
          <w:rFonts w:cstheme="minorHAnsi"/>
        </w:rPr>
        <w:t xml:space="preserve">, </w:t>
      </w:r>
      <w:r w:rsidR="00295F29">
        <w:rPr>
          <w:rFonts w:cstheme="minorHAnsi"/>
        </w:rPr>
        <w:t>includ</w:t>
      </w:r>
      <w:r w:rsidR="005749A6">
        <w:rPr>
          <w:rFonts w:cstheme="minorHAnsi"/>
        </w:rPr>
        <w:t>ing</w:t>
      </w:r>
      <w:r w:rsidR="00295F29">
        <w:rPr>
          <w:rFonts w:cstheme="minorHAnsi"/>
        </w:rPr>
        <w:t xml:space="preserve"> comment</w:t>
      </w:r>
      <w:r w:rsidR="005749A6">
        <w:rPr>
          <w:rFonts w:cstheme="minorHAnsi"/>
        </w:rPr>
        <w:t>ing</w:t>
      </w:r>
      <w:r w:rsidR="00295F29">
        <w:rPr>
          <w:rFonts w:cstheme="minorHAnsi"/>
        </w:rPr>
        <w:t xml:space="preserve"> on </w:t>
      </w:r>
      <w:r w:rsidR="00BE182C">
        <w:rPr>
          <w:rFonts w:cstheme="minorHAnsi"/>
        </w:rPr>
        <w:t>policy reforms</w:t>
      </w:r>
      <w:r w:rsidR="000F7583">
        <w:rPr>
          <w:rFonts w:cstheme="minorHAnsi"/>
        </w:rPr>
        <w:t xml:space="preserve"> </w:t>
      </w:r>
      <w:r w:rsidR="00295F29">
        <w:rPr>
          <w:rFonts w:cstheme="minorHAnsi"/>
        </w:rPr>
        <w:t>which</w:t>
      </w:r>
      <w:r w:rsidR="00BE182C">
        <w:rPr>
          <w:rFonts w:cstheme="minorHAnsi"/>
        </w:rPr>
        <w:t xml:space="preserve"> commenced</w:t>
      </w:r>
      <w:r w:rsidR="00295F29">
        <w:rPr>
          <w:rFonts w:cstheme="minorHAnsi"/>
        </w:rPr>
        <w:t xml:space="preserve"> on 1</w:t>
      </w:r>
      <w:r w:rsidR="009B664B">
        <w:rPr>
          <w:rFonts w:cstheme="minorHAnsi"/>
        </w:rPr>
        <w:t> </w:t>
      </w:r>
      <w:r w:rsidR="00295F29">
        <w:rPr>
          <w:rFonts w:cstheme="minorHAnsi"/>
        </w:rPr>
        <w:t>January</w:t>
      </w:r>
      <w:r w:rsidR="009B664B">
        <w:rPr>
          <w:rFonts w:cstheme="minorHAnsi"/>
        </w:rPr>
        <w:t> </w:t>
      </w:r>
      <w:r w:rsidR="00A068EE">
        <w:rPr>
          <w:rFonts w:cstheme="minorHAnsi"/>
        </w:rPr>
        <w:t>2021</w:t>
      </w:r>
      <w:r w:rsidR="0047708A">
        <w:rPr>
          <w:rFonts w:cstheme="minorHAnsi"/>
        </w:rPr>
        <w:t>.</w:t>
      </w:r>
      <w:r w:rsidR="0047708A" w:rsidDel="0047708A">
        <w:rPr>
          <w:rFonts w:cstheme="minorHAnsi"/>
        </w:rPr>
        <w:t xml:space="preserve"> </w:t>
      </w:r>
    </w:p>
    <w:p w14:paraId="6F277A1C" w14:textId="436EB2EE" w:rsidR="00255E3B" w:rsidRDefault="00763C0E" w:rsidP="00763C0E">
      <w:pPr>
        <w:rPr>
          <w:rFonts w:cstheme="minorHAnsi"/>
        </w:rPr>
      </w:pPr>
      <w:r w:rsidRPr="00C36EB8">
        <w:rPr>
          <w:rFonts w:cstheme="minorHAnsi"/>
        </w:rPr>
        <w:t>In 2019</w:t>
      </w:r>
      <w:r w:rsidR="000207A1">
        <w:rPr>
          <w:rFonts w:cstheme="minorHAnsi"/>
        </w:rPr>
        <w:t>–</w:t>
      </w:r>
      <w:r w:rsidRPr="00C36EB8">
        <w:rPr>
          <w:rFonts w:cstheme="minorHAnsi"/>
        </w:rPr>
        <w:t>20</w:t>
      </w:r>
      <w:r>
        <w:rPr>
          <w:rFonts w:cstheme="minorHAnsi"/>
        </w:rPr>
        <w:t>,</w:t>
      </w:r>
      <w:r w:rsidRPr="00C36EB8">
        <w:rPr>
          <w:rFonts w:cstheme="minorHAnsi"/>
        </w:rPr>
        <w:t xml:space="preserve"> there were significant policy developments in</w:t>
      </w:r>
      <w:r w:rsidR="00DE7F7E">
        <w:rPr>
          <w:rFonts w:cstheme="minorHAnsi"/>
        </w:rPr>
        <w:t xml:space="preserve"> the</w:t>
      </w:r>
      <w:r w:rsidRPr="00C36EB8">
        <w:rPr>
          <w:rFonts w:cstheme="minorHAnsi"/>
        </w:rPr>
        <w:t xml:space="preserve"> foreign investment</w:t>
      </w:r>
      <w:r w:rsidR="00DE7F7E">
        <w:rPr>
          <w:rFonts w:cstheme="minorHAnsi"/>
        </w:rPr>
        <w:t xml:space="preserve"> framework</w:t>
      </w:r>
      <w:r w:rsidR="004F7416">
        <w:rPr>
          <w:rFonts w:cstheme="minorHAnsi"/>
        </w:rPr>
        <w:t>, including</w:t>
      </w:r>
      <w:r w:rsidR="00DE7F7E">
        <w:rPr>
          <w:rFonts w:cstheme="minorHAnsi"/>
        </w:rPr>
        <w:t xml:space="preserve"> </w:t>
      </w:r>
      <w:r w:rsidR="00255E3B">
        <w:rPr>
          <w:rFonts w:cstheme="minorHAnsi"/>
        </w:rPr>
        <w:t xml:space="preserve">measures </w:t>
      </w:r>
      <w:r w:rsidR="00DE7F7E">
        <w:rPr>
          <w:rFonts w:cstheme="minorHAnsi"/>
        </w:rPr>
        <w:t xml:space="preserve">to </w:t>
      </w:r>
      <w:r w:rsidR="004F7416">
        <w:rPr>
          <w:rFonts w:cstheme="minorHAnsi"/>
        </w:rPr>
        <w:t>address</w:t>
      </w:r>
      <w:r w:rsidR="00DE7F7E">
        <w:rPr>
          <w:rFonts w:cstheme="minorHAnsi"/>
        </w:rPr>
        <w:t xml:space="preserve"> the unique and unparalleled circumstances </w:t>
      </w:r>
      <w:r w:rsidR="00255E3B">
        <w:rPr>
          <w:rFonts w:cstheme="minorHAnsi"/>
        </w:rPr>
        <w:t>unfolding during</w:t>
      </w:r>
      <w:r w:rsidR="00DE7F7E">
        <w:rPr>
          <w:rFonts w:cstheme="minorHAnsi"/>
        </w:rPr>
        <w:t xml:space="preserve"> the global COVID</w:t>
      </w:r>
      <w:r w:rsidR="00BD4D19">
        <w:rPr>
          <w:rFonts w:cstheme="minorHAnsi"/>
        </w:rPr>
        <w:noBreakHyphen/>
      </w:r>
      <w:r w:rsidR="00DE7F7E">
        <w:rPr>
          <w:rFonts w:cstheme="minorHAnsi"/>
        </w:rPr>
        <w:t>19 pandemic</w:t>
      </w:r>
      <w:r w:rsidR="004F7416">
        <w:rPr>
          <w:rFonts w:cstheme="minorHAnsi"/>
        </w:rPr>
        <w:t xml:space="preserve">, </w:t>
      </w:r>
      <w:r w:rsidR="00255E3B">
        <w:rPr>
          <w:rFonts w:cstheme="minorHAnsi"/>
        </w:rPr>
        <w:t>and</w:t>
      </w:r>
      <w:r w:rsidR="004F7416">
        <w:rPr>
          <w:rFonts w:cstheme="minorHAnsi"/>
        </w:rPr>
        <w:t xml:space="preserve"> reforms to </w:t>
      </w:r>
      <w:r w:rsidR="00255E3B">
        <w:rPr>
          <w:rFonts w:cstheme="minorHAnsi"/>
        </w:rPr>
        <w:t xml:space="preserve">respond to particular risks and </w:t>
      </w:r>
      <w:r w:rsidR="004F7416">
        <w:rPr>
          <w:rFonts w:cstheme="minorHAnsi"/>
        </w:rPr>
        <w:t>enhance Australia</w:t>
      </w:r>
      <w:r w:rsidR="00BD4D19">
        <w:rPr>
          <w:rFonts w:cstheme="minorHAnsi"/>
        </w:rPr>
        <w:t>’</w:t>
      </w:r>
      <w:r w:rsidR="004F7416">
        <w:rPr>
          <w:rFonts w:cstheme="minorHAnsi"/>
        </w:rPr>
        <w:t>s administration of the framework</w:t>
      </w:r>
      <w:r w:rsidRPr="00C36EB8">
        <w:rPr>
          <w:rFonts w:cstheme="minorHAnsi"/>
        </w:rPr>
        <w:t>.</w:t>
      </w:r>
      <w:r>
        <w:rPr>
          <w:rFonts w:cstheme="minorHAnsi"/>
        </w:rPr>
        <w:t xml:space="preserve"> </w:t>
      </w:r>
    </w:p>
    <w:p w14:paraId="58848772" w14:textId="258B91CD" w:rsidR="00FA53D6" w:rsidRDefault="00FA53D6" w:rsidP="00763C0E">
      <w:pPr>
        <w:rPr>
          <w:rFonts w:cstheme="minorHAnsi"/>
          <w:color w:val="212529"/>
          <w:lang w:val="en"/>
        </w:rPr>
      </w:pPr>
      <w:r>
        <w:rPr>
          <w:rFonts w:cstheme="minorHAnsi"/>
        </w:rPr>
        <w:t xml:space="preserve">As with all </w:t>
      </w:r>
      <w:r w:rsidR="00E85B5E">
        <w:rPr>
          <w:rFonts w:cstheme="minorHAnsi"/>
        </w:rPr>
        <w:t>sectors</w:t>
      </w:r>
      <w:r>
        <w:rPr>
          <w:rFonts w:cstheme="minorHAnsi"/>
        </w:rPr>
        <w:t xml:space="preserve"> in Australia, </w:t>
      </w:r>
      <w:r w:rsidR="0068770D">
        <w:rPr>
          <w:rFonts w:cstheme="minorHAnsi"/>
        </w:rPr>
        <w:t xml:space="preserve">the </w:t>
      </w:r>
      <w:r w:rsidR="00295F29" w:rsidRPr="00803924">
        <w:t>COVID</w:t>
      </w:r>
      <w:r w:rsidR="00BD4D19">
        <w:noBreakHyphen/>
      </w:r>
      <w:r w:rsidR="00295F29" w:rsidRPr="00803924">
        <w:t>19</w:t>
      </w:r>
      <w:r w:rsidR="000F7583">
        <w:rPr>
          <w:rFonts w:cstheme="minorHAnsi"/>
          <w:color w:val="212529"/>
          <w:lang w:val="en"/>
        </w:rPr>
        <w:t xml:space="preserve"> </w:t>
      </w:r>
      <w:r w:rsidR="0068770D">
        <w:rPr>
          <w:rFonts w:cstheme="minorHAnsi"/>
          <w:color w:val="212529"/>
          <w:lang w:val="en"/>
        </w:rPr>
        <w:t>p</w:t>
      </w:r>
      <w:r w:rsidR="00F9690E">
        <w:rPr>
          <w:rFonts w:cstheme="minorHAnsi"/>
          <w:color w:val="212529"/>
          <w:lang w:val="en"/>
        </w:rPr>
        <w:t>a</w:t>
      </w:r>
      <w:r w:rsidR="0068770D">
        <w:rPr>
          <w:rFonts w:cstheme="minorHAnsi"/>
          <w:color w:val="212529"/>
          <w:lang w:val="en"/>
        </w:rPr>
        <w:t xml:space="preserve">ndemic </w:t>
      </w:r>
      <w:r>
        <w:rPr>
          <w:rFonts w:cstheme="minorHAnsi"/>
          <w:color w:val="212529"/>
          <w:lang w:val="en"/>
        </w:rPr>
        <w:t>ha</w:t>
      </w:r>
      <w:r w:rsidR="00F97BC3">
        <w:rPr>
          <w:rFonts w:cstheme="minorHAnsi"/>
          <w:color w:val="212529"/>
          <w:lang w:val="en"/>
        </w:rPr>
        <w:t>d</w:t>
      </w:r>
      <w:r w:rsidR="00362228">
        <w:rPr>
          <w:rFonts w:cstheme="minorHAnsi"/>
          <w:color w:val="212529"/>
          <w:lang w:val="en"/>
        </w:rPr>
        <w:t xml:space="preserve"> </w:t>
      </w:r>
      <w:r>
        <w:rPr>
          <w:rFonts w:cstheme="minorHAnsi"/>
          <w:color w:val="212529"/>
          <w:lang w:val="en"/>
        </w:rPr>
        <w:t xml:space="preserve">significant implications on the operations of the Board, </w:t>
      </w:r>
      <w:r w:rsidR="0047708A">
        <w:rPr>
          <w:rFonts w:cstheme="minorHAnsi"/>
          <w:color w:val="212529"/>
          <w:lang w:val="en"/>
        </w:rPr>
        <w:t xml:space="preserve">as well as the </w:t>
      </w:r>
      <w:r>
        <w:rPr>
          <w:rFonts w:cstheme="minorHAnsi"/>
          <w:color w:val="212529"/>
          <w:lang w:val="en"/>
        </w:rPr>
        <w:t xml:space="preserve">departments and agencies involved in the </w:t>
      </w:r>
      <w:r w:rsidR="00911613">
        <w:rPr>
          <w:rFonts w:cstheme="minorHAnsi"/>
          <w:color w:val="212529"/>
          <w:lang w:val="en"/>
        </w:rPr>
        <w:t xml:space="preserve">administration of the </w:t>
      </w:r>
      <w:r w:rsidR="00911613" w:rsidRPr="00911613">
        <w:rPr>
          <w:rFonts w:cstheme="minorHAnsi"/>
          <w:i/>
          <w:color w:val="212529"/>
          <w:lang w:val="en"/>
        </w:rPr>
        <w:t>Foreign Acquisitions and Takeovers Act</w:t>
      </w:r>
      <w:r w:rsidR="00CC49DA">
        <w:rPr>
          <w:rFonts w:cstheme="minorHAnsi"/>
          <w:i/>
          <w:color w:val="212529"/>
          <w:lang w:val="en"/>
        </w:rPr>
        <w:t> </w:t>
      </w:r>
      <w:r w:rsidR="00911613" w:rsidRPr="00911613">
        <w:rPr>
          <w:rFonts w:cstheme="minorHAnsi"/>
          <w:i/>
          <w:color w:val="212529"/>
          <w:lang w:val="en"/>
        </w:rPr>
        <w:t>1975</w:t>
      </w:r>
      <w:r w:rsidR="009B664B">
        <w:rPr>
          <w:rFonts w:cstheme="minorHAnsi"/>
          <w:color w:val="212529"/>
          <w:lang w:val="en"/>
        </w:rPr>
        <w:t> </w:t>
      </w:r>
      <w:r w:rsidR="00911613">
        <w:rPr>
          <w:rFonts w:cstheme="minorHAnsi"/>
          <w:color w:val="212529"/>
          <w:lang w:val="en"/>
        </w:rPr>
        <w:t>(the Act)</w:t>
      </w:r>
      <w:r>
        <w:rPr>
          <w:rFonts w:cstheme="minorHAnsi"/>
          <w:color w:val="212529"/>
          <w:lang w:val="en"/>
        </w:rPr>
        <w:t>.</w:t>
      </w:r>
    </w:p>
    <w:p w14:paraId="6F4D033E" w14:textId="28567523" w:rsidR="00E86C71" w:rsidRDefault="00E86C71" w:rsidP="00763C0E">
      <w:pPr>
        <w:rPr>
          <w:rFonts w:cstheme="minorHAnsi"/>
        </w:rPr>
      </w:pPr>
      <w:r>
        <w:rPr>
          <w:rFonts w:cstheme="minorHAnsi"/>
        </w:rPr>
        <w:t>The</w:t>
      </w:r>
      <w:r w:rsidR="0014522B">
        <w:rPr>
          <w:rFonts w:cstheme="minorHAnsi"/>
        </w:rPr>
        <w:t xml:space="preserve"> Board worked with applicants and business </w:t>
      </w:r>
      <w:r w:rsidR="00DE7F7E">
        <w:rPr>
          <w:rFonts w:cstheme="minorHAnsi"/>
        </w:rPr>
        <w:t xml:space="preserve">to </w:t>
      </w:r>
      <w:r w:rsidR="00515707">
        <w:rPr>
          <w:rFonts w:cstheme="minorHAnsi"/>
        </w:rPr>
        <w:t xml:space="preserve">navigate the impacts of the </w:t>
      </w:r>
      <w:r w:rsidR="00B541DD">
        <w:rPr>
          <w:rFonts w:cstheme="minorHAnsi"/>
        </w:rPr>
        <w:t xml:space="preserve">shock </w:t>
      </w:r>
      <w:r w:rsidR="00515707">
        <w:rPr>
          <w:rFonts w:cstheme="minorHAnsi"/>
        </w:rPr>
        <w:t>to Australia</w:t>
      </w:r>
      <w:r w:rsidR="00BD4D19">
        <w:rPr>
          <w:rFonts w:cstheme="minorHAnsi"/>
        </w:rPr>
        <w:t>’</w:t>
      </w:r>
      <w:r w:rsidR="00515707">
        <w:rPr>
          <w:rFonts w:cstheme="minorHAnsi"/>
        </w:rPr>
        <w:t>s foreign investment system</w:t>
      </w:r>
      <w:r w:rsidR="000A05A7">
        <w:rPr>
          <w:rFonts w:cstheme="minorHAnsi"/>
        </w:rPr>
        <w:t xml:space="preserve">. Challenges, including </w:t>
      </w:r>
      <w:r w:rsidR="00DE7F7E">
        <w:rPr>
          <w:rFonts w:cstheme="minorHAnsi"/>
        </w:rPr>
        <w:t xml:space="preserve">a transition to </w:t>
      </w:r>
      <w:r w:rsidR="000A05A7">
        <w:rPr>
          <w:rFonts w:cstheme="minorHAnsi"/>
        </w:rPr>
        <w:t xml:space="preserve">working remotely, presented the Board with opportunities to </w:t>
      </w:r>
      <w:r w:rsidR="00DE7F7E">
        <w:rPr>
          <w:rFonts w:cstheme="minorHAnsi"/>
        </w:rPr>
        <w:t>operate in an agile way with foreign investment applicants and their representatives</w:t>
      </w:r>
      <w:r w:rsidR="000A05A7">
        <w:rPr>
          <w:rFonts w:cstheme="minorHAnsi"/>
        </w:rPr>
        <w:t>.</w:t>
      </w:r>
    </w:p>
    <w:p w14:paraId="788251C3" w14:textId="6AE3D5A1" w:rsidR="00911613" w:rsidRPr="00C36EB8" w:rsidRDefault="00911613" w:rsidP="00911613">
      <w:pPr>
        <w:rPr>
          <w:rFonts w:cstheme="minorHAnsi"/>
          <w:lang w:val="en"/>
        </w:rPr>
      </w:pPr>
      <w:r w:rsidRPr="00C36EB8">
        <w:rPr>
          <w:rFonts w:cstheme="minorHAnsi"/>
          <w:lang w:val="en"/>
        </w:rPr>
        <w:t xml:space="preserve">The Board, </w:t>
      </w:r>
      <w:r>
        <w:rPr>
          <w:rFonts w:cstheme="minorHAnsi"/>
          <w:lang w:val="en"/>
        </w:rPr>
        <w:t>Department of the Treasury (</w:t>
      </w:r>
      <w:r w:rsidRPr="00C36EB8">
        <w:rPr>
          <w:rFonts w:cstheme="minorHAnsi"/>
          <w:lang w:val="en"/>
        </w:rPr>
        <w:t>Treasury</w:t>
      </w:r>
      <w:r>
        <w:rPr>
          <w:rFonts w:cstheme="minorHAnsi"/>
          <w:lang w:val="en"/>
        </w:rPr>
        <w:t>)</w:t>
      </w:r>
      <w:r w:rsidRPr="00C36EB8">
        <w:rPr>
          <w:rFonts w:cstheme="minorHAnsi"/>
          <w:lang w:val="en"/>
        </w:rPr>
        <w:t xml:space="preserve"> and </w:t>
      </w:r>
      <w:r>
        <w:rPr>
          <w:rFonts w:cstheme="minorHAnsi"/>
          <w:lang w:val="en"/>
        </w:rPr>
        <w:t>Australian Taxation Office (</w:t>
      </w:r>
      <w:r w:rsidRPr="00C36EB8">
        <w:rPr>
          <w:rFonts w:cstheme="minorHAnsi"/>
          <w:lang w:val="en"/>
        </w:rPr>
        <w:t>ATO</w:t>
      </w:r>
      <w:r>
        <w:rPr>
          <w:rFonts w:cstheme="minorHAnsi"/>
          <w:lang w:val="en"/>
        </w:rPr>
        <w:t>)</w:t>
      </w:r>
      <w:r w:rsidRPr="00C36EB8">
        <w:rPr>
          <w:rFonts w:cstheme="minorHAnsi"/>
          <w:lang w:val="en"/>
        </w:rPr>
        <w:t>, like others, quickly transitioned to working remotely, testing the</w:t>
      </w:r>
      <w:r>
        <w:rPr>
          <w:rFonts w:cstheme="minorHAnsi"/>
          <w:lang w:val="en"/>
        </w:rPr>
        <w:t>ir</w:t>
      </w:r>
      <w:r w:rsidRPr="00C36EB8">
        <w:rPr>
          <w:rFonts w:cstheme="minorHAnsi"/>
          <w:lang w:val="en"/>
        </w:rPr>
        <w:t xml:space="preserve"> business continuity procedures and ensuring that the administration of the foreign investment framework remained effective</w:t>
      </w:r>
      <w:r>
        <w:rPr>
          <w:rFonts w:cstheme="minorHAnsi"/>
          <w:lang w:val="en"/>
        </w:rPr>
        <w:t xml:space="preserve"> within the rapidly evolving environment</w:t>
      </w:r>
      <w:r w:rsidRPr="00C36EB8">
        <w:rPr>
          <w:rFonts w:cstheme="minorHAnsi"/>
          <w:lang w:val="en"/>
        </w:rPr>
        <w:t>. The Board</w:t>
      </w:r>
      <w:r w:rsidR="00BD4D19">
        <w:rPr>
          <w:rFonts w:cstheme="minorHAnsi"/>
          <w:lang w:val="en"/>
        </w:rPr>
        <w:t>’</w:t>
      </w:r>
      <w:r w:rsidRPr="00C36EB8">
        <w:rPr>
          <w:rFonts w:cstheme="minorHAnsi"/>
          <w:lang w:val="en"/>
        </w:rPr>
        <w:t>s regular monthly meetings were held via video conferenc</w:t>
      </w:r>
      <w:r>
        <w:rPr>
          <w:rFonts w:cstheme="minorHAnsi"/>
          <w:lang w:val="en"/>
        </w:rPr>
        <w:t>e</w:t>
      </w:r>
      <w:r w:rsidRPr="00C36EB8">
        <w:rPr>
          <w:rFonts w:cstheme="minorHAnsi"/>
          <w:lang w:val="en"/>
        </w:rPr>
        <w:t xml:space="preserve"> and</w:t>
      </w:r>
      <w:r w:rsidR="009B664B">
        <w:rPr>
          <w:rFonts w:cstheme="minorHAnsi"/>
          <w:lang w:val="en"/>
        </w:rPr>
        <w:t>,</w:t>
      </w:r>
      <w:r w:rsidRPr="00C36EB8">
        <w:rPr>
          <w:rFonts w:cstheme="minorHAnsi"/>
          <w:lang w:val="en"/>
        </w:rPr>
        <w:t xml:space="preserve"> between March</w:t>
      </w:r>
      <w:r>
        <w:rPr>
          <w:rFonts w:cstheme="minorHAnsi"/>
          <w:lang w:val="en"/>
        </w:rPr>
        <w:t xml:space="preserve"> to Octo</w:t>
      </w:r>
      <w:r w:rsidRPr="00C36EB8">
        <w:rPr>
          <w:rFonts w:cstheme="minorHAnsi"/>
          <w:lang w:val="en"/>
        </w:rPr>
        <w:t>ber</w:t>
      </w:r>
      <w:r w:rsidR="00CA70E1">
        <w:rPr>
          <w:rFonts w:cstheme="minorHAnsi"/>
          <w:lang w:val="en"/>
        </w:rPr>
        <w:t> </w:t>
      </w:r>
      <w:r w:rsidRPr="00C36EB8">
        <w:rPr>
          <w:rFonts w:cstheme="minorHAnsi"/>
          <w:lang w:val="en"/>
        </w:rPr>
        <w:t>2020</w:t>
      </w:r>
      <w:r>
        <w:rPr>
          <w:rFonts w:cstheme="minorHAnsi"/>
          <w:lang w:val="en"/>
        </w:rPr>
        <w:t>,</w:t>
      </w:r>
      <w:r w:rsidRPr="00C36EB8">
        <w:rPr>
          <w:rFonts w:cstheme="minorHAnsi"/>
          <w:lang w:val="en"/>
        </w:rPr>
        <w:t xml:space="preserve"> the</w:t>
      </w:r>
      <w:r w:rsidR="004D4405">
        <w:rPr>
          <w:rFonts w:cstheme="minorHAnsi"/>
          <w:lang w:val="en"/>
        </w:rPr>
        <w:t xml:space="preserve"> Board did not meet in person.</w:t>
      </w:r>
    </w:p>
    <w:p w14:paraId="3A87A9F0" w14:textId="24D72017" w:rsidR="004D4405" w:rsidRDefault="004D4405" w:rsidP="00763C0E">
      <w:r>
        <w:t xml:space="preserve">The onset of the </w:t>
      </w:r>
      <w:r w:rsidRPr="0074386D">
        <w:t>COVID</w:t>
      </w:r>
      <w:r w:rsidR="00BD4D19">
        <w:noBreakHyphen/>
      </w:r>
      <w:r>
        <w:t>19 pandemic</w:t>
      </w:r>
      <w:r w:rsidRPr="0074386D">
        <w:t xml:space="preserve"> </w:t>
      </w:r>
      <w:r>
        <w:t xml:space="preserve">led to a rapid shift in how meetings were convened with stakeholders. Webinars, online forums and telephone conferences became the norm and provided platforms by which </w:t>
      </w:r>
      <w:r w:rsidRPr="0074386D">
        <w:t>to communicate with stakeholder</w:t>
      </w:r>
      <w:r>
        <w:t xml:space="preserve">s, ensuring that </w:t>
      </w:r>
      <w:r w:rsidRPr="0074386D">
        <w:t xml:space="preserve">communication lines </w:t>
      </w:r>
      <w:r>
        <w:t xml:space="preserve">remained </w:t>
      </w:r>
      <w:r w:rsidRPr="0074386D">
        <w:t>open, even when communities were in lock</w:t>
      </w:r>
      <w:r w:rsidR="00BD4D19">
        <w:noBreakHyphen/>
      </w:r>
      <w:r w:rsidRPr="0074386D">
        <w:t>down.</w:t>
      </w:r>
    </w:p>
    <w:p w14:paraId="018F3F06" w14:textId="4F657FCD" w:rsidR="00763C0E" w:rsidRPr="00C36EB8" w:rsidRDefault="00DA1019" w:rsidP="00763C0E">
      <w:pPr>
        <w:rPr>
          <w:rFonts w:cstheme="minorHAnsi"/>
          <w:color w:val="212529"/>
          <w:lang w:val="en"/>
        </w:rPr>
      </w:pPr>
      <w:r>
        <w:rPr>
          <w:rFonts w:cstheme="minorHAnsi"/>
        </w:rPr>
        <w:t>In t</w:t>
      </w:r>
      <w:r w:rsidR="00763C0E" w:rsidRPr="00C36EB8">
        <w:rPr>
          <w:rFonts w:cstheme="minorHAnsi"/>
        </w:rPr>
        <w:t xml:space="preserve">he fourth quarter of </w:t>
      </w:r>
      <w:r w:rsidR="00763C0E">
        <w:rPr>
          <w:rFonts w:cstheme="minorHAnsi"/>
        </w:rPr>
        <w:t xml:space="preserve">the year, </w:t>
      </w:r>
      <w:r w:rsidR="00763C0E" w:rsidRPr="00C36EB8">
        <w:rPr>
          <w:rFonts w:cstheme="minorHAnsi"/>
        </w:rPr>
        <w:t>the Board</w:t>
      </w:r>
      <w:r w:rsidR="00BD4D19">
        <w:rPr>
          <w:rFonts w:cstheme="minorHAnsi"/>
        </w:rPr>
        <w:t>’</w:t>
      </w:r>
      <w:r w:rsidR="00763C0E" w:rsidRPr="00C36EB8">
        <w:rPr>
          <w:rFonts w:cstheme="minorHAnsi"/>
        </w:rPr>
        <w:t xml:space="preserve">s operations </w:t>
      </w:r>
      <w:r w:rsidR="004D4405">
        <w:rPr>
          <w:rFonts w:cstheme="minorHAnsi"/>
        </w:rPr>
        <w:t>responded to the zero dollar threshold</w:t>
      </w:r>
      <w:r w:rsidR="00763C0E" w:rsidRPr="00C36EB8">
        <w:rPr>
          <w:rFonts w:cstheme="minorHAnsi"/>
        </w:rPr>
        <w:t xml:space="preserve"> announced by the </w:t>
      </w:r>
      <w:r w:rsidR="004D4405">
        <w:rPr>
          <w:rFonts w:cstheme="minorHAnsi"/>
        </w:rPr>
        <w:t>Government</w:t>
      </w:r>
      <w:r w:rsidR="00763C0E" w:rsidRPr="00C36EB8">
        <w:rPr>
          <w:rFonts w:cstheme="minorHAnsi"/>
        </w:rPr>
        <w:t xml:space="preserve"> on 29</w:t>
      </w:r>
      <w:r w:rsidR="00763C0E">
        <w:rPr>
          <w:rFonts w:cstheme="minorHAnsi"/>
        </w:rPr>
        <w:t> M</w:t>
      </w:r>
      <w:r w:rsidR="00763C0E" w:rsidRPr="00C36EB8">
        <w:rPr>
          <w:rFonts w:cstheme="minorHAnsi"/>
        </w:rPr>
        <w:t>arch</w:t>
      </w:r>
      <w:r w:rsidR="00800152">
        <w:rPr>
          <w:rFonts w:cstheme="minorHAnsi"/>
        </w:rPr>
        <w:t> </w:t>
      </w:r>
      <w:r w:rsidR="00763C0E" w:rsidRPr="00C36EB8">
        <w:rPr>
          <w:rFonts w:cstheme="minorHAnsi"/>
        </w:rPr>
        <w:t xml:space="preserve">2020. These </w:t>
      </w:r>
      <w:r w:rsidR="00763C0E">
        <w:rPr>
          <w:rFonts w:cstheme="minorHAnsi"/>
        </w:rPr>
        <w:t xml:space="preserve">changes </w:t>
      </w:r>
      <w:r w:rsidR="00763C0E" w:rsidRPr="00C36EB8">
        <w:rPr>
          <w:rFonts w:cstheme="minorHAnsi"/>
        </w:rPr>
        <w:t xml:space="preserve">were necessitated by the need to manage the potential disruption posed </w:t>
      </w:r>
      <w:r w:rsidR="00763C0E" w:rsidRPr="00C36EB8">
        <w:rPr>
          <w:rFonts w:cstheme="minorHAnsi"/>
          <w:color w:val="212529"/>
          <w:lang w:val="en"/>
        </w:rPr>
        <w:t xml:space="preserve">by </w:t>
      </w:r>
      <w:r w:rsidR="00FA53D6">
        <w:rPr>
          <w:rFonts w:cstheme="minorHAnsi"/>
          <w:color w:val="212529"/>
          <w:lang w:val="en"/>
        </w:rPr>
        <w:t xml:space="preserve">the </w:t>
      </w:r>
      <w:r w:rsidR="004D4405">
        <w:rPr>
          <w:rFonts w:cstheme="minorHAnsi"/>
          <w:color w:val="212529"/>
          <w:lang w:val="en"/>
        </w:rPr>
        <w:t>COVID</w:t>
      </w:r>
      <w:r w:rsidR="00BD4D19">
        <w:rPr>
          <w:rFonts w:cstheme="minorHAnsi"/>
          <w:color w:val="212529"/>
          <w:lang w:val="en"/>
        </w:rPr>
        <w:noBreakHyphen/>
      </w:r>
      <w:r w:rsidR="00763C0E">
        <w:rPr>
          <w:rFonts w:cstheme="minorHAnsi"/>
          <w:color w:val="212529"/>
          <w:lang w:val="en"/>
        </w:rPr>
        <w:t>19</w:t>
      </w:r>
      <w:r w:rsidR="00212D07">
        <w:rPr>
          <w:rFonts w:cstheme="minorHAnsi"/>
          <w:color w:val="212529"/>
          <w:lang w:val="en"/>
        </w:rPr>
        <w:t xml:space="preserve"> pandemic</w:t>
      </w:r>
      <w:r w:rsidR="000F7583">
        <w:rPr>
          <w:rFonts w:cstheme="minorHAnsi"/>
          <w:color w:val="212529"/>
          <w:lang w:val="en"/>
        </w:rPr>
        <w:t xml:space="preserve"> </w:t>
      </w:r>
      <w:r w:rsidR="00B3059A">
        <w:rPr>
          <w:rFonts w:cstheme="minorHAnsi"/>
          <w:color w:val="212529"/>
          <w:lang w:val="en"/>
        </w:rPr>
        <w:t>to protect Australia</w:t>
      </w:r>
      <w:r w:rsidR="00BD4D19">
        <w:rPr>
          <w:rFonts w:cstheme="minorHAnsi"/>
          <w:color w:val="212529"/>
          <w:lang w:val="en"/>
        </w:rPr>
        <w:t>’</w:t>
      </w:r>
      <w:r w:rsidR="00B3059A">
        <w:rPr>
          <w:rFonts w:cstheme="minorHAnsi"/>
          <w:color w:val="212529"/>
          <w:lang w:val="en"/>
        </w:rPr>
        <w:t>s national interest during a challenging time for the economy, business and broader community</w:t>
      </w:r>
      <w:r w:rsidR="00763C0E" w:rsidRPr="00C36EB8">
        <w:rPr>
          <w:rFonts w:cstheme="minorHAnsi"/>
          <w:color w:val="212529"/>
          <w:lang w:val="en"/>
        </w:rPr>
        <w:t xml:space="preserve">. </w:t>
      </w:r>
    </w:p>
    <w:p w14:paraId="6F716CB1" w14:textId="77777777" w:rsidR="00763C0E" w:rsidRDefault="00763C0E" w:rsidP="006225EA">
      <w:pPr>
        <w:rPr>
          <w:lang w:val="en"/>
        </w:rPr>
      </w:pPr>
      <w:r w:rsidRPr="00C36EB8">
        <w:rPr>
          <w:rFonts w:cstheme="minorHAnsi"/>
          <w:color w:val="212529"/>
          <w:lang w:val="en"/>
        </w:rPr>
        <w:t>At the time the</w:t>
      </w:r>
      <w:r w:rsidR="002407BC">
        <w:rPr>
          <w:rFonts w:cstheme="minorHAnsi"/>
          <w:color w:val="212529"/>
          <w:lang w:val="en"/>
        </w:rPr>
        <w:t xml:space="preserve"> </w:t>
      </w:r>
      <w:r w:rsidR="0047708A">
        <w:rPr>
          <w:rFonts w:cstheme="minorHAnsi"/>
        </w:rPr>
        <w:t>zero dollar threshold </w:t>
      </w:r>
      <w:r w:rsidR="002407BC">
        <w:rPr>
          <w:rFonts w:cstheme="minorHAnsi"/>
          <w:color w:val="212529"/>
          <w:lang w:val="en"/>
        </w:rPr>
        <w:t>was</w:t>
      </w:r>
      <w:r w:rsidRPr="00C36EB8">
        <w:rPr>
          <w:rFonts w:cstheme="minorHAnsi"/>
          <w:color w:val="212529"/>
          <w:lang w:val="en"/>
        </w:rPr>
        <w:t xml:space="preserve"> introduced</w:t>
      </w:r>
      <w:r>
        <w:rPr>
          <w:rFonts w:cstheme="minorHAnsi"/>
          <w:color w:val="212529"/>
          <w:lang w:val="en"/>
        </w:rPr>
        <w:t>,</w:t>
      </w:r>
      <w:r w:rsidRPr="00C36EB8">
        <w:rPr>
          <w:rFonts w:cstheme="minorHAnsi"/>
          <w:color w:val="212529"/>
          <w:lang w:val="en"/>
        </w:rPr>
        <w:t xml:space="preserve"> there were concerns about the pressures facing Australian businesses and </w:t>
      </w:r>
      <w:r>
        <w:rPr>
          <w:rFonts w:cstheme="minorHAnsi"/>
          <w:color w:val="212529"/>
          <w:lang w:val="en"/>
        </w:rPr>
        <w:t xml:space="preserve">the </w:t>
      </w:r>
      <w:r w:rsidRPr="00C36EB8">
        <w:rPr>
          <w:rFonts w:cstheme="minorHAnsi"/>
          <w:color w:val="212529"/>
          <w:lang w:val="en"/>
        </w:rPr>
        <w:t xml:space="preserve">potential </w:t>
      </w:r>
      <w:r>
        <w:rPr>
          <w:rFonts w:cstheme="minorHAnsi"/>
          <w:color w:val="212529"/>
          <w:lang w:val="en"/>
        </w:rPr>
        <w:t xml:space="preserve">for them </w:t>
      </w:r>
      <w:r w:rsidRPr="00C36EB8">
        <w:rPr>
          <w:rFonts w:cstheme="minorHAnsi"/>
          <w:color w:val="212529"/>
          <w:lang w:val="en"/>
        </w:rPr>
        <w:t xml:space="preserve">to be sold to foreign interests without any government oversight, presenting risks to the national interest. </w:t>
      </w:r>
    </w:p>
    <w:p w14:paraId="6D63C640" w14:textId="4C23FFD7" w:rsidR="00763C0E" w:rsidRPr="00C36EB8" w:rsidRDefault="00763C0E" w:rsidP="00763C0E">
      <w:pPr>
        <w:rPr>
          <w:rFonts w:cstheme="minorHAnsi"/>
          <w:color w:val="212529"/>
          <w:lang w:val="en"/>
        </w:rPr>
      </w:pPr>
      <w:r w:rsidRPr="00C36EB8">
        <w:rPr>
          <w:rFonts w:cstheme="minorHAnsi"/>
          <w:color w:val="212529"/>
          <w:lang w:val="en"/>
        </w:rPr>
        <w:t xml:space="preserve">Australia was not alone in implementing </w:t>
      </w:r>
      <w:r w:rsidR="004D4405">
        <w:rPr>
          <w:rFonts w:cstheme="minorHAnsi"/>
          <w:color w:val="212529"/>
          <w:lang w:val="en"/>
        </w:rPr>
        <w:t xml:space="preserve">such </w:t>
      </w:r>
      <w:r w:rsidRPr="00C36EB8">
        <w:rPr>
          <w:rFonts w:cstheme="minorHAnsi"/>
          <w:color w:val="212529"/>
          <w:lang w:val="en"/>
        </w:rPr>
        <w:t xml:space="preserve">measures </w:t>
      </w:r>
      <w:r>
        <w:rPr>
          <w:rFonts w:cstheme="minorHAnsi"/>
          <w:color w:val="212529"/>
          <w:lang w:val="en"/>
        </w:rPr>
        <w:t>at this time</w:t>
      </w:r>
      <w:r w:rsidR="004D4405">
        <w:rPr>
          <w:rFonts w:cstheme="minorHAnsi"/>
          <w:color w:val="212529"/>
          <w:lang w:val="en"/>
        </w:rPr>
        <w:t>. S</w:t>
      </w:r>
      <w:r>
        <w:rPr>
          <w:rFonts w:cstheme="minorHAnsi"/>
          <w:color w:val="212529"/>
          <w:lang w:val="en"/>
        </w:rPr>
        <w:t>teps were taken by governments around the world to enhance screening frameworks in response to the</w:t>
      </w:r>
      <w:r w:rsidR="0068770D">
        <w:rPr>
          <w:rFonts w:cstheme="minorHAnsi"/>
          <w:color w:val="212529"/>
          <w:lang w:val="en"/>
        </w:rPr>
        <w:t xml:space="preserve"> COVID</w:t>
      </w:r>
      <w:r w:rsidR="00BD4D19">
        <w:rPr>
          <w:rFonts w:cstheme="minorHAnsi"/>
          <w:color w:val="212529"/>
          <w:lang w:val="en"/>
        </w:rPr>
        <w:noBreakHyphen/>
      </w:r>
      <w:r w:rsidR="0068770D">
        <w:rPr>
          <w:rFonts w:cstheme="minorHAnsi"/>
          <w:color w:val="212529"/>
          <w:lang w:val="en"/>
        </w:rPr>
        <w:t>19</w:t>
      </w:r>
      <w:r>
        <w:rPr>
          <w:rFonts w:cstheme="minorHAnsi"/>
          <w:color w:val="212529"/>
          <w:lang w:val="en"/>
        </w:rPr>
        <w:t xml:space="preserve"> pandemic</w:t>
      </w:r>
      <w:r w:rsidRPr="00C36EB8">
        <w:rPr>
          <w:rFonts w:cstheme="minorHAnsi"/>
          <w:color w:val="212529"/>
          <w:lang w:val="en"/>
        </w:rPr>
        <w:t xml:space="preserve">. </w:t>
      </w:r>
    </w:p>
    <w:p w14:paraId="27B965AF" w14:textId="77777777" w:rsidR="00763C0E" w:rsidRPr="00EC7AC5" w:rsidRDefault="004E6ED4" w:rsidP="00763C0E">
      <w:pPr>
        <w:rPr>
          <w:rFonts w:cstheme="minorHAnsi"/>
          <w:color w:val="auto"/>
          <w:lang w:val="en"/>
        </w:rPr>
      </w:pPr>
      <w:proofErr w:type="spellStart"/>
      <w:r>
        <w:rPr>
          <w:rFonts w:cstheme="minorHAnsi"/>
          <w:lang w:val="en"/>
        </w:rPr>
        <w:t>Recognising</w:t>
      </w:r>
      <w:proofErr w:type="spellEnd"/>
      <w:r w:rsidR="00763C0E" w:rsidRPr="00C36EB8">
        <w:rPr>
          <w:rFonts w:cstheme="minorHAnsi"/>
          <w:lang w:val="en"/>
        </w:rPr>
        <w:t xml:space="preserve"> that </w:t>
      </w:r>
      <w:r w:rsidR="007960EC">
        <w:rPr>
          <w:rFonts w:cstheme="minorHAnsi"/>
          <w:lang w:val="en"/>
        </w:rPr>
        <w:t>reducing the</w:t>
      </w:r>
      <w:r w:rsidR="00763C0E" w:rsidRPr="00C36EB8">
        <w:rPr>
          <w:rFonts w:cstheme="minorHAnsi"/>
          <w:lang w:val="en"/>
        </w:rPr>
        <w:t xml:space="preserve"> established investment thresholds</w:t>
      </w:r>
      <w:r w:rsidR="00763C0E">
        <w:rPr>
          <w:rFonts w:cstheme="minorHAnsi"/>
          <w:lang w:val="en"/>
        </w:rPr>
        <w:t xml:space="preserve"> w</w:t>
      </w:r>
      <w:r>
        <w:rPr>
          <w:rFonts w:cstheme="minorHAnsi"/>
          <w:lang w:val="en"/>
        </w:rPr>
        <w:t xml:space="preserve">ould </w:t>
      </w:r>
      <w:r w:rsidR="00763C0E">
        <w:rPr>
          <w:rFonts w:cstheme="minorHAnsi"/>
          <w:lang w:val="en"/>
        </w:rPr>
        <w:t xml:space="preserve">likely have </w:t>
      </w:r>
      <w:r w:rsidR="00763C0E" w:rsidRPr="00C36EB8">
        <w:rPr>
          <w:rFonts w:cstheme="minorHAnsi"/>
          <w:lang w:val="en"/>
        </w:rPr>
        <w:t xml:space="preserve">an impact on the number and type of applications received, </w:t>
      </w:r>
      <w:r w:rsidR="006B0930">
        <w:rPr>
          <w:rFonts w:cstheme="minorHAnsi"/>
          <w:lang w:val="en"/>
        </w:rPr>
        <w:t>the Treasury</w:t>
      </w:r>
      <w:r w:rsidR="007E6807">
        <w:rPr>
          <w:rFonts w:cstheme="minorHAnsi"/>
          <w:lang w:val="en"/>
        </w:rPr>
        <w:t xml:space="preserve"> recruited additional staff,</w:t>
      </w:r>
      <w:r w:rsidR="00763C0E" w:rsidRPr="00C36EB8">
        <w:rPr>
          <w:rFonts w:cstheme="minorHAnsi"/>
          <w:lang w:val="en"/>
        </w:rPr>
        <w:t xml:space="preserve"> implemented a range of administrative measures</w:t>
      </w:r>
      <w:r w:rsidR="00763C0E">
        <w:rPr>
          <w:rFonts w:cstheme="minorHAnsi"/>
          <w:lang w:val="en"/>
        </w:rPr>
        <w:t xml:space="preserve"> and adapted its </w:t>
      </w:r>
      <w:r w:rsidR="00763C0E" w:rsidRPr="00C36EB8">
        <w:rPr>
          <w:rFonts w:cstheme="minorHAnsi"/>
          <w:lang w:val="en"/>
        </w:rPr>
        <w:t xml:space="preserve">business structures and processes. </w:t>
      </w:r>
      <w:r w:rsidR="00763C0E">
        <w:rPr>
          <w:rFonts w:cstheme="minorHAnsi"/>
          <w:lang w:val="en"/>
        </w:rPr>
        <w:t xml:space="preserve">It </w:t>
      </w:r>
      <w:r w:rsidR="00763C0E" w:rsidRPr="00C36EB8">
        <w:rPr>
          <w:rFonts w:cstheme="minorHAnsi"/>
          <w:lang w:val="en"/>
        </w:rPr>
        <w:t xml:space="preserve">introduced a triaging system to </w:t>
      </w:r>
      <w:proofErr w:type="spellStart"/>
      <w:r w:rsidR="00763C0E" w:rsidRPr="00C36EB8">
        <w:rPr>
          <w:rFonts w:cstheme="minorHAnsi"/>
          <w:lang w:val="en"/>
        </w:rPr>
        <w:t>prioritise</w:t>
      </w:r>
      <w:proofErr w:type="spellEnd"/>
      <w:r w:rsidR="00763C0E" w:rsidRPr="00C36EB8">
        <w:rPr>
          <w:rFonts w:cstheme="minorHAnsi"/>
          <w:lang w:val="en"/>
        </w:rPr>
        <w:t xml:space="preserve"> </w:t>
      </w:r>
      <w:r w:rsidR="00763C0E">
        <w:rPr>
          <w:rFonts w:cstheme="minorHAnsi"/>
          <w:lang w:val="en"/>
        </w:rPr>
        <w:t>applications</w:t>
      </w:r>
      <w:r w:rsidR="00763C0E" w:rsidRPr="00C36EB8">
        <w:rPr>
          <w:rFonts w:cstheme="minorHAnsi"/>
          <w:lang w:val="en"/>
        </w:rPr>
        <w:t xml:space="preserve"> on the basis of their commercial deadlines</w:t>
      </w:r>
      <w:r w:rsidR="00C71F8E">
        <w:rPr>
          <w:rFonts w:cstheme="minorHAnsi"/>
          <w:lang w:val="en"/>
        </w:rPr>
        <w:t xml:space="preserve"> and</w:t>
      </w:r>
      <w:r w:rsidR="00763C0E" w:rsidRPr="00C36EB8">
        <w:rPr>
          <w:rFonts w:cstheme="minorHAnsi"/>
          <w:lang w:val="en"/>
        </w:rPr>
        <w:t xml:space="preserve"> risk profile</w:t>
      </w:r>
      <w:r w:rsidR="00C71F8E">
        <w:rPr>
          <w:rFonts w:cstheme="minorHAnsi"/>
          <w:lang w:val="en"/>
        </w:rPr>
        <w:t>,</w:t>
      </w:r>
      <w:r w:rsidR="00763C0E" w:rsidRPr="00C36EB8">
        <w:rPr>
          <w:rFonts w:cstheme="minorHAnsi"/>
          <w:lang w:val="en"/>
        </w:rPr>
        <w:t xml:space="preserve"> and </w:t>
      </w:r>
      <w:r w:rsidR="00763C0E" w:rsidRPr="00EC7AC5">
        <w:rPr>
          <w:rFonts w:cstheme="minorHAnsi"/>
          <w:color w:val="auto"/>
          <w:lang w:val="en"/>
        </w:rPr>
        <w:t xml:space="preserve">whether they protected and supported Australian businesses and jobs. Work was also undertaken with consultation partners to streamline assessment processes where possible. </w:t>
      </w:r>
      <w:r w:rsidR="00110772" w:rsidRPr="00EC7AC5">
        <w:rPr>
          <w:color w:val="auto"/>
        </w:rPr>
        <w:t>The ATO provided additional support to Treasury beyond its normal role for this period with the processing of commercial property applications.</w:t>
      </w:r>
    </w:p>
    <w:p w14:paraId="0E7EBBBA" w14:textId="4762FC2C" w:rsidR="00763C0E" w:rsidRPr="00C36EB8" w:rsidRDefault="00763C0E" w:rsidP="00763C0E">
      <w:pPr>
        <w:rPr>
          <w:rFonts w:cstheme="minorHAnsi"/>
          <w:lang w:val="en"/>
        </w:rPr>
      </w:pPr>
      <w:r w:rsidRPr="00C36EB8">
        <w:rPr>
          <w:rFonts w:cstheme="minorHAnsi"/>
          <w:lang w:val="en"/>
        </w:rPr>
        <w:t xml:space="preserve">Although </w:t>
      </w:r>
      <w:r w:rsidR="00B8323D">
        <w:rPr>
          <w:rFonts w:cstheme="minorHAnsi"/>
          <w:lang w:val="en"/>
        </w:rPr>
        <w:t xml:space="preserve">the Government announced </w:t>
      </w:r>
      <w:r w:rsidR="00746559">
        <w:rPr>
          <w:rFonts w:cstheme="minorHAnsi"/>
          <w:lang w:val="en"/>
        </w:rPr>
        <w:t xml:space="preserve">an extension of </w:t>
      </w:r>
      <w:r w:rsidRPr="00C36EB8">
        <w:rPr>
          <w:rFonts w:cstheme="minorHAnsi"/>
          <w:lang w:val="en"/>
        </w:rPr>
        <w:t xml:space="preserve">the statutory timeframes for </w:t>
      </w:r>
      <w:r w:rsidR="00DB6DD4">
        <w:rPr>
          <w:rFonts w:cstheme="minorHAnsi"/>
          <w:lang w:val="en"/>
        </w:rPr>
        <w:t xml:space="preserve">the </w:t>
      </w:r>
      <w:r w:rsidRPr="00C36EB8">
        <w:rPr>
          <w:rFonts w:cstheme="minorHAnsi"/>
          <w:lang w:val="en"/>
        </w:rPr>
        <w:t xml:space="preserve">review </w:t>
      </w:r>
      <w:r w:rsidR="00DB6DD4">
        <w:rPr>
          <w:rFonts w:cstheme="minorHAnsi"/>
          <w:lang w:val="en"/>
        </w:rPr>
        <w:t xml:space="preserve">of applications </w:t>
      </w:r>
      <w:r w:rsidRPr="00C36EB8">
        <w:rPr>
          <w:rFonts w:cstheme="minorHAnsi"/>
          <w:lang w:val="en"/>
        </w:rPr>
        <w:t>from the standard 30 days to up to six</w:t>
      </w:r>
      <w:r w:rsidR="00CA70E1">
        <w:rPr>
          <w:rFonts w:cstheme="minorHAnsi"/>
          <w:lang w:val="en"/>
        </w:rPr>
        <w:t> </w:t>
      </w:r>
      <w:r w:rsidRPr="00C36EB8">
        <w:rPr>
          <w:rFonts w:cstheme="minorHAnsi"/>
          <w:lang w:val="en"/>
        </w:rPr>
        <w:t>months, the majority of applications were processed well within the six month timeframe. In a number of cases, the Board expedited its consideration of applications so as to ensure commercial deadlines were met and disruptions caused by the</w:t>
      </w:r>
      <w:r w:rsidR="0068770D">
        <w:rPr>
          <w:rFonts w:cstheme="minorHAnsi"/>
          <w:lang w:val="en"/>
        </w:rPr>
        <w:t xml:space="preserve"> COVID</w:t>
      </w:r>
      <w:r w:rsidR="00BD4D19">
        <w:rPr>
          <w:rFonts w:cstheme="minorHAnsi"/>
          <w:lang w:val="en"/>
        </w:rPr>
        <w:noBreakHyphen/>
      </w:r>
      <w:r w:rsidR="0068770D">
        <w:rPr>
          <w:rFonts w:cstheme="minorHAnsi"/>
          <w:lang w:val="en"/>
        </w:rPr>
        <w:t>19</w:t>
      </w:r>
      <w:r w:rsidRPr="00C36EB8">
        <w:rPr>
          <w:rFonts w:cstheme="minorHAnsi"/>
          <w:lang w:val="en"/>
        </w:rPr>
        <w:t xml:space="preserve"> pandemic </w:t>
      </w:r>
      <w:r w:rsidR="0053346C">
        <w:rPr>
          <w:rFonts w:cstheme="minorHAnsi"/>
          <w:lang w:val="en"/>
        </w:rPr>
        <w:t xml:space="preserve">were </w:t>
      </w:r>
      <w:proofErr w:type="spellStart"/>
      <w:r w:rsidRPr="00C36EB8">
        <w:rPr>
          <w:rFonts w:cstheme="minorHAnsi"/>
          <w:lang w:val="en"/>
        </w:rPr>
        <w:t>minimised</w:t>
      </w:r>
      <w:proofErr w:type="spellEnd"/>
      <w:r w:rsidRPr="00C36EB8">
        <w:rPr>
          <w:rFonts w:cstheme="minorHAnsi"/>
          <w:lang w:val="en"/>
        </w:rPr>
        <w:t xml:space="preserve"> as much as possible. T</w:t>
      </w:r>
      <w:r w:rsidRPr="00C36EB8">
        <w:rPr>
          <w:rFonts w:eastAsia="Calibri" w:cstheme="minorHAnsi"/>
        </w:rPr>
        <w:t>he acquisition of Virgin</w:t>
      </w:r>
      <w:r w:rsidR="001D14C8">
        <w:rPr>
          <w:rFonts w:eastAsia="Calibri" w:cstheme="minorHAnsi"/>
        </w:rPr>
        <w:t> </w:t>
      </w:r>
      <w:r w:rsidRPr="00C36EB8">
        <w:rPr>
          <w:rFonts w:eastAsia="Calibri" w:cstheme="minorHAnsi"/>
        </w:rPr>
        <w:t xml:space="preserve">Australia by Bain Capital </w:t>
      </w:r>
      <w:r w:rsidR="0040515C">
        <w:rPr>
          <w:rFonts w:eastAsia="Calibri" w:cstheme="minorHAnsi"/>
        </w:rPr>
        <w:t xml:space="preserve">is </w:t>
      </w:r>
      <w:r w:rsidR="009D20A1">
        <w:rPr>
          <w:rFonts w:eastAsia="Calibri" w:cstheme="minorHAnsi"/>
        </w:rPr>
        <w:t>a relevant example</w:t>
      </w:r>
      <w:r w:rsidRPr="00C36EB8">
        <w:rPr>
          <w:rFonts w:eastAsia="Calibri" w:cstheme="minorHAnsi"/>
        </w:rPr>
        <w:t>.</w:t>
      </w:r>
      <w:r w:rsidR="00DB6DD4">
        <w:rPr>
          <w:rFonts w:eastAsia="Calibri" w:cstheme="minorHAnsi"/>
        </w:rPr>
        <w:t xml:space="preserve"> This report provides a case study on this</w:t>
      </w:r>
      <w:r w:rsidR="001D14C8">
        <w:rPr>
          <w:rFonts w:eastAsia="Calibri" w:cstheme="minorHAnsi"/>
        </w:rPr>
        <w:t> </w:t>
      </w:r>
      <w:r w:rsidR="00DE0ED5">
        <w:rPr>
          <w:rFonts w:eastAsia="Calibri" w:cstheme="minorHAnsi"/>
        </w:rPr>
        <w:t>proposal</w:t>
      </w:r>
      <w:r w:rsidR="00DB6DD4">
        <w:rPr>
          <w:rFonts w:eastAsia="Calibri" w:cstheme="minorHAnsi"/>
        </w:rPr>
        <w:t>.</w:t>
      </w:r>
    </w:p>
    <w:p w14:paraId="2EF4772F" w14:textId="7653538C" w:rsidR="00763C0E" w:rsidRPr="00C36EB8" w:rsidRDefault="00763C0E" w:rsidP="00763C0E">
      <w:pPr>
        <w:rPr>
          <w:rFonts w:cstheme="minorHAnsi"/>
        </w:rPr>
      </w:pPr>
      <w:r w:rsidRPr="00C36EB8">
        <w:rPr>
          <w:rFonts w:cstheme="minorHAnsi"/>
        </w:rPr>
        <w:t xml:space="preserve">While the impacts of </w:t>
      </w:r>
      <w:r w:rsidR="00212D07">
        <w:rPr>
          <w:rFonts w:cstheme="minorHAnsi"/>
        </w:rPr>
        <w:t xml:space="preserve">the </w:t>
      </w:r>
      <w:r w:rsidRPr="00C36EB8">
        <w:rPr>
          <w:rFonts w:cstheme="minorHAnsi"/>
        </w:rPr>
        <w:t>COVID</w:t>
      </w:r>
      <w:r w:rsidR="00BD4D19">
        <w:rPr>
          <w:rFonts w:cstheme="minorHAnsi"/>
        </w:rPr>
        <w:noBreakHyphen/>
      </w:r>
      <w:r w:rsidRPr="00C36EB8">
        <w:rPr>
          <w:rFonts w:cstheme="minorHAnsi"/>
        </w:rPr>
        <w:t xml:space="preserve">19 </w:t>
      </w:r>
      <w:r w:rsidR="00212D07">
        <w:rPr>
          <w:rFonts w:cstheme="minorHAnsi"/>
        </w:rPr>
        <w:t xml:space="preserve">pandemic </w:t>
      </w:r>
      <w:r>
        <w:rPr>
          <w:rFonts w:cstheme="minorHAnsi"/>
        </w:rPr>
        <w:t xml:space="preserve">were far reaching and </w:t>
      </w:r>
      <w:r w:rsidRPr="00C36EB8">
        <w:rPr>
          <w:rFonts w:cstheme="minorHAnsi"/>
        </w:rPr>
        <w:t>led to shifts in the administration of the foreign investment framework, this did not detract from the Board</w:t>
      </w:r>
      <w:r w:rsidR="00BD4D19">
        <w:rPr>
          <w:rFonts w:cstheme="minorHAnsi"/>
        </w:rPr>
        <w:t>’</w:t>
      </w:r>
      <w:r w:rsidRPr="00C36EB8">
        <w:rPr>
          <w:rFonts w:cstheme="minorHAnsi"/>
        </w:rPr>
        <w:t xml:space="preserve">s broader oversight of the framework. </w:t>
      </w:r>
    </w:p>
    <w:p w14:paraId="738D0AC8" w14:textId="77777777" w:rsidR="00763C0E" w:rsidRPr="00C36EB8" w:rsidRDefault="00763C0E" w:rsidP="00763C0E">
      <w:pPr>
        <w:rPr>
          <w:rFonts w:cstheme="minorHAnsi"/>
        </w:rPr>
      </w:pPr>
      <w:r w:rsidRPr="00C36EB8">
        <w:rPr>
          <w:rFonts w:cstheme="minorHAnsi"/>
        </w:rPr>
        <w:t>The announcement in June</w:t>
      </w:r>
      <w:r w:rsidR="00CA70E1">
        <w:rPr>
          <w:rFonts w:cstheme="minorHAnsi"/>
        </w:rPr>
        <w:t> </w:t>
      </w:r>
      <w:r w:rsidR="0068770D">
        <w:rPr>
          <w:rFonts w:cstheme="minorHAnsi"/>
        </w:rPr>
        <w:t xml:space="preserve">2020 </w:t>
      </w:r>
      <w:r w:rsidRPr="00C36EB8">
        <w:rPr>
          <w:rFonts w:cstheme="minorHAnsi"/>
        </w:rPr>
        <w:t xml:space="preserve">of </w:t>
      </w:r>
      <w:r>
        <w:rPr>
          <w:rFonts w:cstheme="minorHAnsi"/>
        </w:rPr>
        <w:t xml:space="preserve">a major policy reform package </w:t>
      </w:r>
      <w:r w:rsidRPr="00C36EB8">
        <w:rPr>
          <w:rFonts w:cstheme="minorHAnsi"/>
        </w:rPr>
        <w:t>reflects a large body of work and analysis</w:t>
      </w:r>
      <w:r w:rsidR="00641552">
        <w:rPr>
          <w:rFonts w:cstheme="minorHAnsi"/>
        </w:rPr>
        <w:t xml:space="preserve"> that had been</w:t>
      </w:r>
      <w:r w:rsidRPr="00C36EB8">
        <w:rPr>
          <w:rFonts w:cstheme="minorHAnsi"/>
        </w:rPr>
        <w:t xml:space="preserve"> undertaken over an extensive period of time. The Board was pleased to have had the opportunity to provide its </w:t>
      </w:r>
      <w:r>
        <w:rPr>
          <w:rFonts w:cstheme="minorHAnsi"/>
        </w:rPr>
        <w:t>input into the policy development process</w:t>
      </w:r>
      <w:r w:rsidRPr="00C36EB8">
        <w:rPr>
          <w:rFonts w:cstheme="minorHAnsi"/>
        </w:rPr>
        <w:t xml:space="preserve">. </w:t>
      </w:r>
      <w:r>
        <w:rPr>
          <w:rFonts w:cstheme="minorHAnsi"/>
        </w:rPr>
        <w:t xml:space="preserve">The </w:t>
      </w:r>
      <w:r w:rsidRPr="00C36EB8">
        <w:rPr>
          <w:rFonts w:cstheme="minorHAnsi"/>
        </w:rPr>
        <w:t xml:space="preserve">implementation </w:t>
      </w:r>
      <w:r>
        <w:rPr>
          <w:rFonts w:cstheme="minorHAnsi"/>
        </w:rPr>
        <w:t xml:space="preserve">of the reforms </w:t>
      </w:r>
      <w:r w:rsidRPr="00C36EB8">
        <w:rPr>
          <w:rFonts w:cstheme="minorHAnsi"/>
        </w:rPr>
        <w:t>from 1</w:t>
      </w:r>
      <w:r w:rsidR="0068770D">
        <w:rPr>
          <w:rFonts w:cstheme="minorHAnsi"/>
        </w:rPr>
        <w:t> </w:t>
      </w:r>
      <w:r w:rsidRPr="00C36EB8">
        <w:rPr>
          <w:rFonts w:cstheme="minorHAnsi"/>
        </w:rPr>
        <w:t>January</w:t>
      </w:r>
      <w:r w:rsidR="0068770D">
        <w:rPr>
          <w:rFonts w:cstheme="minorHAnsi"/>
        </w:rPr>
        <w:t> </w:t>
      </w:r>
      <w:r w:rsidRPr="00C36EB8">
        <w:rPr>
          <w:rFonts w:cstheme="minorHAnsi"/>
        </w:rPr>
        <w:t xml:space="preserve">2021, including the additional resourcing across the suite of functions, but particularly in relation to compliance, will significantly enhance the administration of the framework and ensure Australia remains at the forefront of foreign investment policy and practice. </w:t>
      </w:r>
    </w:p>
    <w:p w14:paraId="04E38A27" w14:textId="3BEAAA46" w:rsidR="00F15584" w:rsidRDefault="00DB6DD4" w:rsidP="00B8323D">
      <w:pPr>
        <w:rPr>
          <w:rFonts w:cstheme="minorHAnsi"/>
          <w:lang w:val="en"/>
        </w:rPr>
      </w:pPr>
      <w:r>
        <w:rPr>
          <w:rFonts w:cstheme="minorHAnsi"/>
          <w:lang w:val="en"/>
        </w:rPr>
        <w:t>This report provides data on proposed foreign investment in 2019</w:t>
      </w:r>
      <w:r w:rsidR="00BD4D19">
        <w:rPr>
          <w:rFonts w:cstheme="minorHAnsi"/>
          <w:lang w:val="en"/>
        </w:rPr>
        <w:noBreakHyphen/>
      </w:r>
      <w:r>
        <w:rPr>
          <w:rFonts w:cstheme="minorHAnsi"/>
          <w:lang w:val="en"/>
        </w:rPr>
        <w:t xml:space="preserve">20. </w:t>
      </w:r>
      <w:r w:rsidR="00873AAA">
        <w:rPr>
          <w:rFonts w:cstheme="minorHAnsi"/>
          <w:lang w:val="en"/>
        </w:rPr>
        <w:t>B</w:t>
      </w:r>
      <w:r w:rsidR="00E361D3">
        <w:rPr>
          <w:rFonts w:cstheme="minorHAnsi"/>
          <w:lang w:val="en"/>
        </w:rPr>
        <w:t xml:space="preserve">oth </w:t>
      </w:r>
      <w:r w:rsidR="00B8323D" w:rsidRPr="00C36EB8">
        <w:rPr>
          <w:rFonts w:cstheme="minorHAnsi"/>
          <w:lang w:val="en"/>
        </w:rPr>
        <w:t xml:space="preserve">the </w:t>
      </w:r>
      <w:r w:rsidR="00E361D3">
        <w:rPr>
          <w:rFonts w:cstheme="minorHAnsi"/>
          <w:lang w:val="en"/>
        </w:rPr>
        <w:t>volume and value</w:t>
      </w:r>
      <w:r w:rsidR="00E361D3" w:rsidRPr="00C36EB8">
        <w:rPr>
          <w:rFonts w:cstheme="minorHAnsi"/>
          <w:lang w:val="en"/>
        </w:rPr>
        <w:t xml:space="preserve"> </w:t>
      </w:r>
      <w:r w:rsidR="00B8323D" w:rsidRPr="00C36EB8">
        <w:rPr>
          <w:rFonts w:cstheme="minorHAnsi"/>
          <w:lang w:val="en"/>
        </w:rPr>
        <w:t xml:space="preserve">of applications </w:t>
      </w:r>
      <w:r w:rsidR="00873AAA">
        <w:rPr>
          <w:rFonts w:cstheme="minorHAnsi"/>
          <w:lang w:val="en"/>
        </w:rPr>
        <w:t>in 2019</w:t>
      </w:r>
      <w:r w:rsidR="00F26BED">
        <w:rPr>
          <w:rFonts w:cstheme="minorHAnsi"/>
          <w:lang w:val="en"/>
        </w:rPr>
        <w:noBreakHyphen/>
      </w:r>
      <w:r w:rsidR="00873AAA">
        <w:rPr>
          <w:rFonts w:cstheme="minorHAnsi"/>
          <w:lang w:val="en"/>
        </w:rPr>
        <w:t xml:space="preserve">20 </w:t>
      </w:r>
      <w:r w:rsidR="00B8323D" w:rsidRPr="00C36EB8">
        <w:rPr>
          <w:rFonts w:cstheme="minorHAnsi"/>
          <w:lang w:val="en"/>
        </w:rPr>
        <w:t>was lower</w:t>
      </w:r>
      <w:r>
        <w:rPr>
          <w:rFonts w:cstheme="minorHAnsi"/>
          <w:lang w:val="en"/>
        </w:rPr>
        <w:t xml:space="preserve"> than in 2018</w:t>
      </w:r>
      <w:r w:rsidR="00F26BED">
        <w:rPr>
          <w:rFonts w:cstheme="minorHAnsi"/>
          <w:lang w:val="en"/>
        </w:rPr>
        <w:noBreakHyphen/>
      </w:r>
      <w:r>
        <w:rPr>
          <w:rFonts w:cstheme="minorHAnsi"/>
          <w:lang w:val="en"/>
        </w:rPr>
        <w:t>19</w:t>
      </w:r>
      <w:r w:rsidR="00E005D2">
        <w:rPr>
          <w:rFonts w:cstheme="minorHAnsi"/>
          <w:lang w:val="en"/>
        </w:rPr>
        <w:t>.</w:t>
      </w:r>
      <w:r w:rsidR="00F15584">
        <w:rPr>
          <w:rFonts w:cstheme="minorHAnsi"/>
          <w:lang w:val="en"/>
        </w:rPr>
        <w:t xml:space="preserve"> While the number of applications declined</w:t>
      </w:r>
      <w:r w:rsidR="000440C7">
        <w:rPr>
          <w:rFonts w:cstheme="minorHAnsi"/>
          <w:lang w:val="en"/>
        </w:rPr>
        <w:t xml:space="preserve"> in 2019</w:t>
      </w:r>
      <w:r w:rsidR="00F26BED">
        <w:rPr>
          <w:rFonts w:cstheme="minorHAnsi"/>
          <w:lang w:val="en"/>
        </w:rPr>
        <w:noBreakHyphen/>
      </w:r>
      <w:r w:rsidR="000440C7">
        <w:rPr>
          <w:rFonts w:cstheme="minorHAnsi"/>
          <w:lang w:val="en"/>
        </w:rPr>
        <w:t>20</w:t>
      </w:r>
      <w:r w:rsidR="00F15584">
        <w:rPr>
          <w:rFonts w:cstheme="minorHAnsi"/>
          <w:lang w:val="en"/>
        </w:rPr>
        <w:t xml:space="preserve">, </w:t>
      </w:r>
      <w:r w:rsidR="009B79A5">
        <w:rPr>
          <w:rFonts w:cstheme="minorHAnsi"/>
          <w:lang w:val="en"/>
        </w:rPr>
        <w:t xml:space="preserve">the value of approvals has fluctuated </w:t>
      </w:r>
      <w:r w:rsidR="00F15584">
        <w:rPr>
          <w:rFonts w:cstheme="minorHAnsi"/>
          <w:lang w:val="en"/>
        </w:rPr>
        <w:t xml:space="preserve">since </w:t>
      </w:r>
      <w:r w:rsidR="00E005D2">
        <w:rPr>
          <w:rFonts w:cstheme="minorHAnsi"/>
          <w:lang w:val="en"/>
        </w:rPr>
        <w:t>2016</w:t>
      </w:r>
      <w:r w:rsidR="00F26BED">
        <w:rPr>
          <w:rFonts w:cstheme="minorHAnsi"/>
          <w:lang w:val="en"/>
        </w:rPr>
        <w:noBreakHyphen/>
      </w:r>
      <w:r w:rsidR="00E005D2">
        <w:rPr>
          <w:rFonts w:cstheme="minorHAnsi"/>
          <w:lang w:val="en"/>
        </w:rPr>
        <w:t>17</w:t>
      </w:r>
      <w:r w:rsidR="000440C7">
        <w:rPr>
          <w:rFonts w:cstheme="minorHAnsi"/>
          <w:lang w:val="en"/>
        </w:rPr>
        <w:t xml:space="preserve">, </w:t>
      </w:r>
      <w:r w:rsidR="0053346C">
        <w:rPr>
          <w:rFonts w:cstheme="minorHAnsi"/>
          <w:lang w:val="en"/>
        </w:rPr>
        <w:t xml:space="preserve">including </w:t>
      </w:r>
      <w:r w:rsidR="000440C7">
        <w:rPr>
          <w:rFonts w:cstheme="minorHAnsi"/>
          <w:lang w:val="en"/>
        </w:rPr>
        <w:t>a historically high figure of 23</w:t>
      </w:r>
      <w:r w:rsidR="00CA70E1">
        <w:rPr>
          <w:rFonts w:cstheme="minorHAnsi"/>
          <w:lang w:val="en"/>
        </w:rPr>
        <w:t> </w:t>
      </w:r>
      <w:r w:rsidR="000440C7">
        <w:rPr>
          <w:rFonts w:cstheme="minorHAnsi"/>
          <w:lang w:val="en"/>
        </w:rPr>
        <w:t>approvals with a consideration value of greater</w:t>
      </w:r>
      <w:r w:rsidR="004A7FDF">
        <w:rPr>
          <w:rFonts w:cstheme="minorHAnsi"/>
          <w:lang w:val="en"/>
        </w:rPr>
        <w:t xml:space="preserve"> than</w:t>
      </w:r>
      <w:r w:rsidR="000440C7">
        <w:rPr>
          <w:rFonts w:cstheme="minorHAnsi"/>
          <w:lang w:val="en"/>
        </w:rPr>
        <w:t xml:space="preserve"> $2</w:t>
      </w:r>
      <w:r w:rsidR="00CA70E1">
        <w:rPr>
          <w:rFonts w:cstheme="minorHAnsi"/>
          <w:lang w:val="en"/>
        </w:rPr>
        <w:t> </w:t>
      </w:r>
      <w:r w:rsidR="000440C7">
        <w:rPr>
          <w:rFonts w:cstheme="minorHAnsi"/>
          <w:lang w:val="en"/>
        </w:rPr>
        <w:t>billion in 2018</w:t>
      </w:r>
      <w:r w:rsidR="00F26BED">
        <w:rPr>
          <w:rFonts w:cstheme="minorHAnsi"/>
          <w:lang w:val="en"/>
        </w:rPr>
        <w:noBreakHyphen/>
      </w:r>
      <w:r w:rsidR="000440C7">
        <w:rPr>
          <w:rFonts w:cstheme="minorHAnsi"/>
          <w:lang w:val="en"/>
        </w:rPr>
        <w:t>19</w:t>
      </w:r>
      <w:r w:rsidR="00F15584">
        <w:rPr>
          <w:rFonts w:cstheme="minorHAnsi"/>
          <w:lang w:val="en"/>
        </w:rPr>
        <w:t xml:space="preserve">. </w:t>
      </w:r>
    </w:p>
    <w:p w14:paraId="2837B86F" w14:textId="59F33CB3" w:rsidR="00B8323D" w:rsidRPr="00C36EB8" w:rsidRDefault="00B8323D" w:rsidP="00B8323D">
      <w:pPr>
        <w:rPr>
          <w:rFonts w:cstheme="minorHAnsi"/>
        </w:rPr>
      </w:pPr>
      <w:r w:rsidRPr="006E3FEF">
        <w:rPr>
          <w:rFonts w:cstheme="minorHAnsi"/>
        </w:rPr>
        <w:t>Of the 8,221 applications approved, 8,08</w:t>
      </w:r>
      <w:r w:rsidR="00F43E62" w:rsidRPr="006E3FEF">
        <w:rPr>
          <w:rFonts w:cstheme="minorHAnsi"/>
        </w:rPr>
        <w:t>4</w:t>
      </w:r>
      <w:r w:rsidRPr="006E3FEF">
        <w:rPr>
          <w:rFonts w:cstheme="minorHAnsi"/>
        </w:rPr>
        <w:t xml:space="preserve"> were non</w:t>
      </w:r>
      <w:r w:rsidR="00BD4D19">
        <w:rPr>
          <w:rFonts w:cstheme="minorHAnsi"/>
        </w:rPr>
        <w:noBreakHyphen/>
      </w:r>
      <w:r w:rsidR="0047708A">
        <w:rPr>
          <w:rFonts w:cstheme="minorHAnsi"/>
        </w:rPr>
        <w:t>zero dollar threshold </w:t>
      </w:r>
      <w:r w:rsidR="00DE0ED5" w:rsidRPr="006E3FEF">
        <w:rPr>
          <w:rFonts w:cstheme="minorHAnsi"/>
        </w:rPr>
        <w:t xml:space="preserve">proposals </w:t>
      </w:r>
      <w:r w:rsidRPr="006E3FEF">
        <w:rPr>
          <w:rFonts w:cstheme="minorHAnsi"/>
        </w:rPr>
        <w:t>representing a total value of $192.8</w:t>
      </w:r>
      <w:r w:rsidR="00CA70E1" w:rsidRPr="006E3FEF">
        <w:rPr>
          <w:rFonts w:cstheme="minorHAnsi"/>
        </w:rPr>
        <w:t> </w:t>
      </w:r>
      <w:r w:rsidRPr="006E3FEF">
        <w:rPr>
          <w:rFonts w:cstheme="minorHAnsi"/>
        </w:rPr>
        <w:t>billion. This is a 7.</w:t>
      </w:r>
      <w:r w:rsidR="00F43E62" w:rsidRPr="006E3FEF">
        <w:rPr>
          <w:rFonts w:cstheme="minorHAnsi"/>
        </w:rPr>
        <w:t>3</w:t>
      </w:r>
      <w:r w:rsidR="00CA70E1" w:rsidRPr="006E3FEF">
        <w:rPr>
          <w:rFonts w:cstheme="minorHAnsi"/>
        </w:rPr>
        <w:t> </w:t>
      </w:r>
      <w:r w:rsidRPr="006E3FEF">
        <w:rPr>
          <w:rFonts w:cstheme="minorHAnsi"/>
        </w:rPr>
        <w:t>per</w:t>
      </w:r>
      <w:r w:rsidR="00CA70E1" w:rsidRPr="006E3FEF">
        <w:rPr>
          <w:rFonts w:cstheme="minorHAnsi"/>
        </w:rPr>
        <w:t> </w:t>
      </w:r>
      <w:r w:rsidRPr="006E3FEF">
        <w:rPr>
          <w:rFonts w:cstheme="minorHAnsi"/>
        </w:rPr>
        <w:t>cent decrease in the number of non</w:t>
      </w:r>
      <w:r w:rsidR="00BD4D19">
        <w:rPr>
          <w:rFonts w:cstheme="minorHAnsi"/>
        </w:rPr>
        <w:noBreakHyphen/>
      </w:r>
      <w:r w:rsidR="0047708A">
        <w:rPr>
          <w:rFonts w:cstheme="minorHAnsi"/>
        </w:rPr>
        <w:t>zero dollar</w:t>
      </w:r>
      <w:r w:rsidR="00EC68A4">
        <w:rPr>
          <w:rFonts w:cstheme="minorHAnsi"/>
        </w:rPr>
        <w:t xml:space="preserve"> </w:t>
      </w:r>
      <w:r w:rsidR="0047708A">
        <w:rPr>
          <w:rFonts w:cstheme="minorHAnsi"/>
        </w:rPr>
        <w:t>threshold</w:t>
      </w:r>
      <w:r w:rsidR="00EC68A4">
        <w:rPr>
          <w:rFonts w:cstheme="minorHAnsi"/>
        </w:rPr>
        <w:t xml:space="preserve"> </w:t>
      </w:r>
      <w:r w:rsidR="002E0557" w:rsidRPr="006E3FEF">
        <w:rPr>
          <w:rFonts w:cstheme="minorHAnsi"/>
        </w:rPr>
        <w:t xml:space="preserve">applications </w:t>
      </w:r>
      <w:r w:rsidRPr="006E3FEF">
        <w:rPr>
          <w:rFonts w:cstheme="minorHAnsi"/>
        </w:rPr>
        <w:t>approved and a 16.5</w:t>
      </w:r>
      <w:r w:rsidR="00CA70E1" w:rsidRPr="006E3FEF">
        <w:rPr>
          <w:rFonts w:cstheme="minorHAnsi"/>
        </w:rPr>
        <w:t> </w:t>
      </w:r>
      <w:r w:rsidRPr="006E3FEF">
        <w:rPr>
          <w:rFonts w:cstheme="minorHAnsi"/>
        </w:rPr>
        <w:t>per</w:t>
      </w:r>
      <w:r w:rsidR="00CA70E1" w:rsidRPr="006E3FEF">
        <w:rPr>
          <w:rFonts w:cstheme="minorHAnsi"/>
        </w:rPr>
        <w:t> </w:t>
      </w:r>
      <w:r w:rsidRPr="006E3FEF">
        <w:rPr>
          <w:rFonts w:cstheme="minorHAnsi"/>
        </w:rPr>
        <w:t>cent decrease by value compared to 2018</w:t>
      </w:r>
      <w:r w:rsidR="000207A1">
        <w:rPr>
          <w:rFonts w:cstheme="minorHAnsi"/>
        </w:rPr>
        <w:t>–</w:t>
      </w:r>
      <w:r w:rsidRPr="006E3FEF">
        <w:rPr>
          <w:rFonts w:cstheme="minorHAnsi"/>
        </w:rPr>
        <w:t>19.</w:t>
      </w:r>
      <w:r w:rsidRPr="00C36EB8">
        <w:rPr>
          <w:rFonts w:cstheme="minorHAnsi"/>
        </w:rPr>
        <w:t xml:space="preserve"> </w:t>
      </w:r>
    </w:p>
    <w:p w14:paraId="7CAB51FD" w14:textId="02E00E36" w:rsidR="00B8323D" w:rsidRPr="00C36EB8" w:rsidRDefault="00B8323D" w:rsidP="007960EC">
      <w:pPr>
        <w:rPr>
          <w:rFonts w:cstheme="minorHAnsi"/>
        </w:rPr>
      </w:pPr>
      <w:r w:rsidRPr="00C36EB8">
        <w:rPr>
          <w:rFonts w:cstheme="minorHAnsi"/>
        </w:rPr>
        <w:t>Although there was an overall decline in the</w:t>
      </w:r>
      <w:r w:rsidR="00873AAA">
        <w:rPr>
          <w:rFonts w:cstheme="minorHAnsi"/>
        </w:rPr>
        <w:t xml:space="preserve"> total</w:t>
      </w:r>
      <w:r w:rsidRPr="00C36EB8">
        <w:rPr>
          <w:rFonts w:cstheme="minorHAnsi"/>
        </w:rPr>
        <w:t xml:space="preserve"> number of applications considered</w:t>
      </w:r>
      <w:r w:rsidR="002A039E">
        <w:rPr>
          <w:rFonts w:cstheme="minorHAnsi"/>
        </w:rPr>
        <w:t xml:space="preserve"> </w:t>
      </w:r>
      <w:r w:rsidR="007E2597">
        <w:rPr>
          <w:rFonts w:cstheme="minorHAnsi"/>
        </w:rPr>
        <w:t>due mainly to</w:t>
      </w:r>
      <w:r w:rsidR="005B4EEE">
        <w:rPr>
          <w:rFonts w:cstheme="minorHAnsi"/>
        </w:rPr>
        <w:t xml:space="preserve"> </w:t>
      </w:r>
      <w:r w:rsidR="00FF51BF">
        <w:rPr>
          <w:rFonts w:cstheme="minorHAnsi"/>
        </w:rPr>
        <w:t>a decline in the number of residential real estate applications</w:t>
      </w:r>
      <w:r w:rsidRPr="00C36EB8">
        <w:rPr>
          <w:rFonts w:cstheme="minorHAnsi"/>
        </w:rPr>
        <w:t xml:space="preserve">, there was a significant increase in the number of </w:t>
      </w:r>
      <w:r w:rsidR="00AF5D7F">
        <w:rPr>
          <w:rFonts w:cstheme="minorHAnsi"/>
        </w:rPr>
        <w:t>applications</w:t>
      </w:r>
      <w:r w:rsidR="00AF5D7F" w:rsidRPr="00C36EB8">
        <w:rPr>
          <w:rFonts w:cstheme="minorHAnsi"/>
        </w:rPr>
        <w:t xml:space="preserve"> </w:t>
      </w:r>
      <w:r w:rsidRPr="00C36EB8">
        <w:rPr>
          <w:rFonts w:cstheme="minorHAnsi"/>
        </w:rPr>
        <w:t xml:space="preserve">that Treasury had on hand </w:t>
      </w:r>
      <w:r w:rsidR="007960EC">
        <w:rPr>
          <w:rFonts w:cstheme="minorHAnsi"/>
        </w:rPr>
        <w:t>at the end of</w:t>
      </w:r>
      <w:r w:rsidR="007960EC" w:rsidRPr="00C36EB8">
        <w:rPr>
          <w:rFonts w:cstheme="minorHAnsi"/>
        </w:rPr>
        <w:t xml:space="preserve"> </w:t>
      </w:r>
      <w:r w:rsidRPr="00C36EB8">
        <w:rPr>
          <w:rFonts w:cstheme="minorHAnsi"/>
        </w:rPr>
        <w:t>the financial year. At the start of the 2019</w:t>
      </w:r>
      <w:r w:rsidR="000207A1">
        <w:rPr>
          <w:rFonts w:cstheme="minorHAnsi"/>
        </w:rPr>
        <w:t>–</w:t>
      </w:r>
      <w:r w:rsidRPr="00C36EB8">
        <w:rPr>
          <w:rFonts w:cstheme="minorHAnsi"/>
        </w:rPr>
        <w:t>20 financial year, Treasury had 192</w:t>
      </w:r>
      <w:r w:rsidR="00CA70E1">
        <w:rPr>
          <w:rFonts w:cstheme="minorHAnsi"/>
        </w:rPr>
        <w:t> </w:t>
      </w:r>
      <w:r w:rsidRPr="00C36EB8">
        <w:rPr>
          <w:rFonts w:cstheme="minorHAnsi"/>
        </w:rPr>
        <w:t>applications on hand. Of the 535</w:t>
      </w:r>
      <w:r w:rsidR="00CA70E1">
        <w:rPr>
          <w:rFonts w:cstheme="minorHAnsi"/>
        </w:rPr>
        <w:t> </w:t>
      </w:r>
      <w:r w:rsidR="002E0557">
        <w:rPr>
          <w:rFonts w:cstheme="minorHAnsi"/>
        </w:rPr>
        <w:t>applications on hand at 30 June 2020</w:t>
      </w:r>
      <w:r w:rsidRPr="00C36EB8">
        <w:rPr>
          <w:rFonts w:cstheme="minorHAnsi"/>
        </w:rPr>
        <w:t xml:space="preserve">, it is estimated that </w:t>
      </w:r>
      <w:r w:rsidRPr="00541FBB">
        <w:rPr>
          <w:rFonts w:cstheme="minorHAnsi"/>
        </w:rPr>
        <w:t xml:space="preserve">around </w:t>
      </w:r>
      <w:r w:rsidR="00AD7CF3">
        <w:t>203</w:t>
      </w:r>
      <w:r w:rsidR="00AD7CF3" w:rsidRPr="00C36EB8">
        <w:rPr>
          <w:rFonts w:cstheme="minorHAnsi"/>
        </w:rPr>
        <w:t xml:space="preserve"> </w:t>
      </w:r>
      <w:r w:rsidRPr="00C36EB8">
        <w:rPr>
          <w:rFonts w:cstheme="minorHAnsi"/>
        </w:rPr>
        <w:t xml:space="preserve">of these were </w:t>
      </w:r>
      <w:r w:rsidR="002A039E">
        <w:rPr>
          <w:rFonts w:cstheme="minorHAnsi"/>
        </w:rPr>
        <w:t>zero</w:t>
      </w:r>
      <w:r w:rsidR="001D14C8">
        <w:rPr>
          <w:rFonts w:cstheme="minorHAnsi"/>
        </w:rPr>
        <w:t> </w:t>
      </w:r>
      <w:r w:rsidR="002A039E">
        <w:rPr>
          <w:rFonts w:cstheme="minorHAnsi"/>
        </w:rPr>
        <w:t>dollar threshold</w:t>
      </w:r>
      <w:r w:rsidR="002A039E" w:rsidRPr="00C36EB8">
        <w:rPr>
          <w:rFonts w:cstheme="minorHAnsi"/>
        </w:rPr>
        <w:t xml:space="preserve"> </w:t>
      </w:r>
      <w:r w:rsidRPr="00C36EB8">
        <w:rPr>
          <w:rFonts w:cstheme="minorHAnsi"/>
        </w:rPr>
        <w:t>applications</w:t>
      </w:r>
      <w:r w:rsidR="004159DA">
        <w:rPr>
          <w:rFonts w:cstheme="minorHAnsi"/>
        </w:rPr>
        <w:t>.</w:t>
      </w:r>
    </w:p>
    <w:p w14:paraId="537544AE" w14:textId="77777777" w:rsidR="00763C0E" w:rsidRPr="00A84283" w:rsidRDefault="00763C0E" w:rsidP="00763C0E">
      <w:r w:rsidRPr="00A84283">
        <w:t xml:space="preserve">I would like to </w:t>
      </w:r>
      <w:r>
        <w:t xml:space="preserve">take the opportunity to </w:t>
      </w:r>
      <w:r w:rsidRPr="00A84283">
        <w:t>thank my</w:t>
      </w:r>
      <w:r>
        <w:t xml:space="preserve"> Board</w:t>
      </w:r>
      <w:r w:rsidRPr="00A84283">
        <w:t xml:space="preserve"> colleagues for their ongoi</w:t>
      </w:r>
      <w:r>
        <w:t>ng contribution and commitment</w:t>
      </w:r>
      <w:r w:rsidR="001E3806">
        <w:t xml:space="preserve">, and particularly during </w:t>
      </w:r>
      <w:r w:rsidR="00116944">
        <w:t>such a</w:t>
      </w:r>
      <w:r w:rsidR="001E3806">
        <w:t xml:space="preserve"> challenging time</w:t>
      </w:r>
      <w:r>
        <w:t xml:space="preserve">. </w:t>
      </w:r>
      <w:r w:rsidRPr="00A84283">
        <w:t>I welcome</w:t>
      </w:r>
      <w:r>
        <w:t xml:space="preserve"> Mr</w:t>
      </w:r>
      <w:r w:rsidR="00CA70E1">
        <w:t> </w:t>
      </w:r>
      <w:r>
        <w:t>Steven</w:t>
      </w:r>
      <w:r w:rsidR="00CA70E1">
        <w:t> </w:t>
      </w:r>
      <w:r>
        <w:t>Skala</w:t>
      </w:r>
      <w:r w:rsidR="003840B2">
        <w:t> AO</w:t>
      </w:r>
      <w:r>
        <w:t xml:space="preserve"> to the Board</w:t>
      </w:r>
      <w:r w:rsidRPr="00A84283">
        <w:t xml:space="preserve"> who </w:t>
      </w:r>
      <w:r w:rsidR="0047654C" w:rsidRPr="00B61FCF">
        <w:t>brings significant experience through his senior roles in the law, commerce, international investment banking and governance</w:t>
      </w:r>
      <w:r>
        <w:t>. I thank</w:t>
      </w:r>
      <w:r w:rsidR="00641552">
        <w:t xml:space="preserve"> Ms</w:t>
      </w:r>
      <w:r w:rsidR="00CA70E1">
        <w:t> </w:t>
      </w:r>
      <w:r>
        <w:t>Alice</w:t>
      </w:r>
      <w:r w:rsidR="00CA70E1">
        <w:t> </w:t>
      </w:r>
      <w:r>
        <w:t>Williams, whose term expired in July</w:t>
      </w:r>
      <w:r w:rsidR="00CA70E1">
        <w:t> </w:t>
      </w:r>
      <w:r>
        <w:t>2020, for her significant contribution to the administration of foreign investment over a five year period</w:t>
      </w:r>
      <w:r w:rsidRPr="00A84283">
        <w:t xml:space="preserve">. </w:t>
      </w:r>
      <w:r w:rsidR="007E6807">
        <w:t xml:space="preserve">I </w:t>
      </w:r>
      <w:r w:rsidR="006B0930">
        <w:t>a</w:t>
      </w:r>
      <w:r w:rsidR="00641552">
        <w:t>lso thank Mr</w:t>
      </w:r>
      <w:r w:rsidR="00CA70E1">
        <w:t> </w:t>
      </w:r>
      <w:r w:rsidR="00641552">
        <w:t>Roger</w:t>
      </w:r>
      <w:r w:rsidR="00CA70E1">
        <w:t> </w:t>
      </w:r>
      <w:r w:rsidR="00641552">
        <w:t>Brake, the former head of the Foreign Investment Divisi</w:t>
      </w:r>
      <w:r w:rsidR="00420DD4">
        <w:t xml:space="preserve">on in Treasury for his support </w:t>
      </w:r>
      <w:r w:rsidR="00641552">
        <w:t>o</w:t>
      </w:r>
      <w:r w:rsidR="00420DD4">
        <w:t>f</w:t>
      </w:r>
      <w:r w:rsidR="00641552">
        <w:t xml:space="preserve"> the Board and leadership during my time on the Board and as Chair.</w:t>
      </w:r>
    </w:p>
    <w:p w14:paraId="0F5EEF2E" w14:textId="77777777" w:rsidR="00A84283" w:rsidRPr="00A84283" w:rsidRDefault="00A84283" w:rsidP="002E2EFE"/>
    <w:p w14:paraId="480A73CE" w14:textId="77777777" w:rsidR="00A84283" w:rsidRPr="00A84283" w:rsidRDefault="00A84283" w:rsidP="002E2EFE">
      <w:r w:rsidRPr="00A84283">
        <w:t>Yours sincerely</w:t>
      </w:r>
    </w:p>
    <w:p w14:paraId="5409733C" w14:textId="77777777" w:rsidR="00A84283" w:rsidRPr="00A84283" w:rsidRDefault="006225EA" w:rsidP="006225EA">
      <w:pPr>
        <w:spacing w:line="240" w:lineRule="auto"/>
      </w:pPr>
      <w:r>
        <w:rPr>
          <w:noProof/>
        </w:rPr>
        <w:drawing>
          <wp:inline distT="0" distB="0" distL="0" distR="0" wp14:anchorId="2CAF74F2" wp14:editId="4CA42727">
            <wp:extent cx="1381760" cy="412115"/>
            <wp:effectExtent l="0" t="0" r="8890" b="6985"/>
            <wp:docPr id="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1760" cy="412115"/>
                    </a:xfrm>
                    <a:prstGeom prst="rect">
                      <a:avLst/>
                    </a:prstGeom>
                    <a:noFill/>
                  </pic:spPr>
                </pic:pic>
              </a:graphicData>
            </a:graphic>
          </wp:inline>
        </w:drawing>
      </w:r>
    </w:p>
    <w:p w14:paraId="6636916F" w14:textId="77777777" w:rsidR="00001E13" w:rsidRDefault="00A84283" w:rsidP="005F3B81">
      <w:pPr>
        <w:sectPr w:rsidR="00001E13" w:rsidSect="0065724D">
          <w:headerReference w:type="first" r:id="rId29"/>
          <w:footerReference w:type="first" r:id="rId30"/>
          <w:pgSz w:w="11906" w:h="16838" w:code="9"/>
          <w:pgMar w:top="2466" w:right="2098" w:bottom="2466" w:left="2098" w:header="1899" w:footer="1899" w:gutter="0"/>
          <w:pgNumType w:fmt="lowerRoman"/>
          <w:cols w:space="708"/>
          <w:titlePg/>
          <w:docGrid w:linePitch="360"/>
        </w:sectPr>
      </w:pPr>
      <w:r w:rsidRPr="00A84283">
        <w:t>David</w:t>
      </w:r>
      <w:r w:rsidR="005D6511">
        <w:t> Irvine </w:t>
      </w:r>
      <w:r w:rsidRPr="00A84283">
        <w:t>AO</w:t>
      </w:r>
      <w:r w:rsidR="00D0262E">
        <w:br/>
      </w:r>
      <w:r w:rsidRPr="00A84283">
        <w:t>Chair</w:t>
      </w:r>
      <w:bookmarkStart w:id="0" w:name="_Toc31303004"/>
    </w:p>
    <w:p w14:paraId="56764A48" w14:textId="77777777" w:rsidR="00A84283" w:rsidRPr="00A01F38" w:rsidRDefault="00A84283" w:rsidP="00EC2A92">
      <w:pPr>
        <w:pStyle w:val="Heading1"/>
      </w:pPr>
      <w:bookmarkStart w:id="1" w:name="_Toc63782916"/>
      <w:bookmarkStart w:id="2" w:name="_Toc68697633"/>
      <w:bookmarkStart w:id="3" w:name="_Toc75243988"/>
      <w:bookmarkStart w:id="4" w:name="_Toc75244045"/>
      <w:r w:rsidRPr="00A01F38">
        <w:t>CONTENTS</w:t>
      </w:r>
      <w:bookmarkEnd w:id="0"/>
      <w:bookmarkEnd w:id="1"/>
      <w:bookmarkEnd w:id="2"/>
      <w:bookmarkEnd w:id="3"/>
      <w:bookmarkEnd w:id="4"/>
    </w:p>
    <w:p w14:paraId="14C54B67" w14:textId="408C311E" w:rsidR="00EE32CD" w:rsidRDefault="00986A91">
      <w:pPr>
        <w:pStyle w:val="TOC1"/>
        <w:rPr>
          <w:rFonts w:asciiTheme="minorHAnsi" w:eastAsiaTheme="minorEastAsia" w:hAnsiTheme="minorHAnsi" w:cstheme="minorBidi"/>
          <w:b w:val="0"/>
          <w:caps w:val="0"/>
          <w:color w:val="auto"/>
          <w:sz w:val="22"/>
        </w:rPr>
      </w:pPr>
      <w:r>
        <w:fldChar w:fldCharType="begin"/>
      </w:r>
      <w:r w:rsidRPr="007149D6">
        <w:instrText xml:space="preserve"> TOC \o "2-2" \h \z \t "Heading 1,1,Appendix Heading,1,Style1,3" </w:instrText>
      </w:r>
      <w:r>
        <w:fldChar w:fldCharType="separate"/>
      </w:r>
      <w:hyperlink w:anchor="_Toc75244046" w:history="1">
        <w:r w:rsidR="00EE32CD" w:rsidRPr="006F5091">
          <w:rPr>
            <w:rStyle w:val="Hyperlink"/>
          </w:rPr>
          <w:t>Executive Summary</w:t>
        </w:r>
        <w:r w:rsidR="00EE32CD">
          <w:rPr>
            <w:webHidden/>
          </w:rPr>
          <w:tab/>
        </w:r>
        <w:r w:rsidR="00EE32CD">
          <w:rPr>
            <w:webHidden/>
          </w:rPr>
          <w:fldChar w:fldCharType="begin"/>
        </w:r>
        <w:r w:rsidR="00EE32CD">
          <w:rPr>
            <w:webHidden/>
          </w:rPr>
          <w:instrText xml:space="preserve"> PAGEREF _Toc75244046 \h </w:instrText>
        </w:r>
        <w:r w:rsidR="00EE32CD">
          <w:rPr>
            <w:webHidden/>
          </w:rPr>
        </w:r>
        <w:r w:rsidR="00EE32CD">
          <w:rPr>
            <w:webHidden/>
          </w:rPr>
          <w:fldChar w:fldCharType="separate"/>
        </w:r>
        <w:r w:rsidR="00D04DB1">
          <w:rPr>
            <w:webHidden/>
          </w:rPr>
          <w:t>xi</w:t>
        </w:r>
        <w:r w:rsidR="00EE32CD">
          <w:rPr>
            <w:webHidden/>
          </w:rPr>
          <w:fldChar w:fldCharType="end"/>
        </w:r>
      </w:hyperlink>
    </w:p>
    <w:p w14:paraId="6FEA6BDB" w14:textId="42E0DA27" w:rsidR="00EE32CD" w:rsidRDefault="00671015">
      <w:pPr>
        <w:pStyle w:val="TOC1"/>
        <w:rPr>
          <w:rFonts w:asciiTheme="minorHAnsi" w:eastAsiaTheme="minorEastAsia" w:hAnsiTheme="minorHAnsi" w:cstheme="minorBidi"/>
          <w:b w:val="0"/>
          <w:caps w:val="0"/>
          <w:color w:val="auto"/>
          <w:sz w:val="22"/>
        </w:rPr>
      </w:pPr>
      <w:hyperlink w:anchor="_Toc75244047" w:history="1">
        <w:r w:rsidR="00EE32CD" w:rsidRPr="006F5091">
          <w:rPr>
            <w:rStyle w:val="Hyperlink"/>
          </w:rPr>
          <w:t>Overview of Report</w:t>
        </w:r>
        <w:r w:rsidR="00EE32CD">
          <w:rPr>
            <w:webHidden/>
          </w:rPr>
          <w:tab/>
        </w:r>
        <w:r w:rsidR="00EE32CD">
          <w:rPr>
            <w:webHidden/>
          </w:rPr>
          <w:fldChar w:fldCharType="begin"/>
        </w:r>
        <w:r w:rsidR="00EE32CD">
          <w:rPr>
            <w:webHidden/>
          </w:rPr>
          <w:instrText xml:space="preserve"> PAGEREF _Toc75244047 \h </w:instrText>
        </w:r>
        <w:r w:rsidR="00EE32CD">
          <w:rPr>
            <w:webHidden/>
          </w:rPr>
        </w:r>
        <w:r w:rsidR="00EE32CD">
          <w:rPr>
            <w:webHidden/>
          </w:rPr>
          <w:fldChar w:fldCharType="separate"/>
        </w:r>
        <w:r w:rsidR="00D04DB1">
          <w:rPr>
            <w:webHidden/>
          </w:rPr>
          <w:t>xiv</w:t>
        </w:r>
        <w:r w:rsidR="00EE32CD">
          <w:rPr>
            <w:webHidden/>
          </w:rPr>
          <w:fldChar w:fldCharType="end"/>
        </w:r>
      </w:hyperlink>
    </w:p>
    <w:p w14:paraId="0F38AEAB" w14:textId="5DC454CC" w:rsidR="00EE32CD" w:rsidRDefault="00671015">
      <w:pPr>
        <w:pStyle w:val="TOC1"/>
        <w:rPr>
          <w:rFonts w:asciiTheme="minorHAnsi" w:eastAsiaTheme="minorEastAsia" w:hAnsiTheme="minorHAnsi" w:cstheme="minorBidi"/>
          <w:b w:val="0"/>
          <w:caps w:val="0"/>
          <w:color w:val="auto"/>
          <w:sz w:val="22"/>
        </w:rPr>
      </w:pPr>
      <w:hyperlink w:anchor="_Toc75244048" w:history="1">
        <w:r w:rsidR="00EE32CD" w:rsidRPr="006F5091">
          <w:rPr>
            <w:rStyle w:val="Hyperlink"/>
          </w:rPr>
          <w:t>Chapter One: The Foreign Investment Review Board</w:t>
        </w:r>
        <w:r w:rsidR="00EE32CD">
          <w:rPr>
            <w:webHidden/>
          </w:rPr>
          <w:tab/>
        </w:r>
        <w:r w:rsidR="00EE32CD">
          <w:rPr>
            <w:webHidden/>
          </w:rPr>
          <w:fldChar w:fldCharType="begin"/>
        </w:r>
        <w:r w:rsidR="00EE32CD">
          <w:rPr>
            <w:webHidden/>
          </w:rPr>
          <w:instrText xml:space="preserve"> PAGEREF _Toc75244048 \h </w:instrText>
        </w:r>
        <w:r w:rsidR="00EE32CD">
          <w:rPr>
            <w:webHidden/>
          </w:rPr>
        </w:r>
        <w:r w:rsidR="00EE32CD">
          <w:rPr>
            <w:webHidden/>
          </w:rPr>
          <w:fldChar w:fldCharType="separate"/>
        </w:r>
        <w:r w:rsidR="00D04DB1">
          <w:rPr>
            <w:webHidden/>
          </w:rPr>
          <w:t>1</w:t>
        </w:r>
        <w:r w:rsidR="00EE32CD">
          <w:rPr>
            <w:webHidden/>
          </w:rPr>
          <w:fldChar w:fldCharType="end"/>
        </w:r>
      </w:hyperlink>
    </w:p>
    <w:p w14:paraId="0C917E36" w14:textId="2C3EE9B4" w:rsidR="00EE32CD" w:rsidRDefault="00671015">
      <w:pPr>
        <w:pStyle w:val="TOC2"/>
        <w:rPr>
          <w:rFonts w:asciiTheme="minorHAnsi" w:eastAsiaTheme="minorEastAsia" w:hAnsiTheme="minorHAnsi" w:cstheme="minorBidi"/>
          <w:color w:val="auto"/>
          <w:sz w:val="22"/>
          <w:szCs w:val="22"/>
        </w:rPr>
      </w:pPr>
      <w:hyperlink w:anchor="_Toc75244049" w:history="1">
        <w:r w:rsidR="00EE32CD" w:rsidRPr="006F5091">
          <w:rPr>
            <w:rStyle w:val="Hyperlink"/>
          </w:rPr>
          <w:t>Board responsibilities</w:t>
        </w:r>
        <w:r w:rsidR="00EE32CD">
          <w:rPr>
            <w:webHidden/>
          </w:rPr>
          <w:tab/>
        </w:r>
        <w:r w:rsidR="00EE32CD">
          <w:rPr>
            <w:webHidden/>
          </w:rPr>
          <w:fldChar w:fldCharType="begin"/>
        </w:r>
        <w:r w:rsidR="00EE32CD">
          <w:rPr>
            <w:webHidden/>
          </w:rPr>
          <w:instrText xml:space="preserve"> PAGEREF _Toc75244049 \h </w:instrText>
        </w:r>
        <w:r w:rsidR="00EE32CD">
          <w:rPr>
            <w:webHidden/>
          </w:rPr>
        </w:r>
        <w:r w:rsidR="00EE32CD">
          <w:rPr>
            <w:webHidden/>
          </w:rPr>
          <w:fldChar w:fldCharType="separate"/>
        </w:r>
        <w:r w:rsidR="00D04DB1">
          <w:rPr>
            <w:webHidden/>
          </w:rPr>
          <w:t>2</w:t>
        </w:r>
        <w:r w:rsidR="00EE32CD">
          <w:rPr>
            <w:webHidden/>
          </w:rPr>
          <w:fldChar w:fldCharType="end"/>
        </w:r>
      </w:hyperlink>
    </w:p>
    <w:p w14:paraId="44A397E9" w14:textId="6893FDBE" w:rsidR="00EE32CD" w:rsidRDefault="00671015">
      <w:pPr>
        <w:pStyle w:val="TOC2"/>
        <w:rPr>
          <w:rFonts w:asciiTheme="minorHAnsi" w:eastAsiaTheme="minorEastAsia" w:hAnsiTheme="minorHAnsi" w:cstheme="minorBidi"/>
          <w:color w:val="auto"/>
          <w:sz w:val="22"/>
          <w:szCs w:val="22"/>
        </w:rPr>
      </w:pPr>
      <w:hyperlink w:anchor="_Toc75244050" w:history="1">
        <w:r w:rsidR="00EE32CD" w:rsidRPr="006F5091">
          <w:rPr>
            <w:rStyle w:val="Hyperlink"/>
          </w:rPr>
          <w:t>Board membership</w:t>
        </w:r>
        <w:r w:rsidR="00EE32CD">
          <w:rPr>
            <w:webHidden/>
          </w:rPr>
          <w:tab/>
        </w:r>
        <w:r w:rsidR="00EE32CD">
          <w:rPr>
            <w:webHidden/>
          </w:rPr>
          <w:fldChar w:fldCharType="begin"/>
        </w:r>
        <w:r w:rsidR="00EE32CD">
          <w:rPr>
            <w:webHidden/>
          </w:rPr>
          <w:instrText xml:space="preserve"> PAGEREF _Toc75244050 \h </w:instrText>
        </w:r>
        <w:r w:rsidR="00EE32CD">
          <w:rPr>
            <w:webHidden/>
          </w:rPr>
        </w:r>
        <w:r w:rsidR="00EE32CD">
          <w:rPr>
            <w:webHidden/>
          </w:rPr>
          <w:fldChar w:fldCharType="separate"/>
        </w:r>
        <w:r w:rsidR="00D04DB1">
          <w:rPr>
            <w:webHidden/>
          </w:rPr>
          <w:t>2</w:t>
        </w:r>
        <w:r w:rsidR="00EE32CD">
          <w:rPr>
            <w:webHidden/>
          </w:rPr>
          <w:fldChar w:fldCharType="end"/>
        </w:r>
      </w:hyperlink>
    </w:p>
    <w:p w14:paraId="5307AB9F" w14:textId="3D76D206" w:rsidR="00EE32CD" w:rsidRDefault="00671015">
      <w:pPr>
        <w:pStyle w:val="TOC2"/>
        <w:rPr>
          <w:rFonts w:asciiTheme="minorHAnsi" w:eastAsiaTheme="minorEastAsia" w:hAnsiTheme="minorHAnsi" w:cstheme="minorBidi"/>
          <w:color w:val="auto"/>
          <w:sz w:val="22"/>
          <w:szCs w:val="22"/>
        </w:rPr>
      </w:pPr>
      <w:hyperlink w:anchor="_Toc75244051" w:history="1">
        <w:r w:rsidR="00EE32CD" w:rsidRPr="006F5091">
          <w:rPr>
            <w:rStyle w:val="Hyperlink"/>
          </w:rPr>
          <w:t>Public speeches</w:t>
        </w:r>
        <w:r w:rsidR="00EE32CD">
          <w:rPr>
            <w:webHidden/>
          </w:rPr>
          <w:tab/>
        </w:r>
        <w:r w:rsidR="00EE32CD">
          <w:rPr>
            <w:webHidden/>
          </w:rPr>
          <w:fldChar w:fldCharType="begin"/>
        </w:r>
        <w:r w:rsidR="00EE32CD">
          <w:rPr>
            <w:webHidden/>
          </w:rPr>
          <w:instrText xml:space="preserve"> PAGEREF _Toc75244051 \h </w:instrText>
        </w:r>
        <w:r w:rsidR="00EE32CD">
          <w:rPr>
            <w:webHidden/>
          </w:rPr>
        </w:r>
        <w:r w:rsidR="00EE32CD">
          <w:rPr>
            <w:webHidden/>
          </w:rPr>
          <w:fldChar w:fldCharType="separate"/>
        </w:r>
        <w:r w:rsidR="00D04DB1">
          <w:rPr>
            <w:webHidden/>
          </w:rPr>
          <w:t>8</w:t>
        </w:r>
        <w:r w:rsidR="00EE32CD">
          <w:rPr>
            <w:webHidden/>
          </w:rPr>
          <w:fldChar w:fldCharType="end"/>
        </w:r>
      </w:hyperlink>
    </w:p>
    <w:p w14:paraId="684FD4C4" w14:textId="244B6332" w:rsidR="00EE32CD" w:rsidRDefault="00671015">
      <w:pPr>
        <w:pStyle w:val="TOC2"/>
        <w:rPr>
          <w:rFonts w:asciiTheme="minorHAnsi" w:eastAsiaTheme="minorEastAsia" w:hAnsiTheme="minorHAnsi" w:cstheme="minorBidi"/>
          <w:color w:val="auto"/>
          <w:sz w:val="22"/>
          <w:szCs w:val="22"/>
        </w:rPr>
      </w:pPr>
      <w:hyperlink w:anchor="_Toc75244052" w:history="1">
        <w:r w:rsidR="00EE32CD" w:rsidRPr="006F5091">
          <w:rPr>
            <w:rStyle w:val="Hyperlink"/>
          </w:rPr>
          <w:t>Support to the Foreign Investment Review Board</w:t>
        </w:r>
        <w:r w:rsidR="00EE32CD">
          <w:rPr>
            <w:webHidden/>
          </w:rPr>
          <w:tab/>
        </w:r>
        <w:r w:rsidR="00EE32CD">
          <w:rPr>
            <w:webHidden/>
          </w:rPr>
          <w:fldChar w:fldCharType="begin"/>
        </w:r>
        <w:r w:rsidR="00EE32CD">
          <w:rPr>
            <w:webHidden/>
          </w:rPr>
          <w:instrText xml:space="preserve"> PAGEREF _Toc75244052 \h </w:instrText>
        </w:r>
        <w:r w:rsidR="00EE32CD">
          <w:rPr>
            <w:webHidden/>
          </w:rPr>
        </w:r>
        <w:r w:rsidR="00EE32CD">
          <w:rPr>
            <w:webHidden/>
          </w:rPr>
          <w:fldChar w:fldCharType="separate"/>
        </w:r>
        <w:r w:rsidR="00D04DB1">
          <w:rPr>
            <w:webHidden/>
          </w:rPr>
          <w:t>8</w:t>
        </w:r>
        <w:r w:rsidR="00EE32CD">
          <w:rPr>
            <w:webHidden/>
          </w:rPr>
          <w:fldChar w:fldCharType="end"/>
        </w:r>
      </w:hyperlink>
    </w:p>
    <w:p w14:paraId="59A25385" w14:textId="77A3CF3E" w:rsidR="00EE32CD" w:rsidRDefault="00671015">
      <w:pPr>
        <w:pStyle w:val="TOC2"/>
        <w:rPr>
          <w:rFonts w:asciiTheme="minorHAnsi" w:eastAsiaTheme="minorEastAsia" w:hAnsiTheme="minorHAnsi" w:cstheme="minorBidi"/>
          <w:color w:val="auto"/>
          <w:sz w:val="22"/>
          <w:szCs w:val="22"/>
        </w:rPr>
      </w:pPr>
      <w:hyperlink w:anchor="_Toc75244053" w:history="1">
        <w:r w:rsidR="00EE32CD" w:rsidRPr="006F5091">
          <w:rPr>
            <w:rStyle w:val="Hyperlink"/>
          </w:rPr>
          <w:t>Stakeholder engagement</w:t>
        </w:r>
        <w:r w:rsidR="00EE32CD">
          <w:rPr>
            <w:webHidden/>
          </w:rPr>
          <w:tab/>
        </w:r>
        <w:r w:rsidR="00EE32CD">
          <w:rPr>
            <w:webHidden/>
          </w:rPr>
          <w:fldChar w:fldCharType="begin"/>
        </w:r>
        <w:r w:rsidR="00EE32CD">
          <w:rPr>
            <w:webHidden/>
          </w:rPr>
          <w:instrText xml:space="preserve"> PAGEREF _Toc75244053 \h </w:instrText>
        </w:r>
        <w:r w:rsidR="00EE32CD">
          <w:rPr>
            <w:webHidden/>
          </w:rPr>
        </w:r>
        <w:r w:rsidR="00EE32CD">
          <w:rPr>
            <w:webHidden/>
          </w:rPr>
          <w:fldChar w:fldCharType="separate"/>
        </w:r>
        <w:r w:rsidR="00D04DB1">
          <w:rPr>
            <w:webHidden/>
          </w:rPr>
          <w:t>8</w:t>
        </w:r>
        <w:r w:rsidR="00EE32CD">
          <w:rPr>
            <w:webHidden/>
          </w:rPr>
          <w:fldChar w:fldCharType="end"/>
        </w:r>
      </w:hyperlink>
    </w:p>
    <w:p w14:paraId="436AF9DF" w14:textId="121595AA" w:rsidR="00EE32CD" w:rsidRDefault="00671015">
      <w:pPr>
        <w:pStyle w:val="TOC2"/>
        <w:rPr>
          <w:rFonts w:asciiTheme="minorHAnsi" w:eastAsiaTheme="minorEastAsia" w:hAnsiTheme="minorHAnsi" w:cstheme="minorBidi"/>
          <w:color w:val="auto"/>
          <w:sz w:val="22"/>
          <w:szCs w:val="22"/>
        </w:rPr>
      </w:pPr>
      <w:hyperlink w:anchor="_Toc75244054" w:history="1">
        <w:r w:rsidR="00EE32CD" w:rsidRPr="006F5091">
          <w:rPr>
            <w:rStyle w:val="Hyperlink"/>
          </w:rPr>
          <w:t>Operational costs</w:t>
        </w:r>
        <w:r w:rsidR="00EE32CD">
          <w:rPr>
            <w:webHidden/>
          </w:rPr>
          <w:tab/>
        </w:r>
        <w:r w:rsidR="00EE32CD">
          <w:rPr>
            <w:webHidden/>
          </w:rPr>
          <w:fldChar w:fldCharType="begin"/>
        </w:r>
        <w:r w:rsidR="00EE32CD">
          <w:rPr>
            <w:webHidden/>
          </w:rPr>
          <w:instrText xml:space="preserve"> PAGEREF _Toc75244054 \h </w:instrText>
        </w:r>
        <w:r w:rsidR="00EE32CD">
          <w:rPr>
            <w:webHidden/>
          </w:rPr>
        </w:r>
        <w:r w:rsidR="00EE32CD">
          <w:rPr>
            <w:webHidden/>
          </w:rPr>
          <w:fldChar w:fldCharType="separate"/>
        </w:r>
        <w:r w:rsidR="00D04DB1">
          <w:rPr>
            <w:webHidden/>
          </w:rPr>
          <w:t>11</w:t>
        </w:r>
        <w:r w:rsidR="00EE32CD">
          <w:rPr>
            <w:webHidden/>
          </w:rPr>
          <w:fldChar w:fldCharType="end"/>
        </w:r>
      </w:hyperlink>
    </w:p>
    <w:p w14:paraId="7A00B0B5" w14:textId="7152B16C" w:rsidR="00EE32CD" w:rsidRDefault="00671015">
      <w:pPr>
        <w:pStyle w:val="TOC1"/>
        <w:rPr>
          <w:rFonts w:asciiTheme="minorHAnsi" w:eastAsiaTheme="minorEastAsia" w:hAnsiTheme="minorHAnsi" w:cstheme="minorBidi"/>
          <w:b w:val="0"/>
          <w:caps w:val="0"/>
          <w:color w:val="auto"/>
          <w:sz w:val="22"/>
        </w:rPr>
      </w:pPr>
      <w:hyperlink w:anchor="_Toc75244055" w:history="1">
        <w:r w:rsidR="00EE32CD" w:rsidRPr="006F5091">
          <w:rPr>
            <w:rStyle w:val="Hyperlink"/>
          </w:rPr>
          <w:t>Chapter Two: The Foreign Investment Framework</w:t>
        </w:r>
        <w:r w:rsidR="00EE32CD">
          <w:rPr>
            <w:webHidden/>
          </w:rPr>
          <w:tab/>
        </w:r>
        <w:r w:rsidR="00EE32CD">
          <w:rPr>
            <w:webHidden/>
          </w:rPr>
          <w:fldChar w:fldCharType="begin"/>
        </w:r>
        <w:r w:rsidR="00EE32CD">
          <w:rPr>
            <w:webHidden/>
          </w:rPr>
          <w:instrText xml:space="preserve"> PAGEREF _Toc75244055 \h </w:instrText>
        </w:r>
        <w:r w:rsidR="00EE32CD">
          <w:rPr>
            <w:webHidden/>
          </w:rPr>
        </w:r>
        <w:r w:rsidR="00EE32CD">
          <w:rPr>
            <w:webHidden/>
          </w:rPr>
          <w:fldChar w:fldCharType="separate"/>
        </w:r>
        <w:r w:rsidR="00D04DB1">
          <w:rPr>
            <w:webHidden/>
          </w:rPr>
          <w:t>13</w:t>
        </w:r>
        <w:r w:rsidR="00EE32CD">
          <w:rPr>
            <w:webHidden/>
          </w:rPr>
          <w:fldChar w:fldCharType="end"/>
        </w:r>
      </w:hyperlink>
    </w:p>
    <w:p w14:paraId="078801A6" w14:textId="5B7D3233" w:rsidR="00EE32CD" w:rsidRDefault="00671015">
      <w:pPr>
        <w:pStyle w:val="TOC2"/>
        <w:rPr>
          <w:rFonts w:asciiTheme="minorHAnsi" w:eastAsiaTheme="minorEastAsia" w:hAnsiTheme="minorHAnsi" w:cstheme="minorBidi"/>
          <w:color w:val="auto"/>
          <w:sz w:val="22"/>
          <w:szCs w:val="22"/>
        </w:rPr>
      </w:pPr>
      <w:hyperlink w:anchor="_Toc75244056" w:history="1">
        <w:r w:rsidR="00EE32CD" w:rsidRPr="006F5091">
          <w:rPr>
            <w:rStyle w:val="Hyperlink"/>
          </w:rPr>
          <w:t>Foreign investment policies and priorities</w:t>
        </w:r>
        <w:r w:rsidR="00EE32CD">
          <w:rPr>
            <w:webHidden/>
          </w:rPr>
          <w:tab/>
        </w:r>
        <w:r w:rsidR="00EE32CD">
          <w:rPr>
            <w:webHidden/>
          </w:rPr>
          <w:fldChar w:fldCharType="begin"/>
        </w:r>
        <w:r w:rsidR="00EE32CD">
          <w:rPr>
            <w:webHidden/>
          </w:rPr>
          <w:instrText xml:space="preserve"> PAGEREF _Toc75244056 \h </w:instrText>
        </w:r>
        <w:r w:rsidR="00EE32CD">
          <w:rPr>
            <w:webHidden/>
          </w:rPr>
        </w:r>
        <w:r w:rsidR="00EE32CD">
          <w:rPr>
            <w:webHidden/>
          </w:rPr>
          <w:fldChar w:fldCharType="separate"/>
        </w:r>
        <w:r w:rsidR="00D04DB1">
          <w:rPr>
            <w:webHidden/>
          </w:rPr>
          <w:t>13</w:t>
        </w:r>
        <w:r w:rsidR="00EE32CD">
          <w:rPr>
            <w:webHidden/>
          </w:rPr>
          <w:fldChar w:fldCharType="end"/>
        </w:r>
      </w:hyperlink>
    </w:p>
    <w:p w14:paraId="07B3F461" w14:textId="0FC9F50E" w:rsidR="00EE32CD" w:rsidRDefault="00671015">
      <w:pPr>
        <w:pStyle w:val="TOC2"/>
        <w:rPr>
          <w:rFonts w:asciiTheme="minorHAnsi" w:eastAsiaTheme="minorEastAsia" w:hAnsiTheme="minorHAnsi" w:cstheme="minorBidi"/>
          <w:color w:val="auto"/>
          <w:sz w:val="22"/>
          <w:szCs w:val="22"/>
        </w:rPr>
      </w:pPr>
      <w:hyperlink w:anchor="_Toc75244057" w:history="1">
        <w:r w:rsidR="00EE32CD" w:rsidRPr="006F5091">
          <w:rPr>
            <w:rStyle w:val="Hyperlink"/>
          </w:rPr>
          <w:t>Key reports and inquiries</w:t>
        </w:r>
        <w:r w:rsidR="00EE32CD">
          <w:rPr>
            <w:webHidden/>
          </w:rPr>
          <w:tab/>
        </w:r>
        <w:r w:rsidR="00EE32CD">
          <w:rPr>
            <w:webHidden/>
          </w:rPr>
          <w:fldChar w:fldCharType="begin"/>
        </w:r>
        <w:r w:rsidR="00EE32CD">
          <w:rPr>
            <w:webHidden/>
          </w:rPr>
          <w:instrText xml:space="preserve"> PAGEREF _Toc75244057 \h </w:instrText>
        </w:r>
        <w:r w:rsidR="00EE32CD">
          <w:rPr>
            <w:webHidden/>
          </w:rPr>
        </w:r>
        <w:r w:rsidR="00EE32CD">
          <w:rPr>
            <w:webHidden/>
          </w:rPr>
          <w:fldChar w:fldCharType="separate"/>
        </w:r>
        <w:r w:rsidR="00D04DB1">
          <w:rPr>
            <w:webHidden/>
          </w:rPr>
          <w:t>18</w:t>
        </w:r>
        <w:r w:rsidR="00EE32CD">
          <w:rPr>
            <w:webHidden/>
          </w:rPr>
          <w:fldChar w:fldCharType="end"/>
        </w:r>
      </w:hyperlink>
    </w:p>
    <w:p w14:paraId="1DB2F41F" w14:textId="6AD2AF47" w:rsidR="00EE32CD" w:rsidRDefault="00671015">
      <w:pPr>
        <w:pStyle w:val="TOC1"/>
        <w:rPr>
          <w:rFonts w:asciiTheme="minorHAnsi" w:eastAsiaTheme="minorEastAsia" w:hAnsiTheme="minorHAnsi" w:cstheme="minorBidi"/>
          <w:b w:val="0"/>
          <w:caps w:val="0"/>
          <w:color w:val="auto"/>
          <w:sz w:val="22"/>
        </w:rPr>
      </w:pPr>
      <w:hyperlink w:anchor="_Toc75244058" w:history="1">
        <w:r w:rsidR="00EE32CD" w:rsidRPr="006F5091">
          <w:rPr>
            <w:rStyle w:val="Hyperlink"/>
          </w:rPr>
          <w:t>Chapter Three: Applications Data</w:t>
        </w:r>
        <w:r w:rsidR="00EE32CD">
          <w:rPr>
            <w:webHidden/>
          </w:rPr>
          <w:tab/>
        </w:r>
        <w:r w:rsidR="00EE32CD">
          <w:rPr>
            <w:webHidden/>
          </w:rPr>
          <w:fldChar w:fldCharType="begin"/>
        </w:r>
        <w:r w:rsidR="00EE32CD">
          <w:rPr>
            <w:webHidden/>
          </w:rPr>
          <w:instrText xml:space="preserve"> PAGEREF _Toc75244058 \h </w:instrText>
        </w:r>
        <w:r w:rsidR="00EE32CD">
          <w:rPr>
            <w:webHidden/>
          </w:rPr>
        </w:r>
        <w:r w:rsidR="00EE32CD">
          <w:rPr>
            <w:webHidden/>
          </w:rPr>
          <w:fldChar w:fldCharType="separate"/>
        </w:r>
        <w:r w:rsidR="00D04DB1">
          <w:rPr>
            <w:webHidden/>
          </w:rPr>
          <w:t>21</w:t>
        </w:r>
        <w:r w:rsidR="00EE32CD">
          <w:rPr>
            <w:webHidden/>
          </w:rPr>
          <w:fldChar w:fldCharType="end"/>
        </w:r>
      </w:hyperlink>
    </w:p>
    <w:p w14:paraId="754C1CA7" w14:textId="6DDC45F0" w:rsidR="00EE32CD" w:rsidRDefault="00671015">
      <w:pPr>
        <w:pStyle w:val="TOC2"/>
        <w:rPr>
          <w:rFonts w:asciiTheme="minorHAnsi" w:eastAsiaTheme="minorEastAsia" w:hAnsiTheme="minorHAnsi" w:cstheme="minorBidi"/>
          <w:color w:val="auto"/>
          <w:sz w:val="22"/>
          <w:szCs w:val="22"/>
        </w:rPr>
      </w:pPr>
      <w:hyperlink w:anchor="_Toc75244059" w:history="1">
        <w:r w:rsidR="00EE32CD" w:rsidRPr="006F5091">
          <w:rPr>
            <w:rStyle w:val="Hyperlink"/>
          </w:rPr>
          <w:t>Approvals Overview</w:t>
        </w:r>
        <w:r w:rsidR="00EE32CD">
          <w:rPr>
            <w:webHidden/>
          </w:rPr>
          <w:tab/>
        </w:r>
        <w:r w:rsidR="00EE32CD">
          <w:rPr>
            <w:webHidden/>
          </w:rPr>
          <w:fldChar w:fldCharType="begin"/>
        </w:r>
        <w:r w:rsidR="00EE32CD">
          <w:rPr>
            <w:webHidden/>
          </w:rPr>
          <w:instrText xml:space="preserve"> PAGEREF _Toc75244059 \h </w:instrText>
        </w:r>
        <w:r w:rsidR="00EE32CD">
          <w:rPr>
            <w:webHidden/>
          </w:rPr>
        </w:r>
        <w:r w:rsidR="00EE32CD">
          <w:rPr>
            <w:webHidden/>
          </w:rPr>
          <w:fldChar w:fldCharType="separate"/>
        </w:r>
        <w:r w:rsidR="00D04DB1">
          <w:rPr>
            <w:webHidden/>
          </w:rPr>
          <w:t>22</w:t>
        </w:r>
        <w:r w:rsidR="00EE32CD">
          <w:rPr>
            <w:webHidden/>
          </w:rPr>
          <w:fldChar w:fldCharType="end"/>
        </w:r>
      </w:hyperlink>
    </w:p>
    <w:p w14:paraId="03F4393E" w14:textId="18E37F26" w:rsidR="00EE32CD" w:rsidRDefault="00671015">
      <w:pPr>
        <w:pStyle w:val="TOC2"/>
        <w:rPr>
          <w:rFonts w:asciiTheme="minorHAnsi" w:eastAsiaTheme="minorEastAsia" w:hAnsiTheme="minorHAnsi" w:cstheme="minorBidi"/>
          <w:color w:val="auto"/>
          <w:sz w:val="22"/>
          <w:szCs w:val="22"/>
        </w:rPr>
      </w:pPr>
      <w:hyperlink w:anchor="_Toc75244060" w:history="1">
        <w:r w:rsidR="00EE32CD" w:rsidRPr="006F5091">
          <w:rPr>
            <w:rStyle w:val="Hyperlink"/>
          </w:rPr>
          <w:t>Approvals by industry sector</w:t>
        </w:r>
        <w:r w:rsidR="00EE32CD">
          <w:rPr>
            <w:webHidden/>
          </w:rPr>
          <w:tab/>
        </w:r>
        <w:r w:rsidR="00EE32CD">
          <w:rPr>
            <w:webHidden/>
          </w:rPr>
          <w:fldChar w:fldCharType="begin"/>
        </w:r>
        <w:r w:rsidR="00EE32CD">
          <w:rPr>
            <w:webHidden/>
          </w:rPr>
          <w:instrText xml:space="preserve"> PAGEREF _Toc75244060 \h </w:instrText>
        </w:r>
        <w:r w:rsidR="00EE32CD">
          <w:rPr>
            <w:webHidden/>
          </w:rPr>
        </w:r>
        <w:r w:rsidR="00EE32CD">
          <w:rPr>
            <w:webHidden/>
          </w:rPr>
          <w:fldChar w:fldCharType="separate"/>
        </w:r>
        <w:r w:rsidR="00D04DB1">
          <w:rPr>
            <w:webHidden/>
          </w:rPr>
          <w:t>26</w:t>
        </w:r>
        <w:r w:rsidR="00EE32CD">
          <w:rPr>
            <w:webHidden/>
          </w:rPr>
          <w:fldChar w:fldCharType="end"/>
        </w:r>
      </w:hyperlink>
    </w:p>
    <w:p w14:paraId="4B44BBB1" w14:textId="6E79090E" w:rsidR="00EE32CD" w:rsidRDefault="00671015">
      <w:pPr>
        <w:pStyle w:val="TOC2"/>
        <w:rPr>
          <w:rFonts w:asciiTheme="minorHAnsi" w:eastAsiaTheme="minorEastAsia" w:hAnsiTheme="minorHAnsi" w:cstheme="minorBidi"/>
          <w:color w:val="auto"/>
          <w:sz w:val="22"/>
          <w:szCs w:val="22"/>
        </w:rPr>
      </w:pPr>
      <w:hyperlink w:anchor="_Toc75244061" w:history="1">
        <w:r w:rsidR="00EE32CD" w:rsidRPr="006F5091">
          <w:rPr>
            <w:rStyle w:val="Hyperlink"/>
          </w:rPr>
          <w:t>New business approvals</w:t>
        </w:r>
        <w:r w:rsidR="00EE32CD">
          <w:rPr>
            <w:webHidden/>
          </w:rPr>
          <w:tab/>
        </w:r>
        <w:r w:rsidR="00EE32CD">
          <w:rPr>
            <w:webHidden/>
          </w:rPr>
          <w:fldChar w:fldCharType="begin"/>
        </w:r>
        <w:r w:rsidR="00EE32CD">
          <w:rPr>
            <w:webHidden/>
          </w:rPr>
          <w:instrText xml:space="preserve"> PAGEREF _Toc75244061 \h </w:instrText>
        </w:r>
        <w:r w:rsidR="00EE32CD">
          <w:rPr>
            <w:webHidden/>
          </w:rPr>
        </w:r>
        <w:r w:rsidR="00EE32CD">
          <w:rPr>
            <w:webHidden/>
          </w:rPr>
          <w:fldChar w:fldCharType="separate"/>
        </w:r>
        <w:r w:rsidR="00D04DB1">
          <w:rPr>
            <w:webHidden/>
          </w:rPr>
          <w:t>37</w:t>
        </w:r>
        <w:r w:rsidR="00EE32CD">
          <w:rPr>
            <w:webHidden/>
          </w:rPr>
          <w:fldChar w:fldCharType="end"/>
        </w:r>
      </w:hyperlink>
    </w:p>
    <w:p w14:paraId="26E149AC" w14:textId="7B89FEFA" w:rsidR="00EE32CD" w:rsidRDefault="00671015">
      <w:pPr>
        <w:pStyle w:val="TOC2"/>
        <w:rPr>
          <w:rFonts w:asciiTheme="minorHAnsi" w:eastAsiaTheme="minorEastAsia" w:hAnsiTheme="minorHAnsi" w:cstheme="minorBidi"/>
          <w:color w:val="auto"/>
          <w:sz w:val="22"/>
          <w:szCs w:val="22"/>
        </w:rPr>
      </w:pPr>
      <w:hyperlink w:anchor="_Toc75244062" w:history="1">
        <w:r w:rsidR="00EE32CD" w:rsidRPr="006F5091">
          <w:rPr>
            <w:rStyle w:val="Hyperlink"/>
          </w:rPr>
          <w:t>Investor countries</w:t>
        </w:r>
        <w:r w:rsidR="00EE32CD">
          <w:rPr>
            <w:webHidden/>
          </w:rPr>
          <w:tab/>
        </w:r>
        <w:r w:rsidR="00EE32CD">
          <w:rPr>
            <w:webHidden/>
          </w:rPr>
          <w:fldChar w:fldCharType="begin"/>
        </w:r>
        <w:r w:rsidR="00EE32CD">
          <w:rPr>
            <w:webHidden/>
          </w:rPr>
          <w:instrText xml:space="preserve"> PAGEREF _Toc75244062 \h </w:instrText>
        </w:r>
        <w:r w:rsidR="00EE32CD">
          <w:rPr>
            <w:webHidden/>
          </w:rPr>
        </w:r>
        <w:r w:rsidR="00EE32CD">
          <w:rPr>
            <w:webHidden/>
          </w:rPr>
          <w:fldChar w:fldCharType="separate"/>
        </w:r>
        <w:r w:rsidR="00D04DB1">
          <w:rPr>
            <w:webHidden/>
          </w:rPr>
          <w:t>37</w:t>
        </w:r>
        <w:r w:rsidR="00EE32CD">
          <w:rPr>
            <w:webHidden/>
          </w:rPr>
          <w:fldChar w:fldCharType="end"/>
        </w:r>
      </w:hyperlink>
    </w:p>
    <w:p w14:paraId="2BD41331" w14:textId="59CC1971" w:rsidR="00EE32CD" w:rsidRDefault="00671015">
      <w:pPr>
        <w:pStyle w:val="TOC2"/>
        <w:rPr>
          <w:rFonts w:asciiTheme="minorHAnsi" w:eastAsiaTheme="minorEastAsia" w:hAnsiTheme="minorHAnsi" w:cstheme="minorBidi"/>
          <w:color w:val="auto"/>
          <w:sz w:val="22"/>
          <w:szCs w:val="22"/>
        </w:rPr>
      </w:pPr>
      <w:hyperlink w:anchor="_Toc75244063" w:history="1">
        <w:r w:rsidR="00EE32CD" w:rsidRPr="006F5091">
          <w:rPr>
            <w:rStyle w:val="Hyperlink"/>
          </w:rPr>
          <w:t>Variations</w:t>
        </w:r>
        <w:r w:rsidR="00EE32CD">
          <w:rPr>
            <w:webHidden/>
          </w:rPr>
          <w:tab/>
        </w:r>
        <w:r w:rsidR="00EE32CD">
          <w:rPr>
            <w:webHidden/>
          </w:rPr>
          <w:fldChar w:fldCharType="begin"/>
        </w:r>
        <w:r w:rsidR="00EE32CD">
          <w:rPr>
            <w:webHidden/>
          </w:rPr>
          <w:instrText xml:space="preserve"> PAGEREF _Toc75244063 \h </w:instrText>
        </w:r>
        <w:r w:rsidR="00EE32CD">
          <w:rPr>
            <w:webHidden/>
          </w:rPr>
        </w:r>
        <w:r w:rsidR="00EE32CD">
          <w:rPr>
            <w:webHidden/>
          </w:rPr>
          <w:fldChar w:fldCharType="separate"/>
        </w:r>
        <w:r w:rsidR="00D04DB1">
          <w:rPr>
            <w:webHidden/>
          </w:rPr>
          <w:t>40</w:t>
        </w:r>
        <w:r w:rsidR="00EE32CD">
          <w:rPr>
            <w:webHidden/>
          </w:rPr>
          <w:fldChar w:fldCharType="end"/>
        </w:r>
      </w:hyperlink>
    </w:p>
    <w:p w14:paraId="01F11220" w14:textId="3B2B1A0C" w:rsidR="00EE32CD" w:rsidRDefault="00671015">
      <w:pPr>
        <w:pStyle w:val="TOC2"/>
        <w:rPr>
          <w:rFonts w:asciiTheme="minorHAnsi" w:eastAsiaTheme="minorEastAsia" w:hAnsiTheme="minorHAnsi" w:cstheme="minorBidi"/>
          <w:color w:val="auto"/>
          <w:sz w:val="22"/>
          <w:szCs w:val="22"/>
        </w:rPr>
      </w:pPr>
      <w:hyperlink w:anchor="_Toc75244064" w:history="1">
        <w:r w:rsidR="00EE32CD" w:rsidRPr="006F5091">
          <w:rPr>
            <w:rStyle w:val="Hyperlink"/>
          </w:rPr>
          <w:t>Vacancy fees</w:t>
        </w:r>
        <w:r w:rsidR="00EE32CD">
          <w:rPr>
            <w:webHidden/>
          </w:rPr>
          <w:tab/>
        </w:r>
        <w:r w:rsidR="00EE32CD">
          <w:rPr>
            <w:webHidden/>
          </w:rPr>
          <w:fldChar w:fldCharType="begin"/>
        </w:r>
        <w:r w:rsidR="00EE32CD">
          <w:rPr>
            <w:webHidden/>
          </w:rPr>
          <w:instrText xml:space="preserve"> PAGEREF _Toc75244064 \h </w:instrText>
        </w:r>
        <w:r w:rsidR="00EE32CD">
          <w:rPr>
            <w:webHidden/>
          </w:rPr>
        </w:r>
        <w:r w:rsidR="00EE32CD">
          <w:rPr>
            <w:webHidden/>
          </w:rPr>
          <w:fldChar w:fldCharType="separate"/>
        </w:r>
        <w:r w:rsidR="00D04DB1">
          <w:rPr>
            <w:webHidden/>
          </w:rPr>
          <w:t>43</w:t>
        </w:r>
        <w:r w:rsidR="00EE32CD">
          <w:rPr>
            <w:webHidden/>
          </w:rPr>
          <w:fldChar w:fldCharType="end"/>
        </w:r>
      </w:hyperlink>
    </w:p>
    <w:p w14:paraId="18510881" w14:textId="4878F52F" w:rsidR="00EE32CD" w:rsidRDefault="00671015">
      <w:pPr>
        <w:pStyle w:val="TOC2"/>
        <w:rPr>
          <w:rFonts w:asciiTheme="minorHAnsi" w:eastAsiaTheme="minorEastAsia" w:hAnsiTheme="minorHAnsi" w:cstheme="minorBidi"/>
          <w:color w:val="auto"/>
          <w:sz w:val="22"/>
          <w:szCs w:val="22"/>
        </w:rPr>
      </w:pPr>
      <w:hyperlink w:anchor="_Toc75244065" w:history="1">
        <w:r w:rsidR="00EE32CD" w:rsidRPr="006F5091">
          <w:rPr>
            <w:rStyle w:val="Hyperlink"/>
          </w:rPr>
          <w:t>Foreign investment fee collections</w:t>
        </w:r>
        <w:r w:rsidR="00EE32CD">
          <w:rPr>
            <w:webHidden/>
          </w:rPr>
          <w:tab/>
        </w:r>
        <w:r w:rsidR="00EE32CD">
          <w:rPr>
            <w:webHidden/>
          </w:rPr>
          <w:fldChar w:fldCharType="begin"/>
        </w:r>
        <w:r w:rsidR="00EE32CD">
          <w:rPr>
            <w:webHidden/>
          </w:rPr>
          <w:instrText xml:space="preserve"> PAGEREF _Toc75244065 \h </w:instrText>
        </w:r>
        <w:r w:rsidR="00EE32CD">
          <w:rPr>
            <w:webHidden/>
          </w:rPr>
        </w:r>
        <w:r w:rsidR="00EE32CD">
          <w:rPr>
            <w:webHidden/>
          </w:rPr>
          <w:fldChar w:fldCharType="separate"/>
        </w:r>
        <w:r w:rsidR="00D04DB1">
          <w:rPr>
            <w:webHidden/>
          </w:rPr>
          <w:t>44</w:t>
        </w:r>
        <w:r w:rsidR="00EE32CD">
          <w:rPr>
            <w:webHidden/>
          </w:rPr>
          <w:fldChar w:fldCharType="end"/>
        </w:r>
      </w:hyperlink>
    </w:p>
    <w:p w14:paraId="77BFFD27" w14:textId="62E4A1A5" w:rsidR="00EE32CD" w:rsidRDefault="00671015">
      <w:pPr>
        <w:pStyle w:val="TOC1"/>
        <w:rPr>
          <w:rFonts w:asciiTheme="minorHAnsi" w:eastAsiaTheme="minorEastAsia" w:hAnsiTheme="minorHAnsi" w:cstheme="minorBidi"/>
          <w:b w:val="0"/>
          <w:caps w:val="0"/>
          <w:color w:val="auto"/>
          <w:sz w:val="22"/>
        </w:rPr>
      </w:pPr>
      <w:hyperlink w:anchor="_Toc75244066" w:history="1">
        <w:r w:rsidR="00EE32CD" w:rsidRPr="006F5091">
          <w:rPr>
            <w:rStyle w:val="Hyperlink"/>
          </w:rPr>
          <w:t>Chapter Four: Compliance</w:t>
        </w:r>
        <w:r w:rsidR="00EE32CD">
          <w:rPr>
            <w:webHidden/>
          </w:rPr>
          <w:tab/>
        </w:r>
        <w:r w:rsidR="00EE32CD">
          <w:rPr>
            <w:webHidden/>
          </w:rPr>
          <w:fldChar w:fldCharType="begin"/>
        </w:r>
        <w:r w:rsidR="00EE32CD">
          <w:rPr>
            <w:webHidden/>
          </w:rPr>
          <w:instrText xml:space="preserve"> PAGEREF _Toc75244066 \h </w:instrText>
        </w:r>
        <w:r w:rsidR="00EE32CD">
          <w:rPr>
            <w:webHidden/>
          </w:rPr>
        </w:r>
        <w:r w:rsidR="00EE32CD">
          <w:rPr>
            <w:webHidden/>
          </w:rPr>
          <w:fldChar w:fldCharType="separate"/>
        </w:r>
        <w:r w:rsidR="00D04DB1">
          <w:rPr>
            <w:webHidden/>
          </w:rPr>
          <w:t>45</w:t>
        </w:r>
        <w:r w:rsidR="00EE32CD">
          <w:rPr>
            <w:webHidden/>
          </w:rPr>
          <w:fldChar w:fldCharType="end"/>
        </w:r>
      </w:hyperlink>
    </w:p>
    <w:p w14:paraId="1B5FAC2B" w14:textId="1E66B346" w:rsidR="00EE32CD" w:rsidRDefault="00671015">
      <w:pPr>
        <w:pStyle w:val="TOC2"/>
        <w:rPr>
          <w:rFonts w:asciiTheme="minorHAnsi" w:eastAsiaTheme="minorEastAsia" w:hAnsiTheme="minorHAnsi" w:cstheme="minorBidi"/>
          <w:color w:val="auto"/>
          <w:sz w:val="22"/>
          <w:szCs w:val="22"/>
        </w:rPr>
      </w:pPr>
      <w:hyperlink w:anchor="_Toc75244067" w:history="1">
        <w:r w:rsidR="00EE32CD" w:rsidRPr="006F5091">
          <w:rPr>
            <w:rStyle w:val="Hyperlink"/>
          </w:rPr>
          <w:t>Compliance approach</w:t>
        </w:r>
        <w:r w:rsidR="00EE32CD">
          <w:rPr>
            <w:webHidden/>
          </w:rPr>
          <w:tab/>
        </w:r>
        <w:r w:rsidR="00EE32CD">
          <w:rPr>
            <w:webHidden/>
          </w:rPr>
          <w:fldChar w:fldCharType="begin"/>
        </w:r>
        <w:r w:rsidR="00EE32CD">
          <w:rPr>
            <w:webHidden/>
          </w:rPr>
          <w:instrText xml:space="preserve"> PAGEREF _Toc75244067 \h </w:instrText>
        </w:r>
        <w:r w:rsidR="00EE32CD">
          <w:rPr>
            <w:webHidden/>
          </w:rPr>
        </w:r>
        <w:r w:rsidR="00EE32CD">
          <w:rPr>
            <w:webHidden/>
          </w:rPr>
          <w:fldChar w:fldCharType="separate"/>
        </w:r>
        <w:r w:rsidR="00D04DB1">
          <w:rPr>
            <w:webHidden/>
          </w:rPr>
          <w:t>45</w:t>
        </w:r>
        <w:r w:rsidR="00EE32CD">
          <w:rPr>
            <w:webHidden/>
          </w:rPr>
          <w:fldChar w:fldCharType="end"/>
        </w:r>
      </w:hyperlink>
    </w:p>
    <w:p w14:paraId="405CAFC8" w14:textId="24AA6CBE" w:rsidR="00EE32CD" w:rsidRDefault="00671015">
      <w:pPr>
        <w:pStyle w:val="TOC2"/>
        <w:rPr>
          <w:rFonts w:asciiTheme="minorHAnsi" w:eastAsiaTheme="minorEastAsia" w:hAnsiTheme="minorHAnsi" w:cstheme="minorBidi"/>
          <w:color w:val="auto"/>
          <w:sz w:val="22"/>
          <w:szCs w:val="22"/>
        </w:rPr>
      </w:pPr>
      <w:hyperlink w:anchor="_Toc75244068" w:history="1">
        <w:r w:rsidR="00EE32CD" w:rsidRPr="006F5091">
          <w:rPr>
            <w:rStyle w:val="Hyperlink"/>
          </w:rPr>
          <w:t>Treasury’s compliance activities</w:t>
        </w:r>
        <w:r w:rsidR="00EE32CD">
          <w:rPr>
            <w:webHidden/>
          </w:rPr>
          <w:tab/>
        </w:r>
        <w:r w:rsidR="00EE32CD">
          <w:rPr>
            <w:webHidden/>
          </w:rPr>
          <w:fldChar w:fldCharType="begin"/>
        </w:r>
        <w:r w:rsidR="00EE32CD">
          <w:rPr>
            <w:webHidden/>
          </w:rPr>
          <w:instrText xml:space="preserve"> PAGEREF _Toc75244068 \h </w:instrText>
        </w:r>
        <w:r w:rsidR="00EE32CD">
          <w:rPr>
            <w:webHidden/>
          </w:rPr>
        </w:r>
        <w:r w:rsidR="00EE32CD">
          <w:rPr>
            <w:webHidden/>
          </w:rPr>
          <w:fldChar w:fldCharType="separate"/>
        </w:r>
        <w:r w:rsidR="00D04DB1">
          <w:rPr>
            <w:webHidden/>
          </w:rPr>
          <w:t>45</w:t>
        </w:r>
        <w:r w:rsidR="00EE32CD">
          <w:rPr>
            <w:webHidden/>
          </w:rPr>
          <w:fldChar w:fldCharType="end"/>
        </w:r>
      </w:hyperlink>
    </w:p>
    <w:p w14:paraId="3ED07468" w14:textId="4A634BE8" w:rsidR="00EE32CD" w:rsidRDefault="00671015">
      <w:pPr>
        <w:pStyle w:val="TOC2"/>
        <w:rPr>
          <w:rFonts w:asciiTheme="minorHAnsi" w:eastAsiaTheme="minorEastAsia" w:hAnsiTheme="minorHAnsi" w:cstheme="minorBidi"/>
          <w:color w:val="auto"/>
          <w:sz w:val="22"/>
          <w:szCs w:val="22"/>
        </w:rPr>
      </w:pPr>
      <w:hyperlink w:anchor="_Toc75244069" w:history="1">
        <w:r w:rsidR="00EE32CD" w:rsidRPr="006F5091">
          <w:rPr>
            <w:rStyle w:val="Hyperlink"/>
          </w:rPr>
          <w:t>ATO’s residential real estate compliance activities</w:t>
        </w:r>
        <w:r w:rsidR="00EE32CD">
          <w:rPr>
            <w:webHidden/>
          </w:rPr>
          <w:tab/>
        </w:r>
        <w:r w:rsidR="00EE32CD">
          <w:rPr>
            <w:webHidden/>
          </w:rPr>
          <w:fldChar w:fldCharType="begin"/>
        </w:r>
        <w:r w:rsidR="00EE32CD">
          <w:rPr>
            <w:webHidden/>
          </w:rPr>
          <w:instrText xml:space="preserve"> PAGEREF _Toc75244069 \h </w:instrText>
        </w:r>
        <w:r w:rsidR="00EE32CD">
          <w:rPr>
            <w:webHidden/>
          </w:rPr>
        </w:r>
        <w:r w:rsidR="00EE32CD">
          <w:rPr>
            <w:webHidden/>
          </w:rPr>
          <w:fldChar w:fldCharType="separate"/>
        </w:r>
        <w:r w:rsidR="00D04DB1">
          <w:rPr>
            <w:webHidden/>
          </w:rPr>
          <w:t>48</w:t>
        </w:r>
        <w:r w:rsidR="00EE32CD">
          <w:rPr>
            <w:webHidden/>
          </w:rPr>
          <w:fldChar w:fldCharType="end"/>
        </w:r>
      </w:hyperlink>
    </w:p>
    <w:p w14:paraId="5E0E9112" w14:textId="37BF4497" w:rsidR="00EE32CD" w:rsidRDefault="00671015">
      <w:pPr>
        <w:pStyle w:val="TOC1"/>
        <w:rPr>
          <w:rFonts w:asciiTheme="minorHAnsi" w:eastAsiaTheme="minorEastAsia" w:hAnsiTheme="minorHAnsi" w:cstheme="minorBidi"/>
          <w:b w:val="0"/>
          <w:caps w:val="0"/>
          <w:color w:val="auto"/>
          <w:sz w:val="22"/>
        </w:rPr>
      </w:pPr>
      <w:hyperlink w:anchor="_Toc75244070" w:history="1">
        <w:r w:rsidR="00EE32CD" w:rsidRPr="006F5091">
          <w:rPr>
            <w:rStyle w:val="Hyperlink"/>
          </w:rPr>
          <w:t>Appendix A: Board Meetings during 2019</w:t>
        </w:r>
        <w:r w:rsidR="00EE32CD" w:rsidRPr="006F5091">
          <w:rPr>
            <w:rStyle w:val="Hyperlink"/>
          </w:rPr>
          <w:noBreakHyphen/>
          <w:t>20</w:t>
        </w:r>
        <w:r w:rsidR="00EE32CD">
          <w:rPr>
            <w:webHidden/>
          </w:rPr>
          <w:tab/>
        </w:r>
        <w:r w:rsidR="00EE32CD">
          <w:rPr>
            <w:webHidden/>
          </w:rPr>
          <w:fldChar w:fldCharType="begin"/>
        </w:r>
        <w:r w:rsidR="00EE32CD">
          <w:rPr>
            <w:webHidden/>
          </w:rPr>
          <w:instrText xml:space="preserve"> PAGEREF _Toc75244070 \h </w:instrText>
        </w:r>
        <w:r w:rsidR="00EE32CD">
          <w:rPr>
            <w:webHidden/>
          </w:rPr>
        </w:r>
        <w:r w:rsidR="00EE32CD">
          <w:rPr>
            <w:webHidden/>
          </w:rPr>
          <w:fldChar w:fldCharType="separate"/>
        </w:r>
        <w:r w:rsidR="00D04DB1">
          <w:rPr>
            <w:webHidden/>
          </w:rPr>
          <w:t>53</w:t>
        </w:r>
        <w:r w:rsidR="00EE32CD">
          <w:rPr>
            <w:webHidden/>
          </w:rPr>
          <w:fldChar w:fldCharType="end"/>
        </w:r>
      </w:hyperlink>
    </w:p>
    <w:p w14:paraId="6FE050D4" w14:textId="70B27DE7" w:rsidR="00EE32CD" w:rsidRDefault="00671015">
      <w:pPr>
        <w:pStyle w:val="TOC1"/>
        <w:rPr>
          <w:rFonts w:asciiTheme="minorHAnsi" w:eastAsiaTheme="minorEastAsia" w:hAnsiTheme="minorHAnsi" w:cstheme="minorBidi"/>
          <w:b w:val="0"/>
          <w:caps w:val="0"/>
          <w:color w:val="auto"/>
          <w:sz w:val="22"/>
        </w:rPr>
      </w:pPr>
      <w:hyperlink w:anchor="_Toc75244071" w:history="1">
        <w:r w:rsidR="00EE32CD" w:rsidRPr="006F5091">
          <w:rPr>
            <w:rStyle w:val="Hyperlink"/>
          </w:rPr>
          <w:t>Appendix B: Methodological and data caveats</w:t>
        </w:r>
        <w:r w:rsidR="00EE32CD">
          <w:rPr>
            <w:webHidden/>
          </w:rPr>
          <w:tab/>
        </w:r>
        <w:r w:rsidR="00EE32CD">
          <w:rPr>
            <w:webHidden/>
          </w:rPr>
          <w:fldChar w:fldCharType="begin"/>
        </w:r>
        <w:r w:rsidR="00EE32CD">
          <w:rPr>
            <w:webHidden/>
          </w:rPr>
          <w:instrText xml:space="preserve"> PAGEREF _Toc75244071 \h </w:instrText>
        </w:r>
        <w:r w:rsidR="00EE32CD">
          <w:rPr>
            <w:webHidden/>
          </w:rPr>
        </w:r>
        <w:r w:rsidR="00EE32CD">
          <w:rPr>
            <w:webHidden/>
          </w:rPr>
          <w:fldChar w:fldCharType="separate"/>
        </w:r>
        <w:r w:rsidR="00D04DB1">
          <w:rPr>
            <w:webHidden/>
          </w:rPr>
          <w:t>55</w:t>
        </w:r>
        <w:r w:rsidR="00EE32CD">
          <w:rPr>
            <w:webHidden/>
          </w:rPr>
          <w:fldChar w:fldCharType="end"/>
        </w:r>
      </w:hyperlink>
    </w:p>
    <w:p w14:paraId="0B89C76F" w14:textId="11E30626" w:rsidR="00EE32CD" w:rsidRDefault="00671015">
      <w:pPr>
        <w:pStyle w:val="TOC2"/>
        <w:rPr>
          <w:rFonts w:asciiTheme="minorHAnsi" w:eastAsiaTheme="minorEastAsia" w:hAnsiTheme="minorHAnsi" w:cstheme="minorBidi"/>
          <w:color w:val="auto"/>
          <w:sz w:val="22"/>
          <w:szCs w:val="22"/>
        </w:rPr>
      </w:pPr>
      <w:hyperlink w:anchor="_Toc75244072" w:history="1">
        <w:r w:rsidR="00EE32CD" w:rsidRPr="006F5091">
          <w:rPr>
            <w:rStyle w:val="Hyperlink"/>
          </w:rPr>
          <w:t>Methodological Overview</w:t>
        </w:r>
        <w:r w:rsidR="00EE32CD">
          <w:rPr>
            <w:webHidden/>
          </w:rPr>
          <w:tab/>
        </w:r>
        <w:r w:rsidR="00EE32CD">
          <w:rPr>
            <w:webHidden/>
          </w:rPr>
          <w:fldChar w:fldCharType="begin"/>
        </w:r>
        <w:r w:rsidR="00EE32CD">
          <w:rPr>
            <w:webHidden/>
          </w:rPr>
          <w:instrText xml:space="preserve"> PAGEREF _Toc75244072 \h </w:instrText>
        </w:r>
        <w:r w:rsidR="00EE32CD">
          <w:rPr>
            <w:webHidden/>
          </w:rPr>
        </w:r>
        <w:r w:rsidR="00EE32CD">
          <w:rPr>
            <w:webHidden/>
          </w:rPr>
          <w:fldChar w:fldCharType="separate"/>
        </w:r>
        <w:r w:rsidR="00D04DB1">
          <w:rPr>
            <w:webHidden/>
          </w:rPr>
          <w:t>55</w:t>
        </w:r>
        <w:r w:rsidR="00EE32CD">
          <w:rPr>
            <w:webHidden/>
          </w:rPr>
          <w:fldChar w:fldCharType="end"/>
        </w:r>
      </w:hyperlink>
    </w:p>
    <w:p w14:paraId="3FB4AEE3" w14:textId="4FEFFA9B" w:rsidR="00EE32CD" w:rsidRDefault="00671015">
      <w:pPr>
        <w:pStyle w:val="TOC2"/>
        <w:rPr>
          <w:rFonts w:asciiTheme="minorHAnsi" w:eastAsiaTheme="minorEastAsia" w:hAnsiTheme="minorHAnsi" w:cstheme="minorBidi"/>
          <w:color w:val="auto"/>
          <w:sz w:val="22"/>
          <w:szCs w:val="22"/>
        </w:rPr>
      </w:pPr>
      <w:hyperlink w:anchor="_Toc75244073" w:history="1">
        <w:r w:rsidR="00EE32CD" w:rsidRPr="006F5091">
          <w:rPr>
            <w:rStyle w:val="Hyperlink"/>
          </w:rPr>
          <w:t>General Caveats</w:t>
        </w:r>
        <w:r w:rsidR="00EE32CD">
          <w:rPr>
            <w:webHidden/>
          </w:rPr>
          <w:tab/>
        </w:r>
        <w:r w:rsidR="00EE32CD">
          <w:rPr>
            <w:webHidden/>
          </w:rPr>
          <w:fldChar w:fldCharType="begin"/>
        </w:r>
        <w:r w:rsidR="00EE32CD">
          <w:rPr>
            <w:webHidden/>
          </w:rPr>
          <w:instrText xml:space="preserve"> PAGEREF _Toc75244073 \h </w:instrText>
        </w:r>
        <w:r w:rsidR="00EE32CD">
          <w:rPr>
            <w:webHidden/>
          </w:rPr>
        </w:r>
        <w:r w:rsidR="00EE32CD">
          <w:rPr>
            <w:webHidden/>
          </w:rPr>
          <w:fldChar w:fldCharType="separate"/>
        </w:r>
        <w:r w:rsidR="00D04DB1">
          <w:rPr>
            <w:webHidden/>
          </w:rPr>
          <w:t>56</w:t>
        </w:r>
        <w:r w:rsidR="00EE32CD">
          <w:rPr>
            <w:webHidden/>
          </w:rPr>
          <w:fldChar w:fldCharType="end"/>
        </w:r>
      </w:hyperlink>
    </w:p>
    <w:p w14:paraId="11A611D6" w14:textId="4A78CB11" w:rsidR="00EE32CD" w:rsidRDefault="00671015">
      <w:pPr>
        <w:pStyle w:val="TOC2"/>
        <w:rPr>
          <w:rFonts w:asciiTheme="minorHAnsi" w:eastAsiaTheme="minorEastAsia" w:hAnsiTheme="minorHAnsi" w:cstheme="minorBidi"/>
          <w:color w:val="auto"/>
          <w:sz w:val="22"/>
          <w:szCs w:val="22"/>
        </w:rPr>
      </w:pPr>
      <w:hyperlink w:anchor="_Toc75244074" w:history="1">
        <w:r w:rsidR="00EE32CD" w:rsidRPr="006F5091">
          <w:rPr>
            <w:rStyle w:val="Hyperlink"/>
          </w:rPr>
          <w:t>Policy Changes</w:t>
        </w:r>
        <w:r w:rsidR="00EE32CD">
          <w:rPr>
            <w:webHidden/>
          </w:rPr>
          <w:tab/>
        </w:r>
        <w:r w:rsidR="00EE32CD">
          <w:rPr>
            <w:webHidden/>
          </w:rPr>
          <w:fldChar w:fldCharType="begin"/>
        </w:r>
        <w:r w:rsidR="00EE32CD">
          <w:rPr>
            <w:webHidden/>
          </w:rPr>
          <w:instrText xml:space="preserve"> PAGEREF _Toc75244074 \h </w:instrText>
        </w:r>
        <w:r w:rsidR="00EE32CD">
          <w:rPr>
            <w:webHidden/>
          </w:rPr>
        </w:r>
        <w:r w:rsidR="00EE32CD">
          <w:rPr>
            <w:webHidden/>
          </w:rPr>
          <w:fldChar w:fldCharType="separate"/>
        </w:r>
        <w:r w:rsidR="00D04DB1">
          <w:rPr>
            <w:webHidden/>
          </w:rPr>
          <w:t>59</w:t>
        </w:r>
        <w:r w:rsidR="00EE32CD">
          <w:rPr>
            <w:webHidden/>
          </w:rPr>
          <w:fldChar w:fldCharType="end"/>
        </w:r>
      </w:hyperlink>
    </w:p>
    <w:p w14:paraId="2B06EA47" w14:textId="54FB7690" w:rsidR="00EE32CD" w:rsidRDefault="00671015">
      <w:pPr>
        <w:pStyle w:val="TOC1"/>
        <w:rPr>
          <w:rFonts w:asciiTheme="minorHAnsi" w:eastAsiaTheme="minorEastAsia" w:hAnsiTheme="minorHAnsi" w:cstheme="minorBidi"/>
          <w:b w:val="0"/>
          <w:caps w:val="0"/>
          <w:color w:val="auto"/>
          <w:sz w:val="22"/>
        </w:rPr>
      </w:pPr>
      <w:hyperlink w:anchor="_Toc75244075" w:history="1">
        <w:r w:rsidR="00EE32CD" w:rsidRPr="006F5091">
          <w:rPr>
            <w:rStyle w:val="Hyperlink"/>
          </w:rPr>
          <w:t>Appendix C: Examination and Approval Process</w:t>
        </w:r>
        <w:r w:rsidR="00EE32CD">
          <w:rPr>
            <w:webHidden/>
          </w:rPr>
          <w:tab/>
        </w:r>
        <w:r w:rsidR="00EE32CD">
          <w:rPr>
            <w:webHidden/>
          </w:rPr>
          <w:fldChar w:fldCharType="begin"/>
        </w:r>
        <w:r w:rsidR="00EE32CD">
          <w:rPr>
            <w:webHidden/>
          </w:rPr>
          <w:instrText xml:space="preserve"> PAGEREF _Toc75244075 \h </w:instrText>
        </w:r>
        <w:r w:rsidR="00EE32CD">
          <w:rPr>
            <w:webHidden/>
          </w:rPr>
        </w:r>
        <w:r w:rsidR="00EE32CD">
          <w:rPr>
            <w:webHidden/>
          </w:rPr>
          <w:fldChar w:fldCharType="separate"/>
        </w:r>
        <w:r w:rsidR="00D04DB1">
          <w:rPr>
            <w:webHidden/>
          </w:rPr>
          <w:t>61</w:t>
        </w:r>
        <w:r w:rsidR="00EE32CD">
          <w:rPr>
            <w:webHidden/>
          </w:rPr>
          <w:fldChar w:fldCharType="end"/>
        </w:r>
      </w:hyperlink>
    </w:p>
    <w:p w14:paraId="43566DB9" w14:textId="7E958D65" w:rsidR="00EE32CD" w:rsidRDefault="00671015">
      <w:pPr>
        <w:pStyle w:val="TOC2"/>
        <w:rPr>
          <w:rFonts w:asciiTheme="minorHAnsi" w:eastAsiaTheme="minorEastAsia" w:hAnsiTheme="minorHAnsi" w:cstheme="minorBidi"/>
          <w:color w:val="auto"/>
          <w:sz w:val="22"/>
          <w:szCs w:val="22"/>
        </w:rPr>
      </w:pPr>
      <w:hyperlink w:anchor="_Toc75244076" w:history="1">
        <w:r w:rsidR="00EE32CD" w:rsidRPr="006F5091">
          <w:rPr>
            <w:rStyle w:val="Hyperlink"/>
          </w:rPr>
          <w:t>Board involvement</w:t>
        </w:r>
        <w:r w:rsidR="00EE32CD">
          <w:rPr>
            <w:webHidden/>
          </w:rPr>
          <w:tab/>
        </w:r>
        <w:r w:rsidR="00EE32CD">
          <w:rPr>
            <w:webHidden/>
          </w:rPr>
          <w:fldChar w:fldCharType="begin"/>
        </w:r>
        <w:r w:rsidR="00EE32CD">
          <w:rPr>
            <w:webHidden/>
          </w:rPr>
          <w:instrText xml:space="preserve"> PAGEREF _Toc75244076 \h </w:instrText>
        </w:r>
        <w:r w:rsidR="00EE32CD">
          <w:rPr>
            <w:webHidden/>
          </w:rPr>
        </w:r>
        <w:r w:rsidR="00EE32CD">
          <w:rPr>
            <w:webHidden/>
          </w:rPr>
          <w:fldChar w:fldCharType="separate"/>
        </w:r>
        <w:r w:rsidR="00D04DB1">
          <w:rPr>
            <w:webHidden/>
          </w:rPr>
          <w:t>61</w:t>
        </w:r>
        <w:r w:rsidR="00EE32CD">
          <w:rPr>
            <w:webHidden/>
          </w:rPr>
          <w:fldChar w:fldCharType="end"/>
        </w:r>
      </w:hyperlink>
    </w:p>
    <w:p w14:paraId="65BC3A6E" w14:textId="1F2966D6" w:rsidR="00EE32CD" w:rsidRDefault="00671015">
      <w:pPr>
        <w:pStyle w:val="TOC2"/>
        <w:rPr>
          <w:rFonts w:asciiTheme="minorHAnsi" w:eastAsiaTheme="minorEastAsia" w:hAnsiTheme="minorHAnsi" w:cstheme="minorBidi"/>
          <w:color w:val="auto"/>
          <w:sz w:val="22"/>
          <w:szCs w:val="22"/>
        </w:rPr>
      </w:pPr>
      <w:hyperlink w:anchor="_Toc75244077" w:history="1">
        <w:r w:rsidR="00EE32CD" w:rsidRPr="006F5091">
          <w:rPr>
            <w:rStyle w:val="Hyperlink"/>
          </w:rPr>
          <w:t>Handling of commercially sensitive and personal information</w:t>
        </w:r>
        <w:r w:rsidR="00EE32CD">
          <w:rPr>
            <w:webHidden/>
          </w:rPr>
          <w:tab/>
        </w:r>
        <w:r w:rsidR="00EE32CD">
          <w:rPr>
            <w:webHidden/>
          </w:rPr>
          <w:fldChar w:fldCharType="begin"/>
        </w:r>
        <w:r w:rsidR="00EE32CD">
          <w:rPr>
            <w:webHidden/>
          </w:rPr>
          <w:instrText xml:space="preserve"> PAGEREF _Toc75244077 \h </w:instrText>
        </w:r>
        <w:r w:rsidR="00EE32CD">
          <w:rPr>
            <w:webHidden/>
          </w:rPr>
        </w:r>
        <w:r w:rsidR="00EE32CD">
          <w:rPr>
            <w:webHidden/>
          </w:rPr>
          <w:fldChar w:fldCharType="separate"/>
        </w:r>
        <w:r w:rsidR="00D04DB1">
          <w:rPr>
            <w:webHidden/>
          </w:rPr>
          <w:t>61</w:t>
        </w:r>
        <w:r w:rsidR="00EE32CD">
          <w:rPr>
            <w:webHidden/>
          </w:rPr>
          <w:fldChar w:fldCharType="end"/>
        </w:r>
      </w:hyperlink>
    </w:p>
    <w:p w14:paraId="011A8134" w14:textId="451D5235" w:rsidR="00EE32CD" w:rsidRDefault="00671015">
      <w:pPr>
        <w:pStyle w:val="TOC2"/>
        <w:rPr>
          <w:rFonts w:asciiTheme="minorHAnsi" w:eastAsiaTheme="minorEastAsia" w:hAnsiTheme="minorHAnsi" w:cstheme="minorBidi"/>
          <w:color w:val="auto"/>
          <w:sz w:val="22"/>
          <w:szCs w:val="22"/>
        </w:rPr>
      </w:pPr>
      <w:hyperlink w:anchor="_Toc75244078" w:history="1">
        <w:r w:rsidR="00EE32CD" w:rsidRPr="006F5091">
          <w:rPr>
            <w:rStyle w:val="Hyperlink"/>
          </w:rPr>
          <w:t>Application screening process</w:t>
        </w:r>
        <w:r w:rsidR="00EE32CD">
          <w:rPr>
            <w:webHidden/>
          </w:rPr>
          <w:tab/>
        </w:r>
        <w:r w:rsidR="00EE32CD">
          <w:rPr>
            <w:webHidden/>
          </w:rPr>
          <w:fldChar w:fldCharType="begin"/>
        </w:r>
        <w:r w:rsidR="00EE32CD">
          <w:rPr>
            <w:webHidden/>
          </w:rPr>
          <w:instrText xml:space="preserve"> PAGEREF _Toc75244078 \h </w:instrText>
        </w:r>
        <w:r w:rsidR="00EE32CD">
          <w:rPr>
            <w:webHidden/>
          </w:rPr>
        </w:r>
        <w:r w:rsidR="00EE32CD">
          <w:rPr>
            <w:webHidden/>
          </w:rPr>
          <w:fldChar w:fldCharType="separate"/>
        </w:r>
        <w:r w:rsidR="00D04DB1">
          <w:rPr>
            <w:webHidden/>
          </w:rPr>
          <w:t>62</w:t>
        </w:r>
        <w:r w:rsidR="00EE32CD">
          <w:rPr>
            <w:webHidden/>
          </w:rPr>
          <w:fldChar w:fldCharType="end"/>
        </w:r>
      </w:hyperlink>
    </w:p>
    <w:p w14:paraId="70DB694D" w14:textId="21CACED0" w:rsidR="00EE32CD" w:rsidRDefault="00671015">
      <w:pPr>
        <w:pStyle w:val="TOC1"/>
        <w:rPr>
          <w:rFonts w:asciiTheme="minorHAnsi" w:eastAsiaTheme="minorEastAsia" w:hAnsiTheme="minorHAnsi" w:cstheme="minorBidi"/>
          <w:b w:val="0"/>
          <w:caps w:val="0"/>
          <w:color w:val="auto"/>
          <w:sz w:val="22"/>
        </w:rPr>
      </w:pPr>
      <w:hyperlink w:anchor="_Toc75244079" w:history="1">
        <w:r w:rsidR="00EE32CD" w:rsidRPr="006F5091">
          <w:rPr>
            <w:rStyle w:val="Hyperlink"/>
          </w:rPr>
          <w:t>Appendix D: Glossary</w:t>
        </w:r>
        <w:r w:rsidR="00EE32CD">
          <w:rPr>
            <w:webHidden/>
          </w:rPr>
          <w:tab/>
        </w:r>
        <w:r w:rsidR="00EE32CD">
          <w:rPr>
            <w:webHidden/>
          </w:rPr>
          <w:fldChar w:fldCharType="begin"/>
        </w:r>
        <w:r w:rsidR="00EE32CD">
          <w:rPr>
            <w:webHidden/>
          </w:rPr>
          <w:instrText xml:space="preserve"> PAGEREF _Toc75244079 \h </w:instrText>
        </w:r>
        <w:r w:rsidR="00EE32CD">
          <w:rPr>
            <w:webHidden/>
          </w:rPr>
        </w:r>
        <w:r w:rsidR="00EE32CD">
          <w:rPr>
            <w:webHidden/>
          </w:rPr>
          <w:fldChar w:fldCharType="separate"/>
        </w:r>
        <w:r w:rsidR="00D04DB1">
          <w:rPr>
            <w:webHidden/>
          </w:rPr>
          <w:t>65</w:t>
        </w:r>
        <w:r w:rsidR="00EE32CD">
          <w:rPr>
            <w:webHidden/>
          </w:rPr>
          <w:fldChar w:fldCharType="end"/>
        </w:r>
      </w:hyperlink>
    </w:p>
    <w:p w14:paraId="7497DFF0" w14:textId="2C639EC5" w:rsidR="00A84283" w:rsidRPr="00D02A55" w:rsidRDefault="00986A91" w:rsidP="00A42FAB">
      <w:pPr>
        <w:pStyle w:val="TOC1"/>
      </w:pPr>
      <w:r>
        <w:rPr>
          <w:b w:val="0"/>
          <w:smallCaps/>
        </w:rPr>
        <w:fldChar w:fldCharType="end"/>
      </w:r>
      <w:bookmarkStart w:id="5" w:name="_Toc31303005"/>
      <w:r w:rsidR="00A84283" w:rsidRPr="00D02A55">
        <w:t>TABLES</w:t>
      </w:r>
      <w:bookmarkEnd w:id="5"/>
    </w:p>
    <w:p w14:paraId="61616B58" w14:textId="560CD279" w:rsidR="007323E2" w:rsidRDefault="00D02A55">
      <w:pPr>
        <w:pStyle w:val="TOC2"/>
        <w:rPr>
          <w:rFonts w:asciiTheme="minorHAnsi" w:eastAsiaTheme="minorEastAsia" w:hAnsiTheme="minorHAnsi" w:cstheme="minorBidi"/>
          <w:color w:val="auto"/>
          <w:sz w:val="22"/>
          <w:szCs w:val="22"/>
        </w:rPr>
      </w:pPr>
      <w:r>
        <w:fldChar w:fldCharType="begin"/>
      </w:r>
      <w:r>
        <w:instrText xml:space="preserve"> TOC \h \z \t "Table Main Heading,2" </w:instrText>
      </w:r>
      <w:r>
        <w:fldChar w:fldCharType="separate"/>
      </w:r>
      <w:hyperlink w:anchor="_Toc73984728" w:history="1">
        <w:r w:rsidR="007323E2" w:rsidRPr="00453E10">
          <w:rPr>
            <w:rStyle w:val="Hyperlink"/>
          </w:rPr>
          <w:t>Table 3.1: Applications considered 2016–17 to 2019–20 (number of applications)</w:t>
        </w:r>
        <w:r w:rsidR="007323E2">
          <w:rPr>
            <w:webHidden/>
          </w:rPr>
          <w:tab/>
        </w:r>
        <w:r w:rsidR="007323E2">
          <w:rPr>
            <w:webHidden/>
          </w:rPr>
          <w:fldChar w:fldCharType="begin"/>
        </w:r>
        <w:r w:rsidR="007323E2">
          <w:rPr>
            <w:webHidden/>
          </w:rPr>
          <w:instrText xml:space="preserve"> PAGEREF _Toc73984728 \h </w:instrText>
        </w:r>
        <w:r w:rsidR="007323E2">
          <w:rPr>
            <w:webHidden/>
          </w:rPr>
        </w:r>
        <w:r w:rsidR="007323E2">
          <w:rPr>
            <w:webHidden/>
          </w:rPr>
          <w:fldChar w:fldCharType="separate"/>
        </w:r>
        <w:r w:rsidR="00D04DB1">
          <w:rPr>
            <w:webHidden/>
          </w:rPr>
          <w:t>24</w:t>
        </w:r>
        <w:r w:rsidR="007323E2">
          <w:rPr>
            <w:webHidden/>
          </w:rPr>
          <w:fldChar w:fldCharType="end"/>
        </w:r>
      </w:hyperlink>
    </w:p>
    <w:p w14:paraId="715FEFEC" w14:textId="458700BC" w:rsidR="007323E2" w:rsidRDefault="00671015">
      <w:pPr>
        <w:pStyle w:val="TOC2"/>
        <w:rPr>
          <w:rFonts w:asciiTheme="minorHAnsi" w:eastAsiaTheme="minorEastAsia" w:hAnsiTheme="minorHAnsi" w:cstheme="minorBidi"/>
          <w:color w:val="auto"/>
          <w:sz w:val="22"/>
          <w:szCs w:val="22"/>
        </w:rPr>
      </w:pPr>
      <w:hyperlink w:anchor="_Toc73984729" w:history="1">
        <w:r w:rsidR="007323E2" w:rsidRPr="00453E10">
          <w:rPr>
            <w:rStyle w:val="Hyperlink"/>
          </w:rPr>
          <w:t>Table 3.2: Applications considered in 2019–20, by zero dollar threshold and non</w:t>
        </w:r>
        <w:r w:rsidR="00BD4D19">
          <w:rPr>
            <w:rStyle w:val="Hyperlink"/>
          </w:rPr>
          <w:noBreakHyphen/>
        </w:r>
        <w:r w:rsidR="007323E2" w:rsidRPr="00453E10">
          <w:rPr>
            <w:rStyle w:val="Hyperlink"/>
          </w:rPr>
          <w:t>zero dollar threshold proposals (number of applications)</w:t>
        </w:r>
        <w:r w:rsidR="007323E2">
          <w:rPr>
            <w:webHidden/>
          </w:rPr>
          <w:tab/>
        </w:r>
        <w:r w:rsidR="007323E2">
          <w:rPr>
            <w:webHidden/>
          </w:rPr>
          <w:fldChar w:fldCharType="begin"/>
        </w:r>
        <w:r w:rsidR="007323E2">
          <w:rPr>
            <w:webHidden/>
          </w:rPr>
          <w:instrText xml:space="preserve"> PAGEREF _Toc73984729 \h </w:instrText>
        </w:r>
        <w:r w:rsidR="007323E2">
          <w:rPr>
            <w:webHidden/>
          </w:rPr>
        </w:r>
        <w:r w:rsidR="007323E2">
          <w:rPr>
            <w:webHidden/>
          </w:rPr>
          <w:fldChar w:fldCharType="separate"/>
        </w:r>
        <w:r w:rsidR="00D04DB1">
          <w:rPr>
            <w:webHidden/>
          </w:rPr>
          <w:t>24</w:t>
        </w:r>
        <w:r w:rsidR="007323E2">
          <w:rPr>
            <w:webHidden/>
          </w:rPr>
          <w:fldChar w:fldCharType="end"/>
        </w:r>
      </w:hyperlink>
    </w:p>
    <w:p w14:paraId="08843297" w14:textId="53CD8803" w:rsidR="007323E2" w:rsidRDefault="00671015">
      <w:pPr>
        <w:pStyle w:val="TOC2"/>
        <w:rPr>
          <w:rFonts w:asciiTheme="minorHAnsi" w:eastAsiaTheme="minorEastAsia" w:hAnsiTheme="minorHAnsi" w:cstheme="minorBidi"/>
          <w:color w:val="auto"/>
          <w:sz w:val="22"/>
          <w:szCs w:val="22"/>
        </w:rPr>
      </w:pPr>
      <w:hyperlink w:anchor="_Toc73984730" w:history="1">
        <w:r w:rsidR="007323E2" w:rsidRPr="00453E10">
          <w:rPr>
            <w:rStyle w:val="Hyperlink"/>
          </w:rPr>
          <w:t>Table 3.3: Applications decided 2016–17 to 2019–20 (value of proposed investment)</w:t>
        </w:r>
        <w:r w:rsidR="007323E2">
          <w:rPr>
            <w:webHidden/>
          </w:rPr>
          <w:tab/>
        </w:r>
        <w:r w:rsidR="007323E2">
          <w:rPr>
            <w:webHidden/>
          </w:rPr>
          <w:fldChar w:fldCharType="begin"/>
        </w:r>
        <w:r w:rsidR="007323E2">
          <w:rPr>
            <w:webHidden/>
          </w:rPr>
          <w:instrText xml:space="preserve"> PAGEREF _Toc73984730 \h </w:instrText>
        </w:r>
        <w:r w:rsidR="007323E2">
          <w:rPr>
            <w:webHidden/>
          </w:rPr>
        </w:r>
        <w:r w:rsidR="007323E2">
          <w:rPr>
            <w:webHidden/>
          </w:rPr>
          <w:fldChar w:fldCharType="separate"/>
        </w:r>
        <w:r w:rsidR="00D04DB1">
          <w:rPr>
            <w:webHidden/>
          </w:rPr>
          <w:t>24</w:t>
        </w:r>
        <w:r w:rsidR="007323E2">
          <w:rPr>
            <w:webHidden/>
          </w:rPr>
          <w:fldChar w:fldCharType="end"/>
        </w:r>
      </w:hyperlink>
    </w:p>
    <w:p w14:paraId="52957617" w14:textId="6C67E55C" w:rsidR="007323E2" w:rsidRDefault="00671015">
      <w:pPr>
        <w:pStyle w:val="TOC2"/>
        <w:rPr>
          <w:rFonts w:asciiTheme="minorHAnsi" w:eastAsiaTheme="minorEastAsia" w:hAnsiTheme="minorHAnsi" w:cstheme="minorBidi"/>
          <w:color w:val="auto"/>
          <w:sz w:val="22"/>
          <w:szCs w:val="22"/>
        </w:rPr>
      </w:pPr>
      <w:hyperlink w:anchor="_Toc73984731" w:history="1">
        <w:r w:rsidR="007323E2" w:rsidRPr="00453E10">
          <w:rPr>
            <w:rStyle w:val="Hyperlink"/>
          </w:rPr>
          <w:t>Table 3.4: Applications decided in 2019–20, by zero dollar threshold and non</w:t>
        </w:r>
        <w:r w:rsidR="00BD4D19">
          <w:rPr>
            <w:rStyle w:val="Hyperlink"/>
          </w:rPr>
          <w:noBreakHyphen/>
        </w:r>
        <w:r w:rsidR="007323E2" w:rsidRPr="00453E10">
          <w:rPr>
            <w:rStyle w:val="Hyperlink"/>
          </w:rPr>
          <w:t>zero dollar threshold proposals (value of proposed investment)</w:t>
        </w:r>
        <w:r w:rsidR="007323E2">
          <w:rPr>
            <w:webHidden/>
          </w:rPr>
          <w:tab/>
        </w:r>
        <w:r w:rsidR="007323E2">
          <w:rPr>
            <w:webHidden/>
          </w:rPr>
          <w:fldChar w:fldCharType="begin"/>
        </w:r>
        <w:r w:rsidR="007323E2">
          <w:rPr>
            <w:webHidden/>
          </w:rPr>
          <w:instrText xml:space="preserve"> PAGEREF _Toc73984731 \h </w:instrText>
        </w:r>
        <w:r w:rsidR="007323E2">
          <w:rPr>
            <w:webHidden/>
          </w:rPr>
        </w:r>
        <w:r w:rsidR="007323E2">
          <w:rPr>
            <w:webHidden/>
          </w:rPr>
          <w:fldChar w:fldCharType="separate"/>
        </w:r>
        <w:r w:rsidR="00D04DB1">
          <w:rPr>
            <w:webHidden/>
          </w:rPr>
          <w:t>25</w:t>
        </w:r>
        <w:r w:rsidR="007323E2">
          <w:rPr>
            <w:webHidden/>
          </w:rPr>
          <w:fldChar w:fldCharType="end"/>
        </w:r>
      </w:hyperlink>
    </w:p>
    <w:p w14:paraId="4AE022C7" w14:textId="18EC8E39" w:rsidR="007323E2" w:rsidRDefault="00671015">
      <w:pPr>
        <w:pStyle w:val="TOC2"/>
        <w:rPr>
          <w:rFonts w:asciiTheme="minorHAnsi" w:eastAsiaTheme="minorEastAsia" w:hAnsiTheme="minorHAnsi" w:cstheme="minorBidi"/>
          <w:color w:val="auto"/>
          <w:sz w:val="22"/>
          <w:szCs w:val="22"/>
        </w:rPr>
      </w:pPr>
      <w:hyperlink w:anchor="_Toc73984732" w:history="1">
        <w:r w:rsidR="007323E2" w:rsidRPr="00453E10">
          <w:rPr>
            <w:rStyle w:val="Hyperlink"/>
          </w:rPr>
          <w:t xml:space="preserve">Table 3.5: Total approvals by value of proposed investment range 2016–17 to </w:t>
        </w:r>
        <w:r w:rsidR="001D14C8">
          <w:rPr>
            <w:rStyle w:val="Hyperlink"/>
          </w:rPr>
          <w:br/>
        </w:r>
        <w:r w:rsidR="007323E2" w:rsidRPr="00453E10">
          <w:rPr>
            <w:rStyle w:val="Hyperlink"/>
          </w:rPr>
          <w:t>2019–20 (number and value of approvals)</w:t>
        </w:r>
        <w:r w:rsidR="007323E2">
          <w:rPr>
            <w:webHidden/>
          </w:rPr>
          <w:tab/>
        </w:r>
        <w:r w:rsidR="007323E2">
          <w:rPr>
            <w:webHidden/>
          </w:rPr>
          <w:fldChar w:fldCharType="begin"/>
        </w:r>
        <w:r w:rsidR="007323E2">
          <w:rPr>
            <w:webHidden/>
          </w:rPr>
          <w:instrText xml:space="preserve"> PAGEREF _Toc73984732 \h </w:instrText>
        </w:r>
        <w:r w:rsidR="007323E2">
          <w:rPr>
            <w:webHidden/>
          </w:rPr>
        </w:r>
        <w:r w:rsidR="007323E2">
          <w:rPr>
            <w:webHidden/>
          </w:rPr>
          <w:fldChar w:fldCharType="separate"/>
        </w:r>
        <w:r w:rsidR="00D04DB1">
          <w:rPr>
            <w:webHidden/>
          </w:rPr>
          <w:t>25</w:t>
        </w:r>
        <w:r w:rsidR="007323E2">
          <w:rPr>
            <w:webHidden/>
          </w:rPr>
          <w:fldChar w:fldCharType="end"/>
        </w:r>
      </w:hyperlink>
    </w:p>
    <w:p w14:paraId="13A2FEA4" w14:textId="453156F9" w:rsidR="007323E2" w:rsidRDefault="00671015">
      <w:pPr>
        <w:pStyle w:val="TOC2"/>
        <w:rPr>
          <w:rFonts w:asciiTheme="minorHAnsi" w:eastAsiaTheme="minorEastAsia" w:hAnsiTheme="minorHAnsi" w:cstheme="minorBidi"/>
          <w:color w:val="auto"/>
          <w:sz w:val="22"/>
          <w:szCs w:val="22"/>
        </w:rPr>
      </w:pPr>
      <w:hyperlink w:anchor="_Toc73984733" w:history="1">
        <w:r w:rsidR="007323E2" w:rsidRPr="00453E10">
          <w:rPr>
            <w:rStyle w:val="Hyperlink"/>
          </w:rPr>
          <w:t>Table 3.6: Total approvals by value of proposed investment range in 2019–20, by zero dollar threshold and non</w:t>
        </w:r>
        <w:r w:rsidR="00BD4D19">
          <w:rPr>
            <w:rStyle w:val="Hyperlink"/>
          </w:rPr>
          <w:noBreakHyphen/>
        </w:r>
        <w:r w:rsidR="007323E2" w:rsidRPr="00453E10">
          <w:rPr>
            <w:rStyle w:val="Hyperlink"/>
          </w:rPr>
          <w:t>zero dollar threshold (number and value of approvals)</w:t>
        </w:r>
        <w:r w:rsidR="007323E2">
          <w:rPr>
            <w:webHidden/>
          </w:rPr>
          <w:tab/>
        </w:r>
        <w:r w:rsidR="007323E2">
          <w:rPr>
            <w:webHidden/>
          </w:rPr>
          <w:fldChar w:fldCharType="begin"/>
        </w:r>
        <w:r w:rsidR="007323E2">
          <w:rPr>
            <w:webHidden/>
          </w:rPr>
          <w:instrText xml:space="preserve"> PAGEREF _Toc73984733 \h </w:instrText>
        </w:r>
        <w:r w:rsidR="007323E2">
          <w:rPr>
            <w:webHidden/>
          </w:rPr>
        </w:r>
        <w:r w:rsidR="007323E2">
          <w:rPr>
            <w:webHidden/>
          </w:rPr>
          <w:fldChar w:fldCharType="separate"/>
        </w:r>
        <w:r w:rsidR="00D04DB1">
          <w:rPr>
            <w:webHidden/>
          </w:rPr>
          <w:t>25</w:t>
        </w:r>
        <w:r w:rsidR="007323E2">
          <w:rPr>
            <w:webHidden/>
          </w:rPr>
          <w:fldChar w:fldCharType="end"/>
        </w:r>
      </w:hyperlink>
    </w:p>
    <w:p w14:paraId="6F0FA4F4" w14:textId="5A744A03" w:rsidR="007323E2" w:rsidRDefault="00671015">
      <w:pPr>
        <w:pStyle w:val="TOC2"/>
        <w:rPr>
          <w:rFonts w:asciiTheme="minorHAnsi" w:eastAsiaTheme="minorEastAsia" w:hAnsiTheme="minorHAnsi" w:cstheme="minorBidi"/>
          <w:color w:val="auto"/>
          <w:sz w:val="22"/>
          <w:szCs w:val="22"/>
        </w:rPr>
      </w:pPr>
      <w:hyperlink w:anchor="_Toc73984734" w:history="1">
        <w:r w:rsidR="007323E2" w:rsidRPr="00453E10">
          <w:rPr>
            <w:rStyle w:val="Hyperlink"/>
          </w:rPr>
          <w:t>Table 3.7: Total approvals by industry sector: 2016–17 to 2019–20</w:t>
        </w:r>
        <w:r w:rsidR="007323E2">
          <w:rPr>
            <w:webHidden/>
          </w:rPr>
          <w:tab/>
        </w:r>
        <w:r w:rsidR="007323E2">
          <w:rPr>
            <w:webHidden/>
          </w:rPr>
          <w:fldChar w:fldCharType="begin"/>
        </w:r>
        <w:r w:rsidR="007323E2">
          <w:rPr>
            <w:webHidden/>
          </w:rPr>
          <w:instrText xml:space="preserve"> PAGEREF _Toc73984734 \h </w:instrText>
        </w:r>
        <w:r w:rsidR="007323E2">
          <w:rPr>
            <w:webHidden/>
          </w:rPr>
        </w:r>
        <w:r w:rsidR="007323E2">
          <w:rPr>
            <w:webHidden/>
          </w:rPr>
          <w:fldChar w:fldCharType="separate"/>
        </w:r>
        <w:r w:rsidR="00D04DB1">
          <w:rPr>
            <w:webHidden/>
          </w:rPr>
          <w:t>27</w:t>
        </w:r>
        <w:r w:rsidR="007323E2">
          <w:rPr>
            <w:webHidden/>
          </w:rPr>
          <w:fldChar w:fldCharType="end"/>
        </w:r>
      </w:hyperlink>
    </w:p>
    <w:p w14:paraId="46381A81" w14:textId="7E23534B" w:rsidR="007323E2" w:rsidRDefault="00671015">
      <w:pPr>
        <w:pStyle w:val="TOC2"/>
        <w:rPr>
          <w:rFonts w:asciiTheme="minorHAnsi" w:eastAsiaTheme="minorEastAsia" w:hAnsiTheme="minorHAnsi" w:cstheme="minorBidi"/>
          <w:color w:val="auto"/>
          <w:sz w:val="22"/>
          <w:szCs w:val="22"/>
        </w:rPr>
      </w:pPr>
      <w:hyperlink w:anchor="_Toc73984735" w:history="1">
        <w:r w:rsidR="007323E2" w:rsidRPr="00453E10">
          <w:rPr>
            <w:rStyle w:val="Hyperlink"/>
          </w:rPr>
          <w:t>Table 3.8: Manufacturing, electricity and gas sector approvals: 2016–17 to 2019–20</w:t>
        </w:r>
        <w:r w:rsidR="007323E2">
          <w:rPr>
            <w:webHidden/>
          </w:rPr>
          <w:tab/>
        </w:r>
        <w:r w:rsidR="007323E2">
          <w:rPr>
            <w:webHidden/>
          </w:rPr>
          <w:fldChar w:fldCharType="begin"/>
        </w:r>
        <w:r w:rsidR="007323E2">
          <w:rPr>
            <w:webHidden/>
          </w:rPr>
          <w:instrText xml:space="preserve"> PAGEREF _Toc73984735 \h </w:instrText>
        </w:r>
        <w:r w:rsidR="007323E2">
          <w:rPr>
            <w:webHidden/>
          </w:rPr>
        </w:r>
        <w:r w:rsidR="007323E2">
          <w:rPr>
            <w:webHidden/>
          </w:rPr>
          <w:fldChar w:fldCharType="separate"/>
        </w:r>
        <w:r w:rsidR="00D04DB1">
          <w:rPr>
            <w:webHidden/>
          </w:rPr>
          <w:t>30</w:t>
        </w:r>
        <w:r w:rsidR="007323E2">
          <w:rPr>
            <w:webHidden/>
          </w:rPr>
          <w:fldChar w:fldCharType="end"/>
        </w:r>
      </w:hyperlink>
    </w:p>
    <w:p w14:paraId="715D960F" w14:textId="16BB446D" w:rsidR="007323E2" w:rsidRDefault="00671015">
      <w:pPr>
        <w:pStyle w:val="TOC2"/>
        <w:rPr>
          <w:rFonts w:asciiTheme="minorHAnsi" w:eastAsiaTheme="minorEastAsia" w:hAnsiTheme="minorHAnsi" w:cstheme="minorBidi"/>
          <w:color w:val="auto"/>
          <w:sz w:val="22"/>
          <w:szCs w:val="22"/>
        </w:rPr>
      </w:pPr>
      <w:hyperlink w:anchor="_Toc73984736" w:history="1">
        <w:r w:rsidR="007323E2" w:rsidRPr="00453E10">
          <w:rPr>
            <w:rStyle w:val="Hyperlink"/>
          </w:rPr>
          <w:t>Table 3.9: Mineral exploration and development sector approvals: 2016–17 to 2019–20</w:t>
        </w:r>
        <w:r w:rsidR="007323E2">
          <w:rPr>
            <w:webHidden/>
          </w:rPr>
          <w:tab/>
        </w:r>
        <w:r w:rsidR="007323E2">
          <w:rPr>
            <w:webHidden/>
          </w:rPr>
          <w:fldChar w:fldCharType="begin"/>
        </w:r>
        <w:r w:rsidR="007323E2">
          <w:rPr>
            <w:webHidden/>
          </w:rPr>
          <w:instrText xml:space="preserve"> PAGEREF _Toc73984736 \h </w:instrText>
        </w:r>
        <w:r w:rsidR="007323E2">
          <w:rPr>
            <w:webHidden/>
          </w:rPr>
        </w:r>
        <w:r w:rsidR="007323E2">
          <w:rPr>
            <w:webHidden/>
          </w:rPr>
          <w:fldChar w:fldCharType="separate"/>
        </w:r>
        <w:r w:rsidR="00D04DB1">
          <w:rPr>
            <w:webHidden/>
          </w:rPr>
          <w:t>30</w:t>
        </w:r>
        <w:r w:rsidR="007323E2">
          <w:rPr>
            <w:webHidden/>
          </w:rPr>
          <w:fldChar w:fldCharType="end"/>
        </w:r>
      </w:hyperlink>
    </w:p>
    <w:p w14:paraId="2E52BD6E" w14:textId="1CD1D52F" w:rsidR="007323E2" w:rsidRDefault="00671015">
      <w:pPr>
        <w:pStyle w:val="TOC2"/>
        <w:rPr>
          <w:rFonts w:asciiTheme="minorHAnsi" w:eastAsiaTheme="minorEastAsia" w:hAnsiTheme="minorHAnsi" w:cstheme="minorBidi"/>
          <w:color w:val="auto"/>
          <w:sz w:val="22"/>
          <w:szCs w:val="22"/>
        </w:rPr>
      </w:pPr>
      <w:hyperlink w:anchor="_Toc73984737" w:history="1">
        <w:r w:rsidR="007323E2" w:rsidRPr="00453E10">
          <w:rPr>
            <w:rStyle w:val="Hyperlink"/>
          </w:rPr>
          <w:t>Table 3.10 Services sector approvals: 2016–17 to 2019–20</w:t>
        </w:r>
        <w:r w:rsidR="007323E2">
          <w:rPr>
            <w:webHidden/>
          </w:rPr>
          <w:tab/>
        </w:r>
        <w:r w:rsidR="007323E2">
          <w:rPr>
            <w:webHidden/>
          </w:rPr>
          <w:fldChar w:fldCharType="begin"/>
        </w:r>
        <w:r w:rsidR="007323E2">
          <w:rPr>
            <w:webHidden/>
          </w:rPr>
          <w:instrText xml:space="preserve"> PAGEREF _Toc73984737 \h </w:instrText>
        </w:r>
        <w:r w:rsidR="007323E2">
          <w:rPr>
            <w:webHidden/>
          </w:rPr>
        </w:r>
        <w:r w:rsidR="007323E2">
          <w:rPr>
            <w:webHidden/>
          </w:rPr>
          <w:fldChar w:fldCharType="separate"/>
        </w:r>
        <w:r w:rsidR="00D04DB1">
          <w:rPr>
            <w:webHidden/>
          </w:rPr>
          <w:t>31</w:t>
        </w:r>
        <w:r w:rsidR="007323E2">
          <w:rPr>
            <w:webHidden/>
          </w:rPr>
          <w:fldChar w:fldCharType="end"/>
        </w:r>
      </w:hyperlink>
    </w:p>
    <w:p w14:paraId="3739E1BB" w14:textId="59CA649F" w:rsidR="007323E2" w:rsidRDefault="00671015">
      <w:pPr>
        <w:pStyle w:val="TOC2"/>
        <w:rPr>
          <w:rFonts w:asciiTheme="minorHAnsi" w:eastAsiaTheme="minorEastAsia" w:hAnsiTheme="minorHAnsi" w:cstheme="minorBidi"/>
          <w:color w:val="auto"/>
          <w:sz w:val="22"/>
          <w:szCs w:val="22"/>
        </w:rPr>
      </w:pPr>
      <w:hyperlink w:anchor="_Toc73984738" w:history="1">
        <w:r w:rsidR="007323E2" w:rsidRPr="00453E10">
          <w:rPr>
            <w:rStyle w:val="Hyperlink"/>
          </w:rPr>
          <w:t>Table 3.11: Commercial real estate approvals, by type: 2016–17 to 2019–20</w:t>
        </w:r>
        <w:r w:rsidR="007323E2">
          <w:rPr>
            <w:webHidden/>
          </w:rPr>
          <w:tab/>
        </w:r>
        <w:r w:rsidR="007323E2">
          <w:rPr>
            <w:webHidden/>
          </w:rPr>
          <w:fldChar w:fldCharType="begin"/>
        </w:r>
        <w:r w:rsidR="007323E2">
          <w:rPr>
            <w:webHidden/>
          </w:rPr>
          <w:instrText xml:space="preserve"> PAGEREF _Toc73984738 \h </w:instrText>
        </w:r>
        <w:r w:rsidR="007323E2">
          <w:rPr>
            <w:webHidden/>
          </w:rPr>
        </w:r>
        <w:r w:rsidR="007323E2">
          <w:rPr>
            <w:webHidden/>
          </w:rPr>
          <w:fldChar w:fldCharType="separate"/>
        </w:r>
        <w:r w:rsidR="00D04DB1">
          <w:rPr>
            <w:webHidden/>
          </w:rPr>
          <w:t>32</w:t>
        </w:r>
        <w:r w:rsidR="007323E2">
          <w:rPr>
            <w:webHidden/>
          </w:rPr>
          <w:fldChar w:fldCharType="end"/>
        </w:r>
      </w:hyperlink>
    </w:p>
    <w:p w14:paraId="42958253" w14:textId="713A5E9B" w:rsidR="007323E2" w:rsidRDefault="00671015">
      <w:pPr>
        <w:pStyle w:val="TOC2"/>
        <w:rPr>
          <w:rFonts w:asciiTheme="minorHAnsi" w:eastAsiaTheme="minorEastAsia" w:hAnsiTheme="minorHAnsi" w:cstheme="minorBidi"/>
          <w:color w:val="auto"/>
          <w:sz w:val="22"/>
          <w:szCs w:val="22"/>
        </w:rPr>
      </w:pPr>
      <w:hyperlink w:anchor="_Toc73984739" w:history="1">
        <w:r w:rsidR="007323E2" w:rsidRPr="00453E10">
          <w:rPr>
            <w:rStyle w:val="Hyperlink"/>
          </w:rPr>
          <w:t>Table 3.12: State and territory distribution of proposed investment in commercial real estate in 2019–20</w:t>
        </w:r>
        <w:r w:rsidR="007323E2">
          <w:rPr>
            <w:webHidden/>
          </w:rPr>
          <w:tab/>
        </w:r>
        <w:r w:rsidR="007323E2">
          <w:rPr>
            <w:webHidden/>
          </w:rPr>
          <w:fldChar w:fldCharType="begin"/>
        </w:r>
        <w:r w:rsidR="007323E2">
          <w:rPr>
            <w:webHidden/>
          </w:rPr>
          <w:instrText xml:space="preserve"> PAGEREF _Toc73984739 \h </w:instrText>
        </w:r>
        <w:r w:rsidR="007323E2">
          <w:rPr>
            <w:webHidden/>
          </w:rPr>
        </w:r>
        <w:r w:rsidR="007323E2">
          <w:rPr>
            <w:webHidden/>
          </w:rPr>
          <w:fldChar w:fldCharType="separate"/>
        </w:r>
        <w:r w:rsidR="00D04DB1">
          <w:rPr>
            <w:webHidden/>
          </w:rPr>
          <w:t>32</w:t>
        </w:r>
        <w:r w:rsidR="007323E2">
          <w:rPr>
            <w:webHidden/>
          </w:rPr>
          <w:fldChar w:fldCharType="end"/>
        </w:r>
      </w:hyperlink>
    </w:p>
    <w:p w14:paraId="7CB57740" w14:textId="762849E4" w:rsidR="007323E2" w:rsidRDefault="00671015">
      <w:pPr>
        <w:pStyle w:val="TOC2"/>
        <w:rPr>
          <w:rFonts w:asciiTheme="minorHAnsi" w:eastAsiaTheme="minorEastAsia" w:hAnsiTheme="minorHAnsi" w:cstheme="minorBidi"/>
          <w:color w:val="auto"/>
          <w:sz w:val="22"/>
          <w:szCs w:val="22"/>
        </w:rPr>
      </w:pPr>
      <w:hyperlink w:anchor="_Toc73984740" w:history="1">
        <w:r w:rsidR="007323E2" w:rsidRPr="00453E10">
          <w:rPr>
            <w:rStyle w:val="Hyperlink"/>
          </w:rPr>
          <w:t>Table 3.13: Residential real estate approvals, by type: 2016–17 to 2019–20</w:t>
        </w:r>
        <w:r w:rsidR="007323E2">
          <w:rPr>
            <w:webHidden/>
          </w:rPr>
          <w:tab/>
        </w:r>
        <w:r w:rsidR="007323E2">
          <w:rPr>
            <w:webHidden/>
          </w:rPr>
          <w:fldChar w:fldCharType="begin"/>
        </w:r>
        <w:r w:rsidR="007323E2">
          <w:rPr>
            <w:webHidden/>
          </w:rPr>
          <w:instrText xml:space="preserve"> PAGEREF _Toc73984740 \h </w:instrText>
        </w:r>
        <w:r w:rsidR="007323E2">
          <w:rPr>
            <w:webHidden/>
          </w:rPr>
        </w:r>
        <w:r w:rsidR="007323E2">
          <w:rPr>
            <w:webHidden/>
          </w:rPr>
          <w:fldChar w:fldCharType="separate"/>
        </w:r>
        <w:r w:rsidR="00D04DB1">
          <w:rPr>
            <w:webHidden/>
          </w:rPr>
          <w:t>35</w:t>
        </w:r>
        <w:r w:rsidR="007323E2">
          <w:rPr>
            <w:webHidden/>
          </w:rPr>
          <w:fldChar w:fldCharType="end"/>
        </w:r>
      </w:hyperlink>
    </w:p>
    <w:p w14:paraId="58ACCEEE" w14:textId="74DFA2D2" w:rsidR="007323E2" w:rsidRDefault="00671015">
      <w:pPr>
        <w:pStyle w:val="TOC2"/>
        <w:rPr>
          <w:rFonts w:asciiTheme="minorHAnsi" w:eastAsiaTheme="minorEastAsia" w:hAnsiTheme="minorHAnsi" w:cstheme="minorBidi"/>
          <w:color w:val="auto"/>
          <w:sz w:val="22"/>
          <w:szCs w:val="22"/>
        </w:rPr>
      </w:pPr>
      <w:hyperlink w:anchor="_Toc73984741" w:history="1">
        <w:r w:rsidR="007323E2" w:rsidRPr="00453E10">
          <w:rPr>
            <w:rStyle w:val="Hyperlink"/>
          </w:rPr>
          <w:t>Table 3.14: State and territory distribution of proposed investment in residential real estate in 2019–20</w:t>
        </w:r>
        <w:r w:rsidR="007323E2">
          <w:rPr>
            <w:webHidden/>
          </w:rPr>
          <w:tab/>
        </w:r>
        <w:r w:rsidR="007323E2">
          <w:rPr>
            <w:webHidden/>
          </w:rPr>
          <w:fldChar w:fldCharType="begin"/>
        </w:r>
        <w:r w:rsidR="007323E2">
          <w:rPr>
            <w:webHidden/>
          </w:rPr>
          <w:instrText xml:space="preserve"> PAGEREF _Toc73984741 \h </w:instrText>
        </w:r>
        <w:r w:rsidR="007323E2">
          <w:rPr>
            <w:webHidden/>
          </w:rPr>
        </w:r>
        <w:r w:rsidR="007323E2">
          <w:rPr>
            <w:webHidden/>
          </w:rPr>
          <w:fldChar w:fldCharType="separate"/>
        </w:r>
        <w:r w:rsidR="00D04DB1">
          <w:rPr>
            <w:webHidden/>
          </w:rPr>
          <w:t>36</w:t>
        </w:r>
        <w:r w:rsidR="007323E2">
          <w:rPr>
            <w:webHidden/>
          </w:rPr>
          <w:fldChar w:fldCharType="end"/>
        </w:r>
      </w:hyperlink>
    </w:p>
    <w:p w14:paraId="788B63E3" w14:textId="50A0B083" w:rsidR="007323E2" w:rsidRDefault="00671015">
      <w:pPr>
        <w:pStyle w:val="TOC2"/>
        <w:rPr>
          <w:rFonts w:asciiTheme="minorHAnsi" w:eastAsiaTheme="minorEastAsia" w:hAnsiTheme="minorHAnsi" w:cstheme="minorBidi"/>
          <w:color w:val="auto"/>
          <w:sz w:val="22"/>
          <w:szCs w:val="22"/>
        </w:rPr>
      </w:pPr>
      <w:hyperlink w:anchor="_Toc73984742" w:history="1">
        <w:r w:rsidR="007323E2" w:rsidRPr="00453E10">
          <w:rPr>
            <w:rStyle w:val="Hyperlink"/>
          </w:rPr>
          <w:t>Table 3.15: State and territory distribution of proposed investment in residential real estate, by type in 2019–20</w:t>
        </w:r>
        <w:r w:rsidR="007323E2">
          <w:rPr>
            <w:webHidden/>
          </w:rPr>
          <w:tab/>
        </w:r>
        <w:r w:rsidR="007323E2">
          <w:rPr>
            <w:webHidden/>
          </w:rPr>
          <w:fldChar w:fldCharType="begin"/>
        </w:r>
        <w:r w:rsidR="007323E2">
          <w:rPr>
            <w:webHidden/>
          </w:rPr>
          <w:instrText xml:space="preserve"> PAGEREF _Toc73984742 \h </w:instrText>
        </w:r>
        <w:r w:rsidR="007323E2">
          <w:rPr>
            <w:webHidden/>
          </w:rPr>
        </w:r>
        <w:r w:rsidR="007323E2">
          <w:rPr>
            <w:webHidden/>
          </w:rPr>
          <w:fldChar w:fldCharType="separate"/>
        </w:r>
        <w:r w:rsidR="00D04DB1">
          <w:rPr>
            <w:webHidden/>
          </w:rPr>
          <w:t>36</w:t>
        </w:r>
        <w:r w:rsidR="007323E2">
          <w:rPr>
            <w:webHidden/>
          </w:rPr>
          <w:fldChar w:fldCharType="end"/>
        </w:r>
      </w:hyperlink>
    </w:p>
    <w:p w14:paraId="1683FD18" w14:textId="0BBE64AD" w:rsidR="007323E2" w:rsidRDefault="00671015">
      <w:pPr>
        <w:pStyle w:val="TOC2"/>
        <w:rPr>
          <w:rFonts w:asciiTheme="minorHAnsi" w:eastAsiaTheme="minorEastAsia" w:hAnsiTheme="minorHAnsi" w:cstheme="minorBidi"/>
          <w:color w:val="auto"/>
          <w:sz w:val="22"/>
          <w:szCs w:val="22"/>
        </w:rPr>
      </w:pPr>
      <w:hyperlink w:anchor="_Toc73984743" w:history="1">
        <w:r w:rsidR="007323E2" w:rsidRPr="00453E10">
          <w:rPr>
            <w:rStyle w:val="Hyperlink"/>
          </w:rPr>
          <w:t>Table 3.16: New business approvals by industry sector: 2016–17 to 2019–20</w:t>
        </w:r>
        <w:r w:rsidR="007323E2">
          <w:rPr>
            <w:webHidden/>
          </w:rPr>
          <w:tab/>
        </w:r>
        <w:r w:rsidR="007323E2">
          <w:rPr>
            <w:webHidden/>
          </w:rPr>
          <w:fldChar w:fldCharType="begin"/>
        </w:r>
        <w:r w:rsidR="007323E2">
          <w:rPr>
            <w:webHidden/>
          </w:rPr>
          <w:instrText xml:space="preserve"> PAGEREF _Toc73984743 \h </w:instrText>
        </w:r>
        <w:r w:rsidR="007323E2">
          <w:rPr>
            <w:webHidden/>
          </w:rPr>
        </w:r>
        <w:r w:rsidR="007323E2">
          <w:rPr>
            <w:webHidden/>
          </w:rPr>
          <w:fldChar w:fldCharType="separate"/>
        </w:r>
        <w:r w:rsidR="00D04DB1">
          <w:rPr>
            <w:webHidden/>
          </w:rPr>
          <w:t>37</w:t>
        </w:r>
        <w:r w:rsidR="007323E2">
          <w:rPr>
            <w:webHidden/>
          </w:rPr>
          <w:fldChar w:fldCharType="end"/>
        </w:r>
      </w:hyperlink>
    </w:p>
    <w:p w14:paraId="60913E7C" w14:textId="17041368" w:rsidR="007323E2" w:rsidRDefault="00671015">
      <w:pPr>
        <w:pStyle w:val="TOC2"/>
        <w:rPr>
          <w:rFonts w:asciiTheme="minorHAnsi" w:eastAsiaTheme="minorEastAsia" w:hAnsiTheme="minorHAnsi" w:cstheme="minorBidi"/>
          <w:color w:val="auto"/>
          <w:sz w:val="22"/>
          <w:szCs w:val="22"/>
        </w:rPr>
      </w:pPr>
      <w:hyperlink w:anchor="_Toc73984744" w:history="1">
        <w:r w:rsidR="007323E2" w:rsidRPr="00453E10">
          <w:rPr>
            <w:rStyle w:val="Hyperlink"/>
          </w:rPr>
          <w:t>Table 3.17 Approvals by country of investor, by industry sector</w:t>
        </w:r>
        <w:r w:rsidR="007323E2">
          <w:rPr>
            <w:webHidden/>
          </w:rPr>
          <w:tab/>
        </w:r>
        <w:r w:rsidR="007323E2">
          <w:rPr>
            <w:webHidden/>
          </w:rPr>
          <w:fldChar w:fldCharType="begin"/>
        </w:r>
        <w:r w:rsidR="007323E2">
          <w:rPr>
            <w:webHidden/>
          </w:rPr>
          <w:instrText xml:space="preserve"> PAGEREF _Toc73984744 \h </w:instrText>
        </w:r>
        <w:r w:rsidR="007323E2">
          <w:rPr>
            <w:webHidden/>
          </w:rPr>
        </w:r>
        <w:r w:rsidR="007323E2">
          <w:rPr>
            <w:webHidden/>
          </w:rPr>
          <w:fldChar w:fldCharType="separate"/>
        </w:r>
        <w:r w:rsidR="00D04DB1">
          <w:rPr>
            <w:webHidden/>
          </w:rPr>
          <w:t>39</w:t>
        </w:r>
        <w:r w:rsidR="007323E2">
          <w:rPr>
            <w:webHidden/>
          </w:rPr>
          <w:fldChar w:fldCharType="end"/>
        </w:r>
      </w:hyperlink>
    </w:p>
    <w:p w14:paraId="3F1700CD" w14:textId="69F6F3EE" w:rsidR="007323E2" w:rsidRDefault="00671015">
      <w:pPr>
        <w:pStyle w:val="TOC2"/>
        <w:rPr>
          <w:rFonts w:asciiTheme="minorHAnsi" w:eastAsiaTheme="minorEastAsia" w:hAnsiTheme="minorHAnsi" w:cstheme="minorBidi"/>
          <w:color w:val="auto"/>
          <w:sz w:val="22"/>
          <w:szCs w:val="22"/>
        </w:rPr>
      </w:pPr>
      <w:hyperlink w:anchor="_Toc73984745" w:history="1">
        <w:r w:rsidR="007323E2" w:rsidRPr="00453E10">
          <w:rPr>
            <w:rStyle w:val="Hyperlink"/>
          </w:rPr>
          <w:t>Table 3.18: Variations considered: 2018–19 to 2019–20 (number of variations by variation type)</w:t>
        </w:r>
        <w:r w:rsidR="007323E2">
          <w:rPr>
            <w:webHidden/>
          </w:rPr>
          <w:tab/>
        </w:r>
        <w:r w:rsidR="007323E2">
          <w:rPr>
            <w:webHidden/>
          </w:rPr>
          <w:fldChar w:fldCharType="begin"/>
        </w:r>
        <w:r w:rsidR="007323E2">
          <w:rPr>
            <w:webHidden/>
          </w:rPr>
          <w:instrText xml:space="preserve"> PAGEREF _Toc73984745 \h </w:instrText>
        </w:r>
        <w:r w:rsidR="007323E2">
          <w:rPr>
            <w:webHidden/>
          </w:rPr>
        </w:r>
        <w:r w:rsidR="007323E2">
          <w:rPr>
            <w:webHidden/>
          </w:rPr>
          <w:fldChar w:fldCharType="separate"/>
        </w:r>
        <w:r w:rsidR="00D04DB1">
          <w:rPr>
            <w:webHidden/>
          </w:rPr>
          <w:t>41</w:t>
        </w:r>
        <w:r w:rsidR="007323E2">
          <w:rPr>
            <w:webHidden/>
          </w:rPr>
          <w:fldChar w:fldCharType="end"/>
        </w:r>
      </w:hyperlink>
    </w:p>
    <w:p w14:paraId="70868592" w14:textId="022BA8AC" w:rsidR="007323E2" w:rsidRDefault="00671015">
      <w:pPr>
        <w:pStyle w:val="TOC2"/>
        <w:rPr>
          <w:rFonts w:asciiTheme="minorHAnsi" w:eastAsiaTheme="minorEastAsia" w:hAnsiTheme="minorHAnsi" w:cstheme="minorBidi"/>
          <w:color w:val="auto"/>
          <w:sz w:val="22"/>
          <w:szCs w:val="22"/>
        </w:rPr>
      </w:pPr>
      <w:hyperlink w:anchor="_Toc73984746" w:history="1">
        <w:r w:rsidR="007323E2" w:rsidRPr="00453E10">
          <w:rPr>
            <w:rStyle w:val="Hyperlink"/>
          </w:rPr>
          <w:t>Table 3.19: Variations approved: 2018–19 to 2019–20 (number of variations by variation reason)</w:t>
        </w:r>
        <w:r w:rsidR="007323E2">
          <w:rPr>
            <w:webHidden/>
          </w:rPr>
          <w:tab/>
        </w:r>
        <w:r w:rsidR="007323E2">
          <w:rPr>
            <w:webHidden/>
          </w:rPr>
          <w:fldChar w:fldCharType="begin"/>
        </w:r>
        <w:r w:rsidR="007323E2">
          <w:rPr>
            <w:webHidden/>
          </w:rPr>
          <w:instrText xml:space="preserve"> PAGEREF _Toc73984746 \h </w:instrText>
        </w:r>
        <w:r w:rsidR="007323E2">
          <w:rPr>
            <w:webHidden/>
          </w:rPr>
        </w:r>
        <w:r w:rsidR="007323E2">
          <w:rPr>
            <w:webHidden/>
          </w:rPr>
          <w:fldChar w:fldCharType="separate"/>
        </w:r>
        <w:r w:rsidR="00D04DB1">
          <w:rPr>
            <w:webHidden/>
          </w:rPr>
          <w:t>41</w:t>
        </w:r>
        <w:r w:rsidR="007323E2">
          <w:rPr>
            <w:webHidden/>
          </w:rPr>
          <w:fldChar w:fldCharType="end"/>
        </w:r>
      </w:hyperlink>
    </w:p>
    <w:p w14:paraId="73BF2EB8" w14:textId="75C3E84A" w:rsidR="007323E2" w:rsidRDefault="00671015">
      <w:pPr>
        <w:pStyle w:val="TOC2"/>
        <w:rPr>
          <w:rFonts w:asciiTheme="minorHAnsi" w:eastAsiaTheme="minorEastAsia" w:hAnsiTheme="minorHAnsi" w:cstheme="minorBidi"/>
          <w:color w:val="auto"/>
          <w:sz w:val="22"/>
          <w:szCs w:val="22"/>
        </w:rPr>
      </w:pPr>
      <w:hyperlink w:anchor="_Toc73984747" w:history="1">
        <w:r w:rsidR="007323E2" w:rsidRPr="00453E10">
          <w:rPr>
            <w:rStyle w:val="Hyperlink"/>
            <w:bCs/>
          </w:rPr>
          <w:t>Table 3.20: Vacancy fee statistics: 2018–19 to 2019–20</w:t>
        </w:r>
        <w:r w:rsidR="007323E2">
          <w:rPr>
            <w:webHidden/>
          </w:rPr>
          <w:tab/>
        </w:r>
        <w:r w:rsidR="007323E2">
          <w:rPr>
            <w:webHidden/>
          </w:rPr>
          <w:fldChar w:fldCharType="begin"/>
        </w:r>
        <w:r w:rsidR="007323E2">
          <w:rPr>
            <w:webHidden/>
          </w:rPr>
          <w:instrText xml:space="preserve"> PAGEREF _Toc73984747 \h </w:instrText>
        </w:r>
        <w:r w:rsidR="007323E2">
          <w:rPr>
            <w:webHidden/>
          </w:rPr>
        </w:r>
        <w:r w:rsidR="007323E2">
          <w:rPr>
            <w:webHidden/>
          </w:rPr>
          <w:fldChar w:fldCharType="separate"/>
        </w:r>
        <w:r w:rsidR="00D04DB1">
          <w:rPr>
            <w:webHidden/>
          </w:rPr>
          <w:t>43</w:t>
        </w:r>
        <w:r w:rsidR="007323E2">
          <w:rPr>
            <w:webHidden/>
          </w:rPr>
          <w:fldChar w:fldCharType="end"/>
        </w:r>
      </w:hyperlink>
    </w:p>
    <w:p w14:paraId="08702C47" w14:textId="344B83A8" w:rsidR="007323E2" w:rsidRDefault="00671015">
      <w:pPr>
        <w:pStyle w:val="TOC2"/>
        <w:rPr>
          <w:rFonts w:asciiTheme="minorHAnsi" w:eastAsiaTheme="minorEastAsia" w:hAnsiTheme="minorHAnsi" w:cstheme="minorBidi"/>
          <w:color w:val="auto"/>
          <w:sz w:val="22"/>
          <w:szCs w:val="22"/>
        </w:rPr>
      </w:pPr>
      <w:hyperlink w:anchor="_Toc73984748" w:history="1">
        <w:r w:rsidR="007323E2" w:rsidRPr="00453E10">
          <w:rPr>
            <w:rStyle w:val="Hyperlink"/>
          </w:rPr>
          <w:t>Table 3.21: Foreign investment fee collections: 2016–17 to 2019–20</w:t>
        </w:r>
        <w:r w:rsidR="007323E2">
          <w:rPr>
            <w:webHidden/>
          </w:rPr>
          <w:tab/>
        </w:r>
        <w:r w:rsidR="007323E2">
          <w:rPr>
            <w:webHidden/>
          </w:rPr>
          <w:fldChar w:fldCharType="begin"/>
        </w:r>
        <w:r w:rsidR="007323E2">
          <w:rPr>
            <w:webHidden/>
          </w:rPr>
          <w:instrText xml:space="preserve"> PAGEREF _Toc73984748 \h </w:instrText>
        </w:r>
        <w:r w:rsidR="007323E2">
          <w:rPr>
            <w:webHidden/>
          </w:rPr>
        </w:r>
        <w:r w:rsidR="007323E2">
          <w:rPr>
            <w:webHidden/>
          </w:rPr>
          <w:fldChar w:fldCharType="separate"/>
        </w:r>
        <w:r w:rsidR="00D04DB1">
          <w:rPr>
            <w:webHidden/>
          </w:rPr>
          <w:t>44</w:t>
        </w:r>
        <w:r w:rsidR="007323E2">
          <w:rPr>
            <w:webHidden/>
          </w:rPr>
          <w:fldChar w:fldCharType="end"/>
        </w:r>
      </w:hyperlink>
    </w:p>
    <w:p w14:paraId="525F54C4" w14:textId="29E5FA0C" w:rsidR="007323E2" w:rsidRDefault="00671015">
      <w:pPr>
        <w:pStyle w:val="TOC2"/>
        <w:rPr>
          <w:rFonts w:asciiTheme="minorHAnsi" w:eastAsiaTheme="minorEastAsia" w:hAnsiTheme="minorHAnsi" w:cstheme="minorBidi"/>
          <w:color w:val="auto"/>
          <w:sz w:val="22"/>
          <w:szCs w:val="22"/>
        </w:rPr>
      </w:pPr>
      <w:hyperlink w:anchor="_Toc73984749" w:history="1">
        <w:r w:rsidR="007323E2" w:rsidRPr="00453E10">
          <w:rPr>
            <w:rStyle w:val="Hyperlink"/>
          </w:rPr>
          <w:t>Table 4.1: Residential real estate compliance investigations in 2017–18 to 2019–20</w:t>
        </w:r>
        <w:r w:rsidR="007323E2">
          <w:rPr>
            <w:webHidden/>
          </w:rPr>
          <w:tab/>
        </w:r>
        <w:r w:rsidR="007323E2">
          <w:rPr>
            <w:webHidden/>
          </w:rPr>
          <w:fldChar w:fldCharType="begin"/>
        </w:r>
        <w:r w:rsidR="007323E2">
          <w:rPr>
            <w:webHidden/>
          </w:rPr>
          <w:instrText xml:space="preserve"> PAGEREF _Toc73984749 \h </w:instrText>
        </w:r>
        <w:r w:rsidR="007323E2">
          <w:rPr>
            <w:webHidden/>
          </w:rPr>
        </w:r>
        <w:r w:rsidR="007323E2">
          <w:rPr>
            <w:webHidden/>
          </w:rPr>
          <w:fldChar w:fldCharType="separate"/>
        </w:r>
        <w:r w:rsidR="00D04DB1">
          <w:rPr>
            <w:webHidden/>
          </w:rPr>
          <w:t>48</w:t>
        </w:r>
        <w:r w:rsidR="007323E2">
          <w:rPr>
            <w:webHidden/>
          </w:rPr>
          <w:fldChar w:fldCharType="end"/>
        </w:r>
      </w:hyperlink>
    </w:p>
    <w:p w14:paraId="2E43CD27" w14:textId="4D45BB34" w:rsidR="007323E2" w:rsidRDefault="00671015">
      <w:pPr>
        <w:pStyle w:val="TOC2"/>
        <w:rPr>
          <w:rFonts w:asciiTheme="minorHAnsi" w:eastAsiaTheme="minorEastAsia" w:hAnsiTheme="minorHAnsi" w:cstheme="minorBidi"/>
          <w:color w:val="auto"/>
          <w:sz w:val="22"/>
          <w:szCs w:val="22"/>
        </w:rPr>
      </w:pPr>
      <w:hyperlink w:anchor="_Toc73984750" w:history="1">
        <w:r w:rsidR="007323E2" w:rsidRPr="00453E10">
          <w:rPr>
            <w:rStyle w:val="Hyperlink"/>
          </w:rPr>
          <w:t>Table 4.2: Outcomes of residential real estate investigations that identified breaches in 2017–18 to 2019–20</w:t>
        </w:r>
        <w:r w:rsidR="007323E2">
          <w:rPr>
            <w:webHidden/>
          </w:rPr>
          <w:tab/>
        </w:r>
        <w:r w:rsidR="007323E2">
          <w:rPr>
            <w:webHidden/>
          </w:rPr>
          <w:fldChar w:fldCharType="begin"/>
        </w:r>
        <w:r w:rsidR="007323E2">
          <w:rPr>
            <w:webHidden/>
          </w:rPr>
          <w:instrText xml:space="preserve"> PAGEREF _Toc73984750 \h </w:instrText>
        </w:r>
        <w:r w:rsidR="007323E2">
          <w:rPr>
            <w:webHidden/>
          </w:rPr>
        </w:r>
        <w:r w:rsidR="007323E2">
          <w:rPr>
            <w:webHidden/>
          </w:rPr>
          <w:fldChar w:fldCharType="separate"/>
        </w:r>
        <w:r w:rsidR="00D04DB1">
          <w:rPr>
            <w:webHidden/>
          </w:rPr>
          <w:t>50</w:t>
        </w:r>
        <w:r w:rsidR="007323E2">
          <w:rPr>
            <w:webHidden/>
          </w:rPr>
          <w:fldChar w:fldCharType="end"/>
        </w:r>
      </w:hyperlink>
    </w:p>
    <w:p w14:paraId="7A2224DC" w14:textId="2FF725C7" w:rsidR="007323E2" w:rsidRDefault="00671015">
      <w:pPr>
        <w:pStyle w:val="TOC2"/>
        <w:rPr>
          <w:rFonts w:asciiTheme="minorHAnsi" w:eastAsiaTheme="minorEastAsia" w:hAnsiTheme="minorHAnsi" w:cstheme="minorBidi"/>
          <w:color w:val="auto"/>
          <w:sz w:val="22"/>
          <w:szCs w:val="22"/>
        </w:rPr>
      </w:pPr>
      <w:hyperlink w:anchor="_Toc73984751" w:history="1">
        <w:r w:rsidR="007323E2" w:rsidRPr="00453E10">
          <w:rPr>
            <w:rStyle w:val="Hyperlink"/>
          </w:rPr>
          <w:t>Table 4.3: Source of residential real estate cases in 2017–18 to 2019–20</w:t>
        </w:r>
        <w:r w:rsidR="007323E2">
          <w:rPr>
            <w:webHidden/>
          </w:rPr>
          <w:tab/>
        </w:r>
        <w:r w:rsidR="007323E2">
          <w:rPr>
            <w:webHidden/>
          </w:rPr>
          <w:fldChar w:fldCharType="begin"/>
        </w:r>
        <w:r w:rsidR="007323E2">
          <w:rPr>
            <w:webHidden/>
          </w:rPr>
          <w:instrText xml:space="preserve"> PAGEREF _Toc73984751 \h </w:instrText>
        </w:r>
        <w:r w:rsidR="007323E2">
          <w:rPr>
            <w:webHidden/>
          </w:rPr>
        </w:r>
        <w:r w:rsidR="007323E2">
          <w:rPr>
            <w:webHidden/>
          </w:rPr>
          <w:fldChar w:fldCharType="separate"/>
        </w:r>
        <w:r w:rsidR="00D04DB1">
          <w:rPr>
            <w:webHidden/>
          </w:rPr>
          <w:t>51</w:t>
        </w:r>
        <w:r w:rsidR="007323E2">
          <w:rPr>
            <w:webHidden/>
          </w:rPr>
          <w:fldChar w:fldCharType="end"/>
        </w:r>
      </w:hyperlink>
    </w:p>
    <w:p w14:paraId="0AED0802" w14:textId="05CE5D30" w:rsidR="007323E2" w:rsidRDefault="00671015">
      <w:pPr>
        <w:pStyle w:val="TOC2"/>
        <w:rPr>
          <w:rFonts w:asciiTheme="minorHAnsi" w:eastAsiaTheme="minorEastAsia" w:hAnsiTheme="minorHAnsi" w:cstheme="minorBidi"/>
          <w:color w:val="auto"/>
          <w:sz w:val="22"/>
          <w:szCs w:val="22"/>
        </w:rPr>
      </w:pPr>
      <w:hyperlink w:anchor="_Toc73984752" w:history="1">
        <w:r w:rsidR="007323E2" w:rsidRPr="00453E10">
          <w:rPr>
            <w:rStyle w:val="Hyperlink"/>
          </w:rPr>
          <w:t>Table 4.4: Outcomes of completed residential real estate investigations by source in 2017–18 to 2019–20</w:t>
        </w:r>
        <w:r w:rsidR="007323E2">
          <w:rPr>
            <w:webHidden/>
          </w:rPr>
          <w:tab/>
        </w:r>
        <w:r w:rsidR="007323E2">
          <w:rPr>
            <w:webHidden/>
          </w:rPr>
          <w:fldChar w:fldCharType="begin"/>
        </w:r>
        <w:r w:rsidR="007323E2">
          <w:rPr>
            <w:webHidden/>
          </w:rPr>
          <w:instrText xml:space="preserve"> PAGEREF _Toc73984752 \h </w:instrText>
        </w:r>
        <w:r w:rsidR="007323E2">
          <w:rPr>
            <w:webHidden/>
          </w:rPr>
        </w:r>
        <w:r w:rsidR="007323E2">
          <w:rPr>
            <w:webHidden/>
          </w:rPr>
          <w:fldChar w:fldCharType="separate"/>
        </w:r>
        <w:r w:rsidR="00D04DB1">
          <w:rPr>
            <w:webHidden/>
          </w:rPr>
          <w:t>52</w:t>
        </w:r>
        <w:r w:rsidR="007323E2">
          <w:rPr>
            <w:webHidden/>
          </w:rPr>
          <w:fldChar w:fldCharType="end"/>
        </w:r>
      </w:hyperlink>
    </w:p>
    <w:p w14:paraId="4258E069" w14:textId="31FD3B2A" w:rsidR="007323E2" w:rsidRDefault="00671015">
      <w:pPr>
        <w:pStyle w:val="TOC2"/>
        <w:rPr>
          <w:rFonts w:asciiTheme="minorHAnsi" w:eastAsiaTheme="minorEastAsia" w:hAnsiTheme="minorHAnsi" w:cstheme="minorBidi"/>
          <w:color w:val="auto"/>
          <w:sz w:val="22"/>
          <w:szCs w:val="22"/>
        </w:rPr>
      </w:pPr>
      <w:hyperlink w:anchor="_Toc73984753" w:history="1">
        <w:r w:rsidR="007323E2" w:rsidRPr="00453E10">
          <w:rPr>
            <w:rStyle w:val="Hyperlink"/>
          </w:rPr>
          <w:t xml:space="preserve">Table 4.5: Infringement notices issued in relation to residential real estate in </w:t>
        </w:r>
        <w:r w:rsidR="001D14C8">
          <w:rPr>
            <w:rStyle w:val="Hyperlink"/>
          </w:rPr>
          <w:br/>
        </w:r>
        <w:r w:rsidR="007323E2" w:rsidRPr="00453E10">
          <w:rPr>
            <w:rStyle w:val="Hyperlink"/>
          </w:rPr>
          <w:t>2017–18 to 2019–20</w:t>
        </w:r>
        <w:r w:rsidR="007323E2">
          <w:rPr>
            <w:webHidden/>
          </w:rPr>
          <w:tab/>
        </w:r>
        <w:r w:rsidR="007323E2">
          <w:rPr>
            <w:webHidden/>
          </w:rPr>
          <w:fldChar w:fldCharType="begin"/>
        </w:r>
        <w:r w:rsidR="007323E2">
          <w:rPr>
            <w:webHidden/>
          </w:rPr>
          <w:instrText xml:space="preserve"> PAGEREF _Toc73984753 \h </w:instrText>
        </w:r>
        <w:r w:rsidR="007323E2">
          <w:rPr>
            <w:webHidden/>
          </w:rPr>
        </w:r>
        <w:r w:rsidR="007323E2">
          <w:rPr>
            <w:webHidden/>
          </w:rPr>
          <w:fldChar w:fldCharType="separate"/>
        </w:r>
        <w:r w:rsidR="00D04DB1">
          <w:rPr>
            <w:webHidden/>
          </w:rPr>
          <w:t>52</w:t>
        </w:r>
        <w:r w:rsidR="007323E2">
          <w:rPr>
            <w:webHidden/>
          </w:rPr>
          <w:fldChar w:fldCharType="end"/>
        </w:r>
      </w:hyperlink>
    </w:p>
    <w:p w14:paraId="66A5F203" w14:textId="7F5BB1FA" w:rsidR="007323E2" w:rsidRDefault="00671015">
      <w:pPr>
        <w:pStyle w:val="TOC2"/>
        <w:rPr>
          <w:rFonts w:asciiTheme="minorHAnsi" w:eastAsiaTheme="minorEastAsia" w:hAnsiTheme="minorHAnsi" w:cstheme="minorBidi"/>
          <w:color w:val="auto"/>
          <w:sz w:val="22"/>
          <w:szCs w:val="22"/>
        </w:rPr>
      </w:pPr>
      <w:hyperlink w:anchor="_Toc73984754" w:history="1">
        <w:r w:rsidR="007323E2" w:rsidRPr="00453E10">
          <w:rPr>
            <w:rStyle w:val="Hyperlink"/>
          </w:rPr>
          <w:t>Table A.1: Board meeting attendance during 2019–20</w:t>
        </w:r>
        <w:r w:rsidR="007323E2">
          <w:rPr>
            <w:webHidden/>
          </w:rPr>
          <w:tab/>
        </w:r>
        <w:r w:rsidR="007323E2">
          <w:rPr>
            <w:webHidden/>
          </w:rPr>
          <w:fldChar w:fldCharType="begin"/>
        </w:r>
        <w:r w:rsidR="007323E2">
          <w:rPr>
            <w:webHidden/>
          </w:rPr>
          <w:instrText xml:space="preserve"> PAGEREF _Toc73984754 \h </w:instrText>
        </w:r>
        <w:r w:rsidR="007323E2">
          <w:rPr>
            <w:webHidden/>
          </w:rPr>
        </w:r>
        <w:r w:rsidR="007323E2">
          <w:rPr>
            <w:webHidden/>
          </w:rPr>
          <w:fldChar w:fldCharType="separate"/>
        </w:r>
        <w:r w:rsidR="00D04DB1">
          <w:rPr>
            <w:webHidden/>
          </w:rPr>
          <w:t>53</w:t>
        </w:r>
        <w:r w:rsidR="007323E2">
          <w:rPr>
            <w:webHidden/>
          </w:rPr>
          <w:fldChar w:fldCharType="end"/>
        </w:r>
      </w:hyperlink>
    </w:p>
    <w:p w14:paraId="30C2A351" w14:textId="597A02EC" w:rsidR="00A84283" w:rsidRPr="00D02A55" w:rsidRDefault="00D02A55" w:rsidP="00B81342">
      <w:pPr>
        <w:pStyle w:val="TOAHeading"/>
      </w:pPr>
      <w:r>
        <w:fldChar w:fldCharType="end"/>
      </w:r>
      <w:r w:rsidR="00757660">
        <w:t>BOXES</w:t>
      </w:r>
      <w:r w:rsidR="008E42BF">
        <w:t xml:space="preserve">, </w:t>
      </w:r>
      <w:r w:rsidR="00A84283" w:rsidRPr="00D02A55">
        <w:t>CHARTS AND FIGURES</w:t>
      </w:r>
    </w:p>
    <w:p w14:paraId="360037B6" w14:textId="3B3EDA57" w:rsidR="001D6B0F" w:rsidRDefault="00336D6D">
      <w:pPr>
        <w:pStyle w:val="TOC2"/>
        <w:rPr>
          <w:rFonts w:asciiTheme="minorHAnsi" w:eastAsiaTheme="minorEastAsia" w:hAnsiTheme="minorHAnsi" w:cstheme="minorBidi"/>
          <w:color w:val="auto"/>
          <w:sz w:val="22"/>
          <w:szCs w:val="22"/>
        </w:rPr>
      </w:pPr>
      <w:r>
        <w:fldChar w:fldCharType="begin"/>
      </w:r>
      <w:r>
        <w:instrText xml:space="preserve"> TOC \h \z \t "Box Heading,2,Chart Main Heading,2" </w:instrText>
      </w:r>
      <w:r>
        <w:fldChar w:fldCharType="separate"/>
      </w:r>
      <w:hyperlink w:anchor="_Toc68697697" w:history="1">
        <w:r w:rsidR="001D6B0F" w:rsidRPr="00C3264C">
          <w:rPr>
            <w:rStyle w:val="Hyperlink"/>
          </w:rPr>
          <w:t>Box 1: COVID</w:t>
        </w:r>
        <w:r w:rsidR="00BD4D19">
          <w:rPr>
            <w:rStyle w:val="Hyperlink"/>
          </w:rPr>
          <w:noBreakHyphen/>
        </w:r>
        <w:r w:rsidR="001D6B0F" w:rsidRPr="00C3264C">
          <w:rPr>
            <w:rStyle w:val="Hyperlink"/>
          </w:rPr>
          <w:t>19 pandemic and implications for foreign investment</w:t>
        </w:r>
        <w:r w:rsidR="001D6B0F">
          <w:rPr>
            <w:webHidden/>
          </w:rPr>
          <w:tab/>
        </w:r>
        <w:r w:rsidR="001D6B0F">
          <w:rPr>
            <w:webHidden/>
          </w:rPr>
          <w:fldChar w:fldCharType="begin"/>
        </w:r>
        <w:r w:rsidR="001D6B0F">
          <w:rPr>
            <w:webHidden/>
          </w:rPr>
          <w:instrText xml:space="preserve"> PAGEREF _Toc68697697 \h </w:instrText>
        </w:r>
        <w:r w:rsidR="001D6B0F">
          <w:rPr>
            <w:webHidden/>
          </w:rPr>
        </w:r>
        <w:r w:rsidR="001D6B0F">
          <w:rPr>
            <w:webHidden/>
          </w:rPr>
          <w:fldChar w:fldCharType="separate"/>
        </w:r>
        <w:r w:rsidR="00D04DB1">
          <w:rPr>
            <w:webHidden/>
          </w:rPr>
          <w:t>15</w:t>
        </w:r>
        <w:r w:rsidR="001D6B0F">
          <w:rPr>
            <w:webHidden/>
          </w:rPr>
          <w:fldChar w:fldCharType="end"/>
        </w:r>
      </w:hyperlink>
    </w:p>
    <w:p w14:paraId="4166206D" w14:textId="59FEA50E" w:rsidR="001D6B0F" w:rsidRDefault="00671015">
      <w:pPr>
        <w:pStyle w:val="TOC2"/>
        <w:rPr>
          <w:rFonts w:asciiTheme="minorHAnsi" w:eastAsiaTheme="minorEastAsia" w:hAnsiTheme="minorHAnsi" w:cstheme="minorBidi"/>
          <w:color w:val="auto"/>
          <w:sz w:val="22"/>
          <w:szCs w:val="22"/>
        </w:rPr>
      </w:pPr>
      <w:hyperlink w:anchor="_Toc68697698" w:history="1">
        <w:r w:rsidR="001D6B0F" w:rsidRPr="00C3264C">
          <w:rPr>
            <w:rStyle w:val="Hyperlink"/>
          </w:rPr>
          <w:t>Chart 3.1: Approvals value by industry sector: 2018–19 and 2019–20</w:t>
        </w:r>
        <w:r w:rsidR="001D6B0F">
          <w:rPr>
            <w:webHidden/>
          </w:rPr>
          <w:tab/>
        </w:r>
        <w:r w:rsidR="001D6B0F">
          <w:rPr>
            <w:webHidden/>
          </w:rPr>
          <w:fldChar w:fldCharType="begin"/>
        </w:r>
        <w:r w:rsidR="001D6B0F">
          <w:rPr>
            <w:webHidden/>
          </w:rPr>
          <w:instrText xml:space="preserve"> PAGEREF _Toc68697698 \h </w:instrText>
        </w:r>
        <w:r w:rsidR="001D6B0F">
          <w:rPr>
            <w:webHidden/>
          </w:rPr>
        </w:r>
        <w:r w:rsidR="001D6B0F">
          <w:rPr>
            <w:webHidden/>
          </w:rPr>
          <w:fldChar w:fldCharType="separate"/>
        </w:r>
        <w:r w:rsidR="00D04DB1">
          <w:rPr>
            <w:webHidden/>
          </w:rPr>
          <w:t>26</w:t>
        </w:r>
        <w:r w:rsidR="001D6B0F">
          <w:rPr>
            <w:webHidden/>
          </w:rPr>
          <w:fldChar w:fldCharType="end"/>
        </w:r>
      </w:hyperlink>
    </w:p>
    <w:p w14:paraId="05F6D13D" w14:textId="6B9B4925" w:rsidR="001D6B0F" w:rsidRDefault="00671015">
      <w:pPr>
        <w:pStyle w:val="TOC2"/>
        <w:rPr>
          <w:rFonts w:asciiTheme="minorHAnsi" w:eastAsiaTheme="minorEastAsia" w:hAnsiTheme="minorHAnsi" w:cstheme="minorBidi"/>
          <w:color w:val="auto"/>
          <w:sz w:val="22"/>
          <w:szCs w:val="22"/>
        </w:rPr>
      </w:pPr>
      <w:hyperlink w:anchor="_Toc68697699" w:history="1">
        <w:r w:rsidR="001D6B0F" w:rsidRPr="00C3264C">
          <w:rPr>
            <w:rStyle w:val="Hyperlink"/>
          </w:rPr>
          <w:t>Chart 3.2: Share of total value of approvals, by industry sector in 2019–20</w:t>
        </w:r>
        <w:r w:rsidR="001D6B0F">
          <w:rPr>
            <w:webHidden/>
          </w:rPr>
          <w:tab/>
        </w:r>
        <w:r w:rsidR="001D6B0F">
          <w:rPr>
            <w:webHidden/>
          </w:rPr>
          <w:fldChar w:fldCharType="begin"/>
        </w:r>
        <w:r w:rsidR="001D6B0F">
          <w:rPr>
            <w:webHidden/>
          </w:rPr>
          <w:instrText xml:space="preserve"> PAGEREF _Toc68697699 \h </w:instrText>
        </w:r>
        <w:r w:rsidR="001D6B0F">
          <w:rPr>
            <w:webHidden/>
          </w:rPr>
        </w:r>
        <w:r w:rsidR="001D6B0F">
          <w:rPr>
            <w:webHidden/>
          </w:rPr>
          <w:fldChar w:fldCharType="separate"/>
        </w:r>
        <w:r w:rsidR="00D04DB1">
          <w:rPr>
            <w:webHidden/>
          </w:rPr>
          <w:t>26</w:t>
        </w:r>
        <w:r w:rsidR="001D6B0F">
          <w:rPr>
            <w:webHidden/>
          </w:rPr>
          <w:fldChar w:fldCharType="end"/>
        </w:r>
      </w:hyperlink>
    </w:p>
    <w:p w14:paraId="68C5CA41" w14:textId="4A389CFB" w:rsidR="001D6B0F" w:rsidRDefault="00671015">
      <w:pPr>
        <w:pStyle w:val="TOC2"/>
        <w:rPr>
          <w:rFonts w:asciiTheme="minorHAnsi" w:eastAsiaTheme="minorEastAsia" w:hAnsiTheme="minorHAnsi" w:cstheme="minorBidi"/>
          <w:color w:val="auto"/>
          <w:sz w:val="22"/>
          <w:szCs w:val="22"/>
        </w:rPr>
      </w:pPr>
      <w:hyperlink w:anchor="_Toc68697700" w:history="1">
        <w:r w:rsidR="001D6B0F" w:rsidRPr="00C3264C">
          <w:rPr>
            <w:rStyle w:val="Hyperlink"/>
          </w:rPr>
          <w:t>Chart 3.3: Share of residential real estate approvals by state and territory in      2019–20, by number</w:t>
        </w:r>
        <w:r w:rsidR="001D6B0F">
          <w:rPr>
            <w:webHidden/>
          </w:rPr>
          <w:tab/>
        </w:r>
        <w:r w:rsidR="001D6B0F">
          <w:rPr>
            <w:webHidden/>
          </w:rPr>
          <w:fldChar w:fldCharType="begin"/>
        </w:r>
        <w:r w:rsidR="001D6B0F">
          <w:rPr>
            <w:webHidden/>
          </w:rPr>
          <w:instrText xml:space="preserve"> PAGEREF _Toc68697700 \h </w:instrText>
        </w:r>
        <w:r w:rsidR="001D6B0F">
          <w:rPr>
            <w:webHidden/>
          </w:rPr>
        </w:r>
        <w:r w:rsidR="001D6B0F">
          <w:rPr>
            <w:webHidden/>
          </w:rPr>
          <w:fldChar w:fldCharType="separate"/>
        </w:r>
        <w:r w:rsidR="00D04DB1">
          <w:rPr>
            <w:webHidden/>
          </w:rPr>
          <w:t>33</w:t>
        </w:r>
        <w:r w:rsidR="001D6B0F">
          <w:rPr>
            <w:webHidden/>
          </w:rPr>
          <w:fldChar w:fldCharType="end"/>
        </w:r>
      </w:hyperlink>
    </w:p>
    <w:p w14:paraId="06ED0931" w14:textId="7112BEAF" w:rsidR="001D6B0F" w:rsidRDefault="00671015">
      <w:pPr>
        <w:pStyle w:val="TOC2"/>
        <w:rPr>
          <w:rFonts w:asciiTheme="minorHAnsi" w:eastAsiaTheme="minorEastAsia" w:hAnsiTheme="minorHAnsi" w:cstheme="minorBidi"/>
          <w:color w:val="auto"/>
          <w:sz w:val="22"/>
          <w:szCs w:val="22"/>
        </w:rPr>
      </w:pPr>
      <w:hyperlink w:anchor="_Toc68697701" w:history="1">
        <w:r w:rsidR="001D6B0F" w:rsidRPr="00C3264C">
          <w:rPr>
            <w:rStyle w:val="Hyperlink"/>
          </w:rPr>
          <w:t>Chart 4.1: Location of residential real estate breaches identified in 2019–20</w:t>
        </w:r>
        <w:r w:rsidR="001D6B0F">
          <w:rPr>
            <w:webHidden/>
          </w:rPr>
          <w:tab/>
        </w:r>
        <w:r w:rsidR="001D6B0F">
          <w:rPr>
            <w:webHidden/>
          </w:rPr>
          <w:fldChar w:fldCharType="begin"/>
        </w:r>
        <w:r w:rsidR="001D6B0F">
          <w:rPr>
            <w:webHidden/>
          </w:rPr>
          <w:instrText xml:space="preserve"> PAGEREF _Toc68697701 \h </w:instrText>
        </w:r>
        <w:r w:rsidR="001D6B0F">
          <w:rPr>
            <w:webHidden/>
          </w:rPr>
        </w:r>
        <w:r w:rsidR="001D6B0F">
          <w:rPr>
            <w:webHidden/>
          </w:rPr>
          <w:fldChar w:fldCharType="separate"/>
        </w:r>
        <w:r w:rsidR="00D04DB1">
          <w:rPr>
            <w:webHidden/>
          </w:rPr>
          <w:t>51</w:t>
        </w:r>
        <w:r w:rsidR="001D6B0F">
          <w:rPr>
            <w:webHidden/>
          </w:rPr>
          <w:fldChar w:fldCharType="end"/>
        </w:r>
      </w:hyperlink>
    </w:p>
    <w:p w14:paraId="4E864DA7" w14:textId="2859A403" w:rsidR="001D6B0F" w:rsidRDefault="00671015">
      <w:pPr>
        <w:pStyle w:val="TOC2"/>
        <w:rPr>
          <w:rFonts w:asciiTheme="minorHAnsi" w:eastAsiaTheme="minorEastAsia" w:hAnsiTheme="minorHAnsi" w:cstheme="minorBidi"/>
          <w:color w:val="auto"/>
          <w:sz w:val="22"/>
          <w:szCs w:val="22"/>
        </w:rPr>
      </w:pPr>
      <w:hyperlink w:anchor="_Toc68697702" w:history="1">
        <w:r w:rsidR="001D6B0F" w:rsidRPr="00C3264C">
          <w:rPr>
            <w:rStyle w:val="Hyperlink"/>
          </w:rPr>
          <w:t>Timeline of Methodology and Policy Changes</w:t>
        </w:r>
        <w:r w:rsidR="001D6B0F">
          <w:rPr>
            <w:webHidden/>
          </w:rPr>
          <w:tab/>
        </w:r>
        <w:r w:rsidR="001D6B0F">
          <w:rPr>
            <w:webHidden/>
          </w:rPr>
          <w:fldChar w:fldCharType="begin"/>
        </w:r>
        <w:r w:rsidR="001D6B0F">
          <w:rPr>
            <w:webHidden/>
          </w:rPr>
          <w:instrText xml:space="preserve"> PAGEREF _Toc68697702 \h </w:instrText>
        </w:r>
        <w:r w:rsidR="001D6B0F">
          <w:rPr>
            <w:webHidden/>
          </w:rPr>
        </w:r>
        <w:r w:rsidR="001D6B0F">
          <w:rPr>
            <w:webHidden/>
          </w:rPr>
          <w:fldChar w:fldCharType="separate"/>
        </w:r>
        <w:r w:rsidR="00D04DB1">
          <w:rPr>
            <w:webHidden/>
          </w:rPr>
          <w:t>60</w:t>
        </w:r>
        <w:r w:rsidR="001D6B0F">
          <w:rPr>
            <w:webHidden/>
          </w:rPr>
          <w:fldChar w:fldCharType="end"/>
        </w:r>
      </w:hyperlink>
    </w:p>
    <w:p w14:paraId="115DE9FF" w14:textId="77777777" w:rsidR="009B6781" w:rsidRPr="00A84283" w:rsidRDefault="00336D6D" w:rsidP="002E2EFE">
      <w:r>
        <w:fldChar w:fldCharType="end"/>
      </w:r>
    </w:p>
    <w:p w14:paraId="5AE68572" w14:textId="77777777" w:rsidR="00A84283" w:rsidRDefault="00A84283" w:rsidP="007149D6">
      <w:pPr>
        <w:pStyle w:val="TOAHeading"/>
      </w:pPr>
      <w:bookmarkStart w:id="6" w:name="_Toc31303007"/>
      <w:r w:rsidRPr="00D02A55">
        <w:t>CASE STUDIES</w:t>
      </w:r>
      <w:bookmarkEnd w:id="6"/>
    </w:p>
    <w:p w14:paraId="5A103C71" w14:textId="1C5C0ED5" w:rsidR="007323E2" w:rsidRDefault="00060DB2">
      <w:pPr>
        <w:pStyle w:val="TOC2"/>
        <w:rPr>
          <w:rFonts w:asciiTheme="minorHAnsi" w:eastAsiaTheme="minorEastAsia" w:hAnsiTheme="minorHAnsi" w:cstheme="minorBidi"/>
          <w:color w:val="auto"/>
          <w:sz w:val="22"/>
          <w:szCs w:val="22"/>
        </w:rPr>
      </w:pPr>
      <w:r w:rsidRPr="005D2015">
        <w:fldChar w:fldCharType="begin"/>
      </w:r>
      <w:r w:rsidRPr="005D2015">
        <w:instrText xml:space="preserve"> TOC \h \z \t "Case Study Heading,2" </w:instrText>
      </w:r>
      <w:r w:rsidRPr="005D2015">
        <w:fldChar w:fldCharType="separate"/>
      </w:r>
      <w:hyperlink r:id="rId31" w:anchor="_Toc73984755" w:history="1">
        <w:r w:rsidR="007323E2" w:rsidRPr="003C2ADC">
          <w:rPr>
            <w:rStyle w:val="Hyperlink"/>
          </w:rPr>
          <w:t>Virgin Australia</w:t>
        </w:r>
        <w:r w:rsidR="007323E2">
          <w:rPr>
            <w:webHidden/>
          </w:rPr>
          <w:tab/>
        </w:r>
        <w:r w:rsidR="007323E2">
          <w:rPr>
            <w:webHidden/>
          </w:rPr>
          <w:fldChar w:fldCharType="begin"/>
        </w:r>
        <w:r w:rsidR="007323E2">
          <w:rPr>
            <w:webHidden/>
          </w:rPr>
          <w:instrText xml:space="preserve"> PAGEREF _Toc73984755 \h </w:instrText>
        </w:r>
        <w:r w:rsidR="007323E2">
          <w:rPr>
            <w:webHidden/>
          </w:rPr>
        </w:r>
        <w:r w:rsidR="007323E2">
          <w:rPr>
            <w:webHidden/>
          </w:rPr>
          <w:fldChar w:fldCharType="separate"/>
        </w:r>
        <w:r w:rsidR="00D04DB1">
          <w:rPr>
            <w:webHidden/>
          </w:rPr>
          <w:t>17</w:t>
        </w:r>
        <w:r w:rsidR="007323E2">
          <w:rPr>
            <w:webHidden/>
          </w:rPr>
          <w:fldChar w:fldCharType="end"/>
        </w:r>
      </w:hyperlink>
    </w:p>
    <w:p w14:paraId="3BEB9E12" w14:textId="4703C0C4" w:rsidR="007323E2" w:rsidRDefault="00671015">
      <w:pPr>
        <w:pStyle w:val="TOC2"/>
        <w:rPr>
          <w:rFonts w:asciiTheme="minorHAnsi" w:eastAsiaTheme="minorEastAsia" w:hAnsiTheme="minorHAnsi" w:cstheme="minorBidi"/>
          <w:color w:val="auto"/>
          <w:sz w:val="22"/>
          <w:szCs w:val="22"/>
        </w:rPr>
      </w:pPr>
      <w:hyperlink r:id="rId32" w:anchor="_Toc73984756" w:history="1">
        <w:r w:rsidR="007323E2" w:rsidRPr="003C2ADC">
          <w:rPr>
            <w:rStyle w:val="Hyperlink"/>
          </w:rPr>
          <w:t>Sargon Capital</w:t>
        </w:r>
        <w:r w:rsidR="007323E2">
          <w:rPr>
            <w:webHidden/>
          </w:rPr>
          <w:tab/>
        </w:r>
        <w:r w:rsidR="007323E2">
          <w:rPr>
            <w:webHidden/>
          </w:rPr>
          <w:fldChar w:fldCharType="begin"/>
        </w:r>
        <w:r w:rsidR="007323E2">
          <w:rPr>
            <w:webHidden/>
          </w:rPr>
          <w:instrText xml:space="preserve"> PAGEREF _Toc73984756 \h </w:instrText>
        </w:r>
        <w:r w:rsidR="007323E2">
          <w:rPr>
            <w:webHidden/>
          </w:rPr>
        </w:r>
        <w:r w:rsidR="007323E2">
          <w:rPr>
            <w:webHidden/>
          </w:rPr>
          <w:fldChar w:fldCharType="separate"/>
        </w:r>
        <w:r w:rsidR="00D04DB1">
          <w:rPr>
            <w:webHidden/>
          </w:rPr>
          <w:t>29</w:t>
        </w:r>
        <w:r w:rsidR="007323E2">
          <w:rPr>
            <w:webHidden/>
          </w:rPr>
          <w:fldChar w:fldCharType="end"/>
        </w:r>
      </w:hyperlink>
    </w:p>
    <w:p w14:paraId="6D3749C5" w14:textId="591BE09E" w:rsidR="00D02A55" w:rsidRPr="005D2015" w:rsidRDefault="00060DB2" w:rsidP="00D02A55">
      <w:pPr>
        <w:rPr>
          <w:color w:val="auto"/>
        </w:rPr>
      </w:pPr>
      <w:r w:rsidRPr="005D2015">
        <w:fldChar w:fldCharType="end"/>
      </w:r>
    </w:p>
    <w:p w14:paraId="6A05B9E3" w14:textId="77777777" w:rsidR="00001E13" w:rsidRDefault="00001E13" w:rsidP="007674AA">
      <w:pPr>
        <w:pStyle w:val="Heading1"/>
        <w:sectPr w:rsidR="00001E13" w:rsidSect="00B81342">
          <w:headerReference w:type="default" r:id="rId33"/>
          <w:headerReference w:type="first" r:id="rId34"/>
          <w:footerReference w:type="first" r:id="rId35"/>
          <w:type w:val="oddPage"/>
          <w:pgSz w:w="11906" w:h="16838" w:code="9"/>
          <w:pgMar w:top="2466" w:right="2098" w:bottom="2466" w:left="2098" w:header="1899" w:footer="1899" w:gutter="0"/>
          <w:pgNumType w:fmt="lowerRoman"/>
          <w:cols w:space="708"/>
          <w:titlePg/>
          <w:docGrid w:linePitch="360"/>
        </w:sectPr>
      </w:pPr>
      <w:bookmarkStart w:id="7" w:name="_Toc31296890"/>
      <w:bookmarkStart w:id="8" w:name="_Toc31636008"/>
      <w:bookmarkStart w:id="9" w:name="_Toc31642777"/>
      <w:bookmarkStart w:id="10" w:name="_Toc32247786"/>
      <w:bookmarkStart w:id="11" w:name="_Toc63782917"/>
      <w:bookmarkStart w:id="12" w:name="_Toc31296891"/>
      <w:bookmarkStart w:id="13" w:name="_Toc31636009"/>
      <w:bookmarkStart w:id="14" w:name="_Toc31642778"/>
    </w:p>
    <w:p w14:paraId="78B9329F" w14:textId="77777777" w:rsidR="00791125" w:rsidRPr="00D70C5D" w:rsidRDefault="00791125" w:rsidP="007674AA">
      <w:pPr>
        <w:pStyle w:val="Heading1"/>
      </w:pPr>
      <w:bookmarkStart w:id="15" w:name="_Toc75244046"/>
      <w:r w:rsidRPr="00D70C5D">
        <w:t>E</w:t>
      </w:r>
      <w:r w:rsidR="00B76BA6">
        <w:t xml:space="preserve">xecutive </w:t>
      </w:r>
      <w:r w:rsidRPr="00D70C5D">
        <w:t>S</w:t>
      </w:r>
      <w:r w:rsidR="00B76BA6">
        <w:t>ummary</w:t>
      </w:r>
      <w:bookmarkEnd w:id="7"/>
      <w:bookmarkEnd w:id="8"/>
      <w:bookmarkEnd w:id="9"/>
      <w:bookmarkEnd w:id="10"/>
      <w:bookmarkEnd w:id="11"/>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DDD5"/>
        <w:tblLook w:val="04A0" w:firstRow="1" w:lastRow="0" w:firstColumn="1" w:lastColumn="0" w:noHBand="0" w:noVBand="1"/>
      </w:tblPr>
      <w:tblGrid>
        <w:gridCol w:w="7700"/>
      </w:tblGrid>
      <w:tr w:rsidR="00672036" w14:paraId="00495BA2" w14:textId="77777777" w:rsidTr="005F43E6">
        <w:trPr>
          <w:trHeight w:val="5783"/>
        </w:trPr>
        <w:tc>
          <w:tcPr>
            <w:tcW w:w="7700" w:type="dxa"/>
            <w:shd w:val="clear" w:color="auto" w:fill="D1DDD5"/>
            <w:vAlign w:val="center"/>
          </w:tcPr>
          <w:p w14:paraId="73D7F2F2" w14:textId="353ADCFB" w:rsidR="00672036" w:rsidRDefault="00672036" w:rsidP="005F43E6">
            <w:r>
              <w:t>This Annual Report provides an insight into proposed foreign investment during an extraordinary year for Australia and the world. The 2019</w:t>
            </w:r>
            <w:r w:rsidR="000207A1">
              <w:t>–</w:t>
            </w:r>
            <w:r>
              <w:t>20 year was a significant year not only in relation to the</w:t>
            </w:r>
            <w:r w:rsidRPr="006B1536">
              <w:t xml:space="preserve"> </w:t>
            </w:r>
            <w:r>
              <w:t>temporary measures introduced by the Government on 29 March 2020 to protect Australia</w:t>
            </w:r>
            <w:r w:rsidR="00BD4D19">
              <w:t>’</w:t>
            </w:r>
            <w:r>
              <w:t>s national interest during the COVID</w:t>
            </w:r>
            <w:r w:rsidR="00BD4D19">
              <w:noBreakHyphen/>
            </w:r>
            <w:r>
              <w:t>19 pandemic, but also with the announcement of reforms to the foreign investment framework, which were subsequently introduced into and passed by the Parliament in 2020</w:t>
            </w:r>
            <w:r w:rsidR="00F26A86">
              <w:t>–</w:t>
            </w:r>
            <w:r>
              <w:t xml:space="preserve">21. </w:t>
            </w:r>
          </w:p>
          <w:p w14:paraId="3E90316A" w14:textId="5A7C73B5" w:rsidR="00672036" w:rsidRDefault="00672036" w:rsidP="005F43E6">
            <w:pPr>
              <w:rPr>
                <w:rFonts w:cstheme="minorHAnsi"/>
                <w:color w:val="212529"/>
                <w:lang w:val="en"/>
              </w:rPr>
            </w:pPr>
            <w:r>
              <w:t>2019</w:t>
            </w:r>
            <w:r w:rsidR="00F26A86">
              <w:t>–</w:t>
            </w:r>
            <w:r>
              <w:t>20 saw a decline in the number and value of approvals for proposed foreign investment in Australia compared to 2018</w:t>
            </w:r>
            <w:r w:rsidR="00F26A86">
              <w:t>–</w:t>
            </w:r>
            <w:r>
              <w:t>19. Business applications were impacted in the second half of 2019</w:t>
            </w:r>
            <w:r w:rsidR="00F26A86">
              <w:t>–</w:t>
            </w:r>
            <w:r>
              <w:t>20 by the global economic downturn caused by the COVID</w:t>
            </w:r>
            <w:r w:rsidR="00BD4D19">
              <w:noBreakHyphen/>
            </w:r>
            <w:r>
              <w:t>19 pandemic</w:t>
            </w:r>
            <w:r>
              <w:rPr>
                <w:rFonts w:cstheme="minorHAnsi"/>
                <w:color w:val="212529"/>
                <w:lang w:val="en"/>
              </w:rPr>
              <w:t>. However, Australia fared positively during the COVID</w:t>
            </w:r>
            <w:r w:rsidR="00BD4D19">
              <w:rPr>
                <w:rFonts w:cstheme="minorHAnsi"/>
                <w:color w:val="212529"/>
                <w:lang w:val="en"/>
              </w:rPr>
              <w:noBreakHyphen/>
            </w:r>
            <w:r>
              <w:rPr>
                <w:rFonts w:cstheme="minorHAnsi"/>
                <w:color w:val="212529"/>
                <w:lang w:val="en"/>
              </w:rPr>
              <w:t xml:space="preserve">19 pandemic period when compared to other developed countries, </w:t>
            </w:r>
            <w:r>
              <w:t xml:space="preserve">with </w:t>
            </w:r>
            <w:r>
              <w:rPr>
                <w:rFonts w:cstheme="minorHAnsi"/>
                <w:color w:val="212529"/>
                <w:lang w:val="en"/>
              </w:rPr>
              <w:t>independent reports noting that Australia</w:t>
            </w:r>
            <w:r w:rsidR="00BD4D19">
              <w:rPr>
                <w:rFonts w:cstheme="minorHAnsi"/>
                <w:color w:val="212529"/>
                <w:lang w:val="en"/>
              </w:rPr>
              <w:t>’</w:t>
            </w:r>
            <w:r>
              <w:rPr>
                <w:rFonts w:cstheme="minorHAnsi"/>
                <w:color w:val="212529"/>
                <w:lang w:val="en"/>
              </w:rPr>
              <w:t xml:space="preserve">s reduction in </w:t>
            </w:r>
            <w:r w:rsidR="00555DD2">
              <w:rPr>
                <w:rFonts w:cstheme="minorHAnsi"/>
                <w:color w:val="212529"/>
                <w:lang w:val="en"/>
              </w:rPr>
              <w:t>Foreign Direct I</w:t>
            </w:r>
            <w:r>
              <w:rPr>
                <w:rFonts w:cstheme="minorHAnsi"/>
                <w:color w:val="212529"/>
                <w:lang w:val="en"/>
              </w:rPr>
              <w:t>nvestment (FDI) during the period was only slightly more than the average reduction globally.</w:t>
            </w:r>
            <w:r>
              <w:rPr>
                <w:rStyle w:val="FootnoteReference"/>
                <w:rFonts w:cstheme="minorHAnsi"/>
                <w:color w:val="212529"/>
                <w:lang w:val="en"/>
              </w:rPr>
              <w:footnoteReference w:id="2"/>
            </w:r>
            <w:r>
              <w:rPr>
                <w:rFonts w:cstheme="minorHAnsi"/>
                <w:color w:val="212529"/>
                <w:lang w:val="en"/>
              </w:rPr>
              <w:t xml:space="preserve"> </w:t>
            </w:r>
          </w:p>
          <w:p w14:paraId="1D23C500" w14:textId="25F88A6B" w:rsidR="00672036" w:rsidRPr="00672036" w:rsidRDefault="00672036" w:rsidP="005F43E6">
            <w:pPr>
              <w:rPr>
                <w:lang w:val="en-US"/>
              </w:rPr>
            </w:pPr>
            <w:r>
              <w:t>Looking to the future, there is an expected recovery in 2020</w:t>
            </w:r>
            <w:r w:rsidR="00F26A86">
              <w:t>–</w:t>
            </w:r>
            <w:r>
              <w:t xml:space="preserve">21, with Australia continuing to remain an attractive destination for foreign investment, supported by </w:t>
            </w:r>
            <w:r w:rsidRPr="00910389">
              <w:rPr>
                <w:lang w:val="en-US"/>
              </w:rPr>
              <w:t>our stable democracy; strong rule of law; highly</w:t>
            </w:r>
            <w:r w:rsidR="00BD4D19">
              <w:rPr>
                <w:lang w:val="en-US"/>
              </w:rPr>
              <w:noBreakHyphen/>
            </w:r>
            <w:r w:rsidRPr="00910389">
              <w:rPr>
                <w:lang w:val="en-US"/>
              </w:rPr>
              <w:t>skilled and educated workforce; proximity to dynamic and fast</w:t>
            </w:r>
            <w:r w:rsidR="00BD4D19">
              <w:rPr>
                <w:lang w:val="en-US"/>
              </w:rPr>
              <w:noBreakHyphen/>
            </w:r>
            <w:r w:rsidRPr="00910389">
              <w:rPr>
                <w:lang w:val="en-US"/>
              </w:rPr>
              <w:t>growing markets; abundant natural resources and world</w:t>
            </w:r>
            <w:r w:rsidR="00BD4D19">
              <w:rPr>
                <w:lang w:val="en-US"/>
              </w:rPr>
              <w:noBreakHyphen/>
            </w:r>
            <w:r w:rsidRPr="00910389">
              <w:rPr>
                <w:lang w:val="en-US"/>
              </w:rPr>
              <w:t>class industry capabilities; and strong and well managed economy.</w:t>
            </w:r>
          </w:p>
        </w:tc>
      </w:tr>
    </w:tbl>
    <w:p w14:paraId="194D0608" w14:textId="77777777" w:rsidR="00672036" w:rsidRDefault="00672036" w:rsidP="00672036">
      <w:pPr>
        <w:pStyle w:val="SingleParagraph"/>
      </w:pPr>
    </w:p>
    <w:p w14:paraId="3AED32E1" w14:textId="21CF7DE9" w:rsidR="00DE7F7E" w:rsidRDefault="00DE7F7E" w:rsidP="00DE7F7E">
      <w:pPr>
        <w:pStyle w:val="Bullet"/>
        <w:ind w:left="284" w:hanging="284"/>
      </w:pPr>
      <w:r w:rsidRPr="00736DF0">
        <w:t>Data in this report reflects proposed foreign investment</w:t>
      </w:r>
      <w:r w:rsidR="00423801">
        <w:t xml:space="preserve"> under the </w:t>
      </w:r>
      <w:r w:rsidR="00EE32CD">
        <w:t>Act</w:t>
      </w:r>
      <w:r w:rsidRPr="00736DF0">
        <w:t xml:space="preserve"> in 2019</w:t>
      </w:r>
      <w:r w:rsidR="00F26A86">
        <w:t>–</w:t>
      </w:r>
      <w:r w:rsidRPr="00736DF0">
        <w:t>20, thereby providing information regarding flows of proposed investment into Australia in the period.</w:t>
      </w:r>
    </w:p>
    <w:p w14:paraId="38C5BF02" w14:textId="77777777" w:rsidR="00077B5C" w:rsidRPr="00DB64E2" w:rsidRDefault="00077B5C" w:rsidP="00077B5C">
      <w:pPr>
        <w:pStyle w:val="Bullet"/>
        <w:ind w:left="284" w:hanging="284"/>
      </w:pPr>
      <w:r>
        <w:t xml:space="preserve">During the year, </w:t>
      </w:r>
      <w:r w:rsidRPr="00736DF0">
        <w:t xml:space="preserve">Australia remained an attractive destination for </w:t>
      </w:r>
      <w:r w:rsidR="002A039E">
        <w:t xml:space="preserve">Foreign </w:t>
      </w:r>
      <w:r w:rsidRPr="00736DF0">
        <w:t>D</w:t>
      </w:r>
      <w:r w:rsidR="002A039E">
        <w:t xml:space="preserve">irect </w:t>
      </w:r>
      <w:r w:rsidRPr="00736DF0">
        <w:t>I</w:t>
      </w:r>
      <w:r w:rsidR="002A039E">
        <w:t>nvestment</w:t>
      </w:r>
      <w:r>
        <w:t>, despite a reduction in the number and value of proposed applications in the year</w:t>
      </w:r>
      <w:r w:rsidRPr="00736DF0">
        <w:t xml:space="preserve">. </w:t>
      </w:r>
      <w:r w:rsidR="0024464F" w:rsidRPr="00DB64E2">
        <w:t>The number of business applications dropped slightly compared to 2018</w:t>
      </w:r>
      <w:r w:rsidR="00F26A86">
        <w:t>–</w:t>
      </w:r>
      <w:r w:rsidR="00DB64E2" w:rsidRPr="00DB64E2">
        <w:t>19, but</w:t>
      </w:r>
      <w:r w:rsidR="0024464F" w:rsidRPr="00DB64E2">
        <w:t xml:space="preserve"> remain</w:t>
      </w:r>
      <w:r w:rsidR="002A039E">
        <w:t>ed</w:t>
      </w:r>
      <w:r w:rsidR="0024464F" w:rsidRPr="00DB64E2">
        <w:t xml:space="preserve"> strong overall compared to long term trends</w:t>
      </w:r>
      <w:r w:rsidR="00E005D2" w:rsidRPr="00DB64E2">
        <w:t xml:space="preserve">. </w:t>
      </w:r>
    </w:p>
    <w:p w14:paraId="153D708B" w14:textId="001F03FA" w:rsidR="00077B5C" w:rsidRPr="00736DF0" w:rsidRDefault="00077B5C" w:rsidP="00077B5C">
      <w:pPr>
        <w:pStyle w:val="Bullet"/>
        <w:ind w:left="284" w:hanging="284"/>
      </w:pPr>
      <w:r>
        <w:t xml:space="preserve">There were significant policy developments during the year, with the introduction of the </w:t>
      </w:r>
      <w:r w:rsidR="002A039E">
        <w:rPr>
          <w:rFonts w:cstheme="minorHAnsi"/>
        </w:rPr>
        <w:t>zero dollar threshold</w:t>
      </w:r>
      <w:r w:rsidR="00EC68A4">
        <w:rPr>
          <w:rFonts w:cstheme="minorHAnsi"/>
        </w:rPr>
        <w:t xml:space="preserve"> </w:t>
      </w:r>
      <w:r>
        <w:t>at the end of March</w:t>
      </w:r>
      <w:r w:rsidR="00CA70E1">
        <w:t xml:space="preserve"> 2020 </w:t>
      </w:r>
      <w:r>
        <w:t>and the announcement of major policy changes in June</w:t>
      </w:r>
      <w:r w:rsidR="00CA70E1">
        <w:t> 2020</w:t>
      </w:r>
      <w:r>
        <w:t xml:space="preserve">. Significant operational changes were made to accommodate the impact of the </w:t>
      </w:r>
      <w:r w:rsidR="002A039E">
        <w:rPr>
          <w:rFonts w:cstheme="minorHAnsi"/>
        </w:rPr>
        <w:t>zero dollar threshold</w:t>
      </w:r>
      <w:r w:rsidR="00730A7A">
        <w:rPr>
          <w:rFonts w:cstheme="minorHAnsi"/>
        </w:rPr>
        <w:t> </w:t>
      </w:r>
      <w:r w:rsidR="00730A7A">
        <w:t>and</w:t>
      </w:r>
      <w:r>
        <w:t xml:space="preserve"> ensure that administration of the foreign investment framework remained effective. </w:t>
      </w:r>
      <w:r w:rsidR="00454F4E">
        <w:t xml:space="preserve">The </w:t>
      </w:r>
      <w:r w:rsidR="00730A7A">
        <w:t>changes increased</w:t>
      </w:r>
      <w:r w:rsidR="00454F4E">
        <w:t xml:space="preserve"> t</w:t>
      </w:r>
      <w:r w:rsidR="00454F4E">
        <w:rPr>
          <w:rFonts w:cstheme="minorHAnsi"/>
          <w:lang w:val="en"/>
        </w:rPr>
        <w:t>he median application processing time</w:t>
      </w:r>
      <w:r w:rsidR="00172AAF">
        <w:rPr>
          <w:rFonts w:cstheme="minorHAnsi"/>
          <w:lang w:val="en"/>
        </w:rPr>
        <w:t>.</w:t>
      </w:r>
      <w:r w:rsidR="00454F4E">
        <w:rPr>
          <w:rFonts w:cstheme="minorHAnsi"/>
          <w:lang w:val="en"/>
        </w:rPr>
        <w:t xml:space="preserve"> </w:t>
      </w:r>
      <w:r w:rsidR="00172AAF">
        <w:rPr>
          <w:rFonts w:cstheme="minorHAnsi"/>
          <w:lang w:val="en"/>
        </w:rPr>
        <w:t>I</w:t>
      </w:r>
      <w:r w:rsidR="00454F4E">
        <w:rPr>
          <w:rFonts w:cstheme="minorHAnsi"/>
          <w:lang w:val="en"/>
        </w:rPr>
        <w:t>n 2019</w:t>
      </w:r>
      <w:r w:rsidR="00730A7A">
        <w:rPr>
          <w:rFonts w:cstheme="minorHAnsi"/>
          <w:lang w:val="en"/>
        </w:rPr>
        <w:t>–</w:t>
      </w:r>
      <w:r w:rsidR="00454F4E">
        <w:rPr>
          <w:rFonts w:cstheme="minorHAnsi"/>
          <w:lang w:val="en"/>
        </w:rPr>
        <w:t xml:space="preserve">20 </w:t>
      </w:r>
      <w:r w:rsidR="00172AAF">
        <w:rPr>
          <w:rFonts w:cstheme="minorHAnsi"/>
          <w:lang w:val="en"/>
        </w:rPr>
        <w:t>the</w:t>
      </w:r>
      <w:r w:rsidR="00EC68A4">
        <w:rPr>
          <w:rFonts w:cstheme="minorHAnsi"/>
          <w:lang w:val="en"/>
        </w:rPr>
        <w:t xml:space="preserve"> </w:t>
      </w:r>
      <w:r w:rsidR="00454F4E">
        <w:rPr>
          <w:rFonts w:cstheme="minorHAnsi"/>
          <w:lang w:val="en"/>
        </w:rPr>
        <w:t xml:space="preserve">Treasury </w:t>
      </w:r>
      <w:r w:rsidR="00172AAF">
        <w:rPr>
          <w:rFonts w:cstheme="minorHAnsi"/>
          <w:lang w:val="en"/>
        </w:rPr>
        <w:t xml:space="preserve">median processing time </w:t>
      </w:r>
      <w:r w:rsidR="00454F4E">
        <w:rPr>
          <w:rFonts w:cstheme="minorHAnsi"/>
          <w:lang w:val="en"/>
        </w:rPr>
        <w:t>was 48</w:t>
      </w:r>
      <w:r w:rsidR="00111375">
        <w:rPr>
          <w:rFonts w:cstheme="minorHAnsi"/>
          <w:lang w:val="en"/>
        </w:rPr>
        <w:t> </w:t>
      </w:r>
      <w:r w:rsidR="00454F4E">
        <w:rPr>
          <w:rFonts w:cstheme="minorHAnsi"/>
          <w:lang w:val="en"/>
        </w:rPr>
        <w:t>days (41</w:t>
      </w:r>
      <w:r w:rsidR="00111375">
        <w:rPr>
          <w:rFonts w:cstheme="minorHAnsi"/>
          <w:lang w:val="en"/>
        </w:rPr>
        <w:t> </w:t>
      </w:r>
      <w:r w:rsidR="00454F4E">
        <w:rPr>
          <w:rFonts w:cstheme="minorHAnsi"/>
          <w:lang w:val="en"/>
        </w:rPr>
        <w:t>days in 2018</w:t>
      </w:r>
      <w:r w:rsidR="00730A7A">
        <w:rPr>
          <w:rFonts w:cstheme="minorHAnsi"/>
          <w:lang w:val="en"/>
        </w:rPr>
        <w:t>–</w:t>
      </w:r>
      <w:r w:rsidR="00454F4E">
        <w:rPr>
          <w:rFonts w:cstheme="minorHAnsi"/>
          <w:lang w:val="en"/>
        </w:rPr>
        <w:t>19</w:t>
      </w:r>
      <w:r w:rsidR="00454F4E">
        <w:rPr>
          <w:rStyle w:val="FootnoteReference"/>
          <w:rFonts w:cstheme="minorHAnsi"/>
          <w:lang w:val="en"/>
        </w:rPr>
        <w:footnoteReference w:id="3"/>
      </w:r>
      <w:r w:rsidR="00454F4E">
        <w:rPr>
          <w:rFonts w:cstheme="minorHAnsi"/>
          <w:lang w:val="en"/>
        </w:rPr>
        <w:t>) and for the ATO,</w:t>
      </w:r>
      <w:r w:rsidR="00172AAF">
        <w:rPr>
          <w:rFonts w:cstheme="minorHAnsi"/>
          <w:lang w:val="en"/>
        </w:rPr>
        <w:t xml:space="preserve"> it was</w:t>
      </w:r>
      <w:r w:rsidR="00454F4E">
        <w:rPr>
          <w:rFonts w:cstheme="minorHAnsi"/>
          <w:lang w:val="en"/>
        </w:rPr>
        <w:t xml:space="preserve"> 10 days for residential applications (9</w:t>
      </w:r>
      <w:r w:rsidR="00111375">
        <w:rPr>
          <w:rFonts w:cstheme="minorHAnsi"/>
          <w:lang w:val="en"/>
        </w:rPr>
        <w:t> </w:t>
      </w:r>
      <w:r w:rsidR="00454F4E">
        <w:rPr>
          <w:rFonts w:cstheme="minorHAnsi"/>
          <w:lang w:val="en"/>
        </w:rPr>
        <w:t>days in 2018</w:t>
      </w:r>
      <w:r w:rsidR="00730A7A">
        <w:rPr>
          <w:rFonts w:cstheme="minorHAnsi"/>
          <w:lang w:val="en"/>
        </w:rPr>
        <w:t>–</w:t>
      </w:r>
      <w:r w:rsidR="00454F4E">
        <w:rPr>
          <w:rFonts w:cstheme="minorHAnsi"/>
          <w:lang w:val="en"/>
        </w:rPr>
        <w:t>19) and 25</w:t>
      </w:r>
      <w:r w:rsidR="00111375">
        <w:rPr>
          <w:rFonts w:cstheme="minorHAnsi"/>
          <w:lang w:val="en"/>
        </w:rPr>
        <w:t> </w:t>
      </w:r>
      <w:r w:rsidR="00454F4E">
        <w:rPr>
          <w:rFonts w:cstheme="minorHAnsi"/>
          <w:lang w:val="en"/>
        </w:rPr>
        <w:t>days for non</w:t>
      </w:r>
      <w:r w:rsidR="00BD4D19">
        <w:rPr>
          <w:rFonts w:cstheme="minorHAnsi"/>
          <w:lang w:val="en"/>
        </w:rPr>
        <w:noBreakHyphen/>
      </w:r>
      <w:r w:rsidR="00454F4E">
        <w:rPr>
          <w:rFonts w:cstheme="minorHAnsi"/>
          <w:lang w:val="en"/>
        </w:rPr>
        <w:t>sensitive commercial applications (23</w:t>
      </w:r>
      <w:r w:rsidR="00111375">
        <w:rPr>
          <w:rFonts w:cstheme="minorHAnsi"/>
          <w:lang w:val="en"/>
        </w:rPr>
        <w:t> </w:t>
      </w:r>
      <w:r w:rsidR="00454F4E">
        <w:rPr>
          <w:rFonts w:cstheme="minorHAnsi"/>
          <w:lang w:val="en"/>
        </w:rPr>
        <w:t>days in 2018</w:t>
      </w:r>
      <w:r w:rsidR="00730A7A">
        <w:rPr>
          <w:rFonts w:cstheme="minorHAnsi"/>
          <w:lang w:val="en"/>
        </w:rPr>
        <w:t>–</w:t>
      </w:r>
      <w:r w:rsidR="00454F4E">
        <w:rPr>
          <w:rFonts w:cstheme="minorHAnsi"/>
          <w:lang w:val="en"/>
        </w:rPr>
        <w:t>19).</w:t>
      </w:r>
    </w:p>
    <w:p w14:paraId="0A06753E" w14:textId="77777777" w:rsidR="00077B5C" w:rsidRDefault="00077B5C" w:rsidP="00077B5C">
      <w:pPr>
        <w:pStyle w:val="Bullet"/>
        <w:ind w:left="284" w:hanging="284"/>
      </w:pPr>
      <w:r>
        <w:t>While there was a reduction in the overall number and value of investment approvals, Treasury experienced a significant increase in the number of applications on hand</w:t>
      </w:r>
      <w:r w:rsidR="00A7216B">
        <w:t xml:space="preserve"> in response to the </w:t>
      </w:r>
      <w:r w:rsidR="00172AAF">
        <w:rPr>
          <w:rFonts w:cstheme="minorHAnsi"/>
        </w:rPr>
        <w:t>zero dollar threshold from 29 March 2020</w:t>
      </w:r>
      <w:r>
        <w:t>, with numbers peaking at over 700</w:t>
      </w:r>
      <w:r w:rsidR="00111375">
        <w:t> </w:t>
      </w:r>
      <w:r>
        <w:t>applications</w:t>
      </w:r>
      <w:r w:rsidR="003840B2">
        <w:t xml:space="preserve"> at the end of 2020</w:t>
      </w:r>
      <w:r>
        <w:t xml:space="preserve">, albeit outside </w:t>
      </w:r>
      <w:r w:rsidR="00116944">
        <w:t xml:space="preserve">of </w:t>
      </w:r>
      <w:r>
        <w:t>this reporting period.</w:t>
      </w:r>
      <w:r w:rsidR="00454F4E">
        <w:t xml:space="preserve"> </w:t>
      </w:r>
    </w:p>
    <w:p w14:paraId="34CC8FC9" w14:textId="77777777" w:rsidR="00077B5C" w:rsidRPr="00736DF0" w:rsidRDefault="00077B5C" w:rsidP="00077B5C">
      <w:pPr>
        <w:pStyle w:val="Bullet"/>
        <w:ind w:left="284" w:hanging="284"/>
      </w:pPr>
      <w:r w:rsidRPr="00736DF0">
        <w:t xml:space="preserve">The </w:t>
      </w:r>
      <w:r w:rsidR="00E62166">
        <w:t>total value of</w:t>
      </w:r>
      <w:r w:rsidR="00E62166" w:rsidRPr="00736DF0">
        <w:t xml:space="preserve"> </w:t>
      </w:r>
      <w:r w:rsidR="002520AF">
        <w:t>investment approvals</w:t>
      </w:r>
      <w:r w:rsidRPr="00736DF0">
        <w:t xml:space="preserve"> </w:t>
      </w:r>
      <w:r w:rsidR="00F76CD0">
        <w:t>in 2019</w:t>
      </w:r>
      <w:r w:rsidR="00F26A86">
        <w:t>–</w:t>
      </w:r>
      <w:r w:rsidR="00F76CD0">
        <w:t xml:space="preserve">20 was </w:t>
      </w:r>
      <w:r w:rsidR="00F76CD0" w:rsidRPr="00736DF0">
        <w:t>$19</w:t>
      </w:r>
      <w:r w:rsidR="00F76CD0">
        <w:t>5.5</w:t>
      </w:r>
      <w:r w:rsidR="00F76CD0" w:rsidRPr="00736DF0">
        <w:t> billion</w:t>
      </w:r>
      <w:r w:rsidR="00F76CD0">
        <w:t xml:space="preserve">. </w:t>
      </w:r>
      <w:r w:rsidR="00172AAF">
        <w:t xml:space="preserve">While this is a decrease from </w:t>
      </w:r>
      <w:r w:rsidR="00F76CD0">
        <w:t>2018</w:t>
      </w:r>
      <w:r w:rsidR="00730A7A">
        <w:t>–</w:t>
      </w:r>
      <w:r w:rsidR="00F76CD0">
        <w:t xml:space="preserve">19 </w:t>
      </w:r>
      <w:r w:rsidR="00172AAF">
        <w:t>(</w:t>
      </w:r>
      <w:r w:rsidR="00F76CD0">
        <w:t xml:space="preserve">the </w:t>
      </w:r>
      <w:r w:rsidR="002520AF">
        <w:t>total value of</w:t>
      </w:r>
      <w:r w:rsidR="002520AF" w:rsidRPr="00736DF0">
        <w:t xml:space="preserve"> </w:t>
      </w:r>
      <w:r w:rsidR="002520AF">
        <w:t xml:space="preserve">investment approvals </w:t>
      </w:r>
      <w:r w:rsidR="00F76CD0">
        <w:t>was $231.0 billion</w:t>
      </w:r>
      <w:r w:rsidR="00172AAF">
        <w:t xml:space="preserve">), it is an increase from </w:t>
      </w:r>
      <w:r w:rsidR="005E13E5">
        <w:t>2017</w:t>
      </w:r>
      <w:r w:rsidR="00730A7A">
        <w:t>–</w:t>
      </w:r>
      <w:r w:rsidR="007231B5">
        <w:t xml:space="preserve">18 </w:t>
      </w:r>
      <w:r w:rsidR="00BB6B99">
        <w:t>(</w:t>
      </w:r>
      <w:r w:rsidR="00F76CD0">
        <w:t xml:space="preserve">the </w:t>
      </w:r>
      <w:r w:rsidR="007231B5">
        <w:t>total</w:t>
      </w:r>
      <w:r w:rsidR="002520AF">
        <w:t xml:space="preserve"> value of</w:t>
      </w:r>
      <w:r w:rsidR="002520AF" w:rsidRPr="00736DF0">
        <w:t xml:space="preserve"> </w:t>
      </w:r>
      <w:r w:rsidR="002520AF">
        <w:t xml:space="preserve">investment approvals </w:t>
      </w:r>
      <w:r w:rsidR="007231B5">
        <w:t>was $163.1</w:t>
      </w:r>
      <w:r w:rsidR="00111375">
        <w:t> </w:t>
      </w:r>
      <w:r w:rsidR="007231B5">
        <w:t>bill</w:t>
      </w:r>
      <w:r w:rsidR="00F57042">
        <w:t>i</w:t>
      </w:r>
      <w:r w:rsidR="007231B5">
        <w:t>on</w:t>
      </w:r>
      <w:r w:rsidR="00BB6B99">
        <w:t>)</w:t>
      </w:r>
      <w:r w:rsidR="007231B5">
        <w:t>.</w:t>
      </w:r>
    </w:p>
    <w:p w14:paraId="26B4D7B4" w14:textId="77777777" w:rsidR="00077B5C" w:rsidRPr="00736DF0" w:rsidRDefault="00077B5C" w:rsidP="00077B5C">
      <w:pPr>
        <w:pStyle w:val="Bullet"/>
        <w:ind w:left="284" w:hanging="284"/>
      </w:pPr>
      <w:r>
        <w:t xml:space="preserve">There was </w:t>
      </w:r>
      <w:r w:rsidRPr="00736DF0">
        <w:t xml:space="preserve">a decline in the number of proposed </w:t>
      </w:r>
      <w:r>
        <w:t>investment</w:t>
      </w:r>
      <w:r w:rsidRPr="00736DF0">
        <w:t xml:space="preserve"> approv</w:t>
      </w:r>
      <w:r>
        <w:t>als</w:t>
      </w:r>
      <w:r w:rsidRPr="00736DF0">
        <w:t xml:space="preserve"> by approximately 500</w:t>
      </w:r>
      <w:r w:rsidR="00FC5484">
        <w:t> </w:t>
      </w:r>
      <w:r w:rsidRPr="00736DF0">
        <w:t>compared with the previous year</w:t>
      </w:r>
      <w:r>
        <w:t xml:space="preserve">. </w:t>
      </w:r>
      <w:r w:rsidRPr="00736DF0">
        <w:t xml:space="preserve">This </w:t>
      </w:r>
      <w:r>
        <w:t xml:space="preserve">was </w:t>
      </w:r>
      <w:r w:rsidRPr="00736DF0">
        <w:t xml:space="preserve">predominately the result of a fall in the number of approved residential </w:t>
      </w:r>
      <w:r w:rsidR="00471A00">
        <w:t xml:space="preserve">and commercial </w:t>
      </w:r>
      <w:r w:rsidRPr="00736DF0">
        <w:t>real estate applications</w:t>
      </w:r>
      <w:r w:rsidR="00FC1765">
        <w:t>.</w:t>
      </w:r>
    </w:p>
    <w:p w14:paraId="02C3EB63" w14:textId="07B91DC2" w:rsidR="00077B5C" w:rsidRDefault="00077B5C" w:rsidP="00077B5C">
      <w:pPr>
        <w:pStyle w:val="Bullet"/>
        <w:ind w:left="284" w:hanging="284"/>
      </w:pPr>
      <w:r>
        <w:t xml:space="preserve">A </w:t>
      </w:r>
      <w:r w:rsidRPr="00736DF0">
        <w:t>total of 1,15</w:t>
      </w:r>
      <w:r w:rsidR="00E94F35">
        <w:t>5</w:t>
      </w:r>
      <w:r w:rsidR="00FC5484">
        <w:t> </w:t>
      </w:r>
      <w:r w:rsidRPr="00736DF0">
        <w:t xml:space="preserve">business applications worth </w:t>
      </w:r>
      <w:r w:rsidRPr="00D521C6">
        <w:t>$</w:t>
      </w:r>
      <w:r w:rsidR="00D521C6">
        <w:t>178.4</w:t>
      </w:r>
      <w:r w:rsidRPr="00736DF0">
        <w:t> billion were approved in 2019</w:t>
      </w:r>
      <w:r w:rsidR="00730A7A">
        <w:t>–</w:t>
      </w:r>
      <w:r w:rsidRPr="00736DF0">
        <w:t>20</w:t>
      </w:r>
      <w:r>
        <w:t xml:space="preserve"> </w:t>
      </w:r>
      <w:r w:rsidRPr="00736DF0">
        <w:t>compared to the 1,175</w:t>
      </w:r>
      <w:r w:rsidR="00FC5484">
        <w:t> </w:t>
      </w:r>
      <w:r w:rsidRPr="00736DF0">
        <w:t>business approvals worth $216.2 billion in 2018</w:t>
      </w:r>
      <w:r w:rsidR="00730A7A">
        <w:t>–</w:t>
      </w:r>
      <w:r w:rsidRPr="00736DF0">
        <w:t xml:space="preserve">19. The decrease in proposed business investment reflects </w:t>
      </w:r>
      <w:r w:rsidR="001B64FA">
        <w:t>a</w:t>
      </w:r>
      <w:r w:rsidR="001B64FA" w:rsidRPr="00736DF0">
        <w:t xml:space="preserve"> fall</w:t>
      </w:r>
      <w:r w:rsidRPr="00736DF0">
        <w:t xml:space="preserve"> in proposals with a value </w:t>
      </w:r>
      <w:r w:rsidR="00116944">
        <w:t xml:space="preserve">of </w:t>
      </w:r>
      <w:r w:rsidRPr="00736DF0">
        <w:t>greater than $</w:t>
      </w:r>
      <w:r w:rsidR="002E5ED4">
        <w:t>2</w:t>
      </w:r>
      <w:r w:rsidR="00FC5484">
        <w:t> </w:t>
      </w:r>
      <w:r w:rsidRPr="00736DF0">
        <w:t>billion</w:t>
      </w:r>
      <w:r w:rsidR="00BB6B99">
        <w:t>. There were</w:t>
      </w:r>
      <w:r w:rsidR="006225EA">
        <w:t xml:space="preserve"> </w:t>
      </w:r>
      <w:r w:rsidR="00D521C6">
        <w:t xml:space="preserve">11 approvals </w:t>
      </w:r>
      <w:r w:rsidR="00BB6B99">
        <w:t xml:space="preserve">over $2 billion </w:t>
      </w:r>
      <w:r w:rsidR="006F4437">
        <w:t>in 2019</w:t>
      </w:r>
      <w:r w:rsidR="00730A7A">
        <w:t>–</w:t>
      </w:r>
      <w:r w:rsidR="006F4437">
        <w:t xml:space="preserve">20 </w:t>
      </w:r>
      <w:r w:rsidR="00BB6B99">
        <w:t>(</w:t>
      </w:r>
      <w:r w:rsidR="00D521C6">
        <w:t>worth $62.4 billion</w:t>
      </w:r>
      <w:r w:rsidR="001B64FA">
        <w:t>)</w:t>
      </w:r>
      <w:r w:rsidR="00BD4D19">
        <w:t xml:space="preserve"> — </w:t>
      </w:r>
      <w:r w:rsidR="001B64FA">
        <w:t>compared</w:t>
      </w:r>
      <w:r w:rsidR="006F4437">
        <w:t xml:space="preserve"> with </w:t>
      </w:r>
      <w:r w:rsidR="007E5171">
        <w:t>two</w:t>
      </w:r>
      <w:r w:rsidR="00463401">
        <w:t> approvals in 2017</w:t>
      </w:r>
      <w:r w:rsidR="00730A7A">
        <w:t>–</w:t>
      </w:r>
      <w:r w:rsidR="00463401">
        <w:t>18 and</w:t>
      </w:r>
      <w:r w:rsidR="006F4437">
        <w:t xml:space="preserve"> a peak of</w:t>
      </w:r>
      <w:r w:rsidR="00463401">
        <w:t xml:space="preserve"> 23</w:t>
      </w:r>
      <w:r w:rsidR="00FC5484">
        <w:t> </w:t>
      </w:r>
      <w:r w:rsidR="00463401">
        <w:t>approvals in 2018</w:t>
      </w:r>
      <w:r w:rsidR="00730A7A">
        <w:t>–</w:t>
      </w:r>
      <w:r w:rsidR="00463401">
        <w:t>19</w:t>
      </w:r>
      <w:r w:rsidR="00463401" w:rsidRPr="00463401">
        <w:t xml:space="preserve"> </w:t>
      </w:r>
      <w:r w:rsidR="00463401">
        <w:t>valued at more than $2</w:t>
      </w:r>
      <w:r w:rsidR="00FC5484">
        <w:t> </w:t>
      </w:r>
      <w:r w:rsidR="00463401">
        <w:t>billion.</w:t>
      </w:r>
      <w:r>
        <w:t xml:space="preserve"> </w:t>
      </w:r>
    </w:p>
    <w:p w14:paraId="3129E405" w14:textId="77777777" w:rsidR="00077B5C" w:rsidRPr="00736DF0" w:rsidDel="00392B0F" w:rsidRDefault="00077B5C" w:rsidP="00077B5C">
      <w:pPr>
        <w:pStyle w:val="Bullet"/>
        <w:ind w:left="284" w:hanging="284"/>
      </w:pPr>
      <w:r>
        <w:t>In the period</w:t>
      </w:r>
      <w:r w:rsidR="006F4437">
        <w:t xml:space="preserve"> 29 March 2020 to 30 June 2020</w:t>
      </w:r>
      <w:r>
        <w:t>, t</w:t>
      </w:r>
      <w:r w:rsidRPr="00736DF0">
        <w:t>here were 1</w:t>
      </w:r>
      <w:r w:rsidR="0068092B">
        <w:t>37</w:t>
      </w:r>
      <w:r w:rsidR="00FC5484">
        <w:t> </w:t>
      </w:r>
      <w:r w:rsidRPr="00736DF0">
        <w:t xml:space="preserve">approvals </w:t>
      </w:r>
      <w:r>
        <w:t xml:space="preserve">in </w:t>
      </w:r>
      <w:r w:rsidRPr="00736DF0">
        <w:t>2019</w:t>
      </w:r>
      <w:r w:rsidR="00730A7A">
        <w:t>–</w:t>
      </w:r>
      <w:r w:rsidRPr="00736DF0">
        <w:t xml:space="preserve">20 that related </w:t>
      </w:r>
      <w:r w:rsidR="009920A1">
        <w:t xml:space="preserve">to </w:t>
      </w:r>
      <w:r w:rsidR="006F4437">
        <w:rPr>
          <w:rFonts w:cstheme="minorHAnsi"/>
        </w:rPr>
        <w:t>zero dollar threshold </w:t>
      </w:r>
      <w:r w:rsidRPr="00736DF0">
        <w:t>proposals valued at $2.7</w:t>
      </w:r>
      <w:r w:rsidR="00FC5484">
        <w:t> </w:t>
      </w:r>
      <w:r w:rsidRPr="00736DF0">
        <w:t>billion.</w:t>
      </w:r>
    </w:p>
    <w:p w14:paraId="2F1D705B" w14:textId="77777777" w:rsidR="00077B5C" w:rsidRPr="00736DF0" w:rsidRDefault="00077B5C" w:rsidP="00077B5C">
      <w:pPr>
        <w:pStyle w:val="Bullet"/>
        <w:ind w:left="284" w:hanging="284"/>
      </w:pPr>
      <w:r w:rsidRPr="00736DF0">
        <w:t>As in 2018</w:t>
      </w:r>
      <w:r w:rsidR="00730A7A">
        <w:t>–</w:t>
      </w:r>
      <w:r w:rsidRPr="00736DF0">
        <w:t>19, the United</w:t>
      </w:r>
      <w:r w:rsidR="00824D8D">
        <w:t> </w:t>
      </w:r>
      <w:r w:rsidRPr="00736DF0">
        <w:t>States is the largest source country for approved proposed investment by value, followed by Japan, Singapore, Canada, and United</w:t>
      </w:r>
      <w:r w:rsidR="00496BC8">
        <w:t> </w:t>
      </w:r>
      <w:r w:rsidRPr="00736DF0">
        <w:t>Kingdom.</w:t>
      </w:r>
    </w:p>
    <w:p w14:paraId="176C2A0E" w14:textId="77777777" w:rsidR="00077B5C" w:rsidRPr="00736DF0" w:rsidRDefault="00077B5C" w:rsidP="00077B5C">
      <w:pPr>
        <w:pStyle w:val="Bullet"/>
        <w:ind w:left="284" w:hanging="284"/>
      </w:pPr>
      <w:r w:rsidRPr="00736DF0">
        <w:t>For the United</w:t>
      </w:r>
      <w:r w:rsidR="00496BC8">
        <w:t> </w:t>
      </w:r>
      <w:r w:rsidRPr="00736DF0">
        <w:t>States, the value of approvals fell from $58.2 billion in 2018</w:t>
      </w:r>
      <w:r w:rsidR="00F26A86">
        <w:t>–</w:t>
      </w:r>
      <w:r w:rsidRPr="00736DF0">
        <w:t>19 to $</w:t>
      </w:r>
      <w:r w:rsidR="00C746D3">
        <w:t>49.2</w:t>
      </w:r>
      <w:r w:rsidRPr="00736DF0">
        <w:t> billion</w:t>
      </w:r>
      <w:r>
        <w:t xml:space="preserve"> in the reporting period</w:t>
      </w:r>
      <w:r w:rsidRPr="00736DF0">
        <w:t xml:space="preserve">. While investment in finance and insurance and </w:t>
      </w:r>
      <w:r w:rsidR="009920A1">
        <w:t xml:space="preserve">in </w:t>
      </w:r>
      <w:r w:rsidRPr="00736DF0">
        <w:t xml:space="preserve">mineral exploration and development rose, this was offset by declines in the agriculture, fishing and forestry, manufacturing, electricity and gas, real estate (commercial and residential) and services </w:t>
      </w:r>
      <w:r>
        <w:t>sectors.</w:t>
      </w:r>
    </w:p>
    <w:p w14:paraId="2B960A24" w14:textId="77777777" w:rsidR="00077B5C" w:rsidRPr="00736DF0" w:rsidRDefault="00077B5C" w:rsidP="00077B5C">
      <w:pPr>
        <w:pStyle w:val="Bullet"/>
        <w:ind w:left="284" w:hanging="284"/>
      </w:pPr>
      <w:r w:rsidRPr="00736DF0">
        <w:t>Japanese investors increased their total approved proposed investment by over $7 billion</w:t>
      </w:r>
      <w:r w:rsidR="00F6422D">
        <w:t xml:space="preserve"> from $15.1</w:t>
      </w:r>
      <w:r w:rsidR="00496BC8">
        <w:t> </w:t>
      </w:r>
      <w:r w:rsidR="00F6422D">
        <w:t>billion in 2018</w:t>
      </w:r>
      <w:r w:rsidR="00F26A86">
        <w:t>–</w:t>
      </w:r>
      <w:r w:rsidR="00F6422D">
        <w:t>19 to $22.1</w:t>
      </w:r>
      <w:r w:rsidR="00496BC8">
        <w:t> </w:t>
      </w:r>
      <w:r w:rsidR="00F6422D">
        <w:t>billion in 2019</w:t>
      </w:r>
      <w:r w:rsidR="00F26A86">
        <w:t>–</w:t>
      </w:r>
      <w:r w:rsidR="00F6422D">
        <w:t>20</w:t>
      </w:r>
      <w:r w:rsidRPr="00736DF0">
        <w:t xml:space="preserve">. </w:t>
      </w:r>
      <w:r>
        <w:t>T</w:t>
      </w:r>
      <w:r w:rsidRPr="00736DF0">
        <w:t>he number of approvals from Japanese investors remained relatively constant in 2019</w:t>
      </w:r>
      <w:r w:rsidR="00F26A86">
        <w:t>–</w:t>
      </w:r>
      <w:r w:rsidRPr="00736DF0">
        <w:t>20</w:t>
      </w:r>
      <w:r>
        <w:t xml:space="preserve"> but the </w:t>
      </w:r>
      <w:r w:rsidRPr="00736DF0">
        <w:t xml:space="preserve">values </w:t>
      </w:r>
      <w:r>
        <w:t>of approvals i</w:t>
      </w:r>
      <w:r w:rsidRPr="00736DF0">
        <w:t xml:space="preserve">n </w:t>
      </w:r>
      <w:r>
        <w:t>the</w:t>
      </w:r>
      <w:r w:rsidRPr="00736DF0">
        <w:t xml:space="preserve"> manufacturing, electricity and gas sector</w:t>
      </w:r>
      <w:r>
        <w:t xml:space="preserve"> increased</w:t>
      </w:r>
      <w:r w:rsidR="009775D7">
        <w:t xml:space="preserve"> </w:t>
      </w:r>
      <w:r>
        <w:t>significantly</w:t>
      </w:r>
      <w:r w:rsidRPr="00736DF0">
        <w:t xml:space="preserve">. This was despite falls in proposed Japanese investment in </w:t>
      </w:r>
      <w:r w:rsidR="009920A1">
        <w:t xml:space="preserve">the </w:t>
      </w:r>
      <w:r w:rsidRPr="00736DF0">
        <w:t xml:space="preserve">finance and insurance, mineral exploration and development, and real estate sectors. </w:t>
      </w:r>
    </w:p>
    <w:p w14:paraId="360FE39E" w14:textId="77777777" w:rsidR="00077B5C" w:rsidRPr="00736DF0" w:rsidRDefault="00077B5C" w:rsidP="00077B5C">
      <w:pPr>
        <w:pStyle w:val="Bullet"/>
        <w:ind w:left="284" w:hanging="284"/>
      </w:pPr>
      <w:r w:rsidRPr="00736DF0">
        <w:t xml:space="preserve">Canada </w:t>
      </w:r>
      <w:r>
        <w:t xml:space="preserve">moved </w:t>
      </w:r>
      <w:r w:rsidRPr="00736DF0">
        <w:t>from the second largest source country for approved investment to the fourth largest due to a decline of nearly $10</w:t>
      </w:r>
      <w:r w:rsidR="00496BC8">
        <w:t> </w:t>
      </w:r>
      <w:r w:rsidRPr="00736DF0">
        <w:t>billion in the real estate sector.</w:t>
      </w:r>
    </w:p>
    <w:p w14:paraId="1A9BE464" w14:textId="77777777" w:rsidR="00077B5C" w:rsidRPr="00736DF0" w:rsidRDefault="00077B5C" w:rsidP="00077B5C">
      <w:pPr>
        <w:pStyle w:val="Bullet"/>
        <w:ind w:left="284" w:hanging="284"/>
      </w:pPr>
      <w:r w:rsidRPr="00736DF0">
        <w:t xml:space="preserve">While approved proposed investment by number </w:t>
      </w:r>
      <w:r w:rsidR="009920A1" w:rsidRPr="00736DF0">
        <w:t xml:space="preserve">from China </w:t>
      </w:r>
      <w:r w:rsidRPr="00736DF0">
        <w:t>fell by almost 600</w:t>
      </w:r>
      <w:r w:rsidR="00496BC8">
        <w:t> </w:t>
      </w:r>
      <w:r w:rsidRPr="00736DF0">
        <w:t>approvals in 2019</w:t>
      </w:r>
      <w:r w:rsidR="00F26A86">
        <w:t>–</w:t>
      </w:r>
      <w:r w:rsidRPr="00736DF0">
        <w:t xml:space="preserve">20, the value of Chinese approvals remained </w:t>
      </w:r>
      <w:r w:rsidR="009920A1">
        <w:t>effectively</w:t>
      </w:r>
      <w:r w:rsidRPr="00736DF0">
        <w:t xml:space="preserve"> stable overall</w:t>
      </w:r>
      <w:r w:rsidR="0063401A">
        <w:t xml:space="preserve"> ($12.75 billion in 2019</w:t>
      </w:r>
      <w:r w:rsidR="00730A7A">
        <w:t>–</w:t>
      </w:r>
      <w:r w:rsidR="0063401A">
        <w:t>20 compared to $13.14 billion in 2018</w:t>
      </w:r>
      <w:r w:rsidR="00730A7A">
        <w:t>–</w:t>
      </w:r>
      <w:r w:rsidR="0063401A">
        <w:t>19)</w:t>
      </w:r>
      <w:r w:rsidRPr="00736DF0">
        <w:t xml:space="preserve">. China moved to the sixth largest source country by value. </w:t>
      </w:r>
    </w:p>
    <w:p w14:paraId="69958872" w14:textId="77777777" w:rsidR="00077B5C" w:rsidRPr="00736DF0" w:rsidRDefault="00077B5C" w:rsidP="00077B5C">
      <w:pPr>
        <w:pStyle w:val="Bullet"/>
        <w:ind w:left="284" w:hanging="284"/>
      </w:pPr>
      <w:r w:rsidRPr="00736DF0">
        <w:t xml:space="preserve">In terms of proposed investment in particular sectors, the services sector </w:t>
      </w:r>
      <w:r>
        <w:t xml:space="preserve">remained the largest by value </w:t>
      </w:r>
      <w:r w:rsidRPr="00736DF0">
        <w:t>at $73.6 billion</w:t>
      </w:r>
      <w:r w:rsidR="00933892">
        <w:t>. T</w:t>
      </w:r>
      <w:r>
        <w:t>his represents a fall of around $2.</w:t>
      </w:r>
      <w:r w:rsidR="005B1C8F">
        <w:t>4</w:t>
      </w:r>
      <w:r w:rsidR="00EC2A85">
        <w:t> </w:t>
      </w:r>
      <w:r>
        <w:t>billion compared to 2018</w:t>
      </w:r>
      <w:r w:rsidR="00F26A86">
        <w:t>–</w:t>
      </w:r>
      <w:r>
        <w:t xml:space="preserve">19. </w:t>
      </w:r>
      <w:r w:rsidR="00933892">
        <w:t>T</w:t>
      </w:r>
      <w:r w:rsidRPr="00736DF0">
        <w:t xml:space="preserve">he commercial real estate sector was the second largest by value, </w:t>
      </w:r>
      <w:r w:rsidR="00B632AB">
        <w:t xml:space="preserve">where </w:t>
      </w:r>
      <w:r w:rsidRPr="00736DF0">
        <w:t xml:space="preserve">the value of approvals fell </w:t>
      </w:r>
      <w:r>
        <w:t>by almost $3</w:t>
      </w:r>
      <w:r w:rsidR="00221799">
        <w:t>4.2</w:t>
      </w:r>
      <w:r w:rsidR="00EC2A85">
        <w:t> </w:t>
      </w:r>
      <w:r>
        <w:t>billion to $</w:t>
      </w:r>
      <w:r w:rsidR="005D69AE">
        <w:t>3</w:t>
      </w:r>
      <w:r w:rsidR="00221799">
        <w:t>8.8</w:t>
      </w:r>
      <w:r>
        <w:t> </w:t>
      </w:r>
      <w:r w:rsidR="009920A1">
        <w:t>billion. The m</w:t>
      </w:r>
      <w:r w:rsidRPr="00736DF0">
        <w:t>anufacturing, electricity and gas sector was the third</w:t>
      </w:r>
      <w:r w:rsidR="009920A1">
        <w:t xml:space="preserve"> largest</w:t>
      </w:r>
      <w:r w:rsidR="00EF1178">
        <w:t xml:space="preserve"> by value</w:t>
      </w:r>
      <w:r w:rsidRPr="00736DF0">
        <w:t xml:space="preserve">, </w:t>
      </w:r>
      <w:r w:rsidR="00933892">
        <w:t>with</w:t>
      </w:r>
      <w:r w:rsidR="00933892" w:rsidRPr="00736DF0">
        <w:t xml:space="preserve"> </w:t>
      </w:r>
      <w:r w:rsidRPr="00736DF0">
        <w:t>a decrease</w:t>
      </w:r>
      <w:r w:rsidR="00766880">
        <w:t xml:space="preserve"> of $3.7</w:t>
      </w:r>
      <w:r w:rsidR="00EC2A85">
        <w:t> </w:t>
      </w:r>
      <w:r w:rsidR="00766880">
        <w:t>billion compared to 2018</w:t>
      </w:r>
      <w:r w:rsidR="00F26A86">
        <w:t>–</w:t>
      </w:r>
      <w:r w:rsidR="00766880">
        <w:t>19</w:t>
      </w:r>
      <w:r>
        <w:t>,</w:t>
      </w:r>
      <w:r w:rsidRPr="00736DF0">
        <w:t xml:space="preserve"> at $33.0 billion.</w:t>
      </w:r>
    </w:p>
    <w:p w14:paraId="28A07F7E" w14:textId="77777777" w:rsidR="00077B5C" w:rsidRPr="00736DF0" w:rsidRDefault="00077B5C" w:rsidP="00077B5C">
      <w:pPr>
        <w:pStyle w:val="Bullet"/>
        <w:ind w:left="284" w:hanging="284"/>
      </w:pPr>
      <w:r w:rsidRPr="00736DF0">
        <w:t>While the largest number of proposed investment approvals was again in</w:t>
      </w:r>
      <w:r w:rsidRPr="00736DF0" w:rsidDel="00AE6336">
        <w:t xml:space="preserve"> </w:t>
      </w:r>
      <w:r w:rsidRPr="00736DF0">
        <w:t>residential real estate (7,0</w:t>
      </w:r>
      <w:r w:rsidR="00754A7F">
        <w:t>56</w:t>
      </w:r>
      <w:r w:rsidRPr="00736DF0">
        <w:t xml:space="preserve">), there was a drop of </w:t>
      </w:r>
      <w:r w:rsidR="006E3FEF">
        <w:t>457</w:t>
      </w:r>
      <w:r w:rsidR="00496BC8">
        <w:t> </w:t>
      </w:r>
      <w:r w:rsidRPr="00736DF0">
        <w:t>approvals compared with 2018</w:t>
      </w:r>
      <w:r w:rsidR="00F26A86">
        <w:t>–</w:t>
      </w:r>
      <w:r w:rsidRPr="00736DF0">
        <w:t xml:space="preserve">19. Despite this fall, the total value of residential real estate approvals </w:t>
      </w:r>
      <w:r w:rsidR="00221799">
        <w:t xml:space="preserve">increased to </w:t>
      </w:r>
      <w:r w:rsidR="00364821">
        <w:t>$</w:t>
      </w:r>
      <w:r w:rsidR="00221799">
        <w:t>17.1</w:t>
      </w:r>
      <w:r w:rsidRPr="00736DF0">
        <w:t> billion.</w:t>
      </w:r>
    </w:p>
    <w:p w14:paraId="3047C4D7" w14:textId="77777777" w:rsidR="00077B5C" w:rsidRPr="00736DF0" w:rsidRDefault="00077B5C" w:rsidP="00077B5C">
      <w:pPr>
        <w:pStyle w:val="Bullet"/>
        <w:ind w:left="284" w:hanging="284"/>
      </w:pPr>
      <w:r w:rsidRPr="00736DF0">
        <w:t xml:space="preserve">In </w:t>
      </w:r>
      <w:r w:rsidR="009920A1">
        <w:t xml:space="preserve">the </w:t>
      </w:r>
      <w:r w:rsidRPr="00736DF0">
        <w:t>agriculture, forestry and fishing sector there were 1</w:t>
      </w:r>
      <w:r w:rsidR="00290CDD">
        <w:t>7</w:t>
      </w:r>
      <w:r w:rsidR="00F97F4A">
        <w:t>4</w:t>
      </w:r>
      <w:r w:rsidR="00496BC8">
        <w:t> </w:t>
      </w:r>
      <w:r w:rsidR="001B64FA" w:rsidRPr="00736DF0">
        <w:t xml:space="preserve">approvals </w:t>
      </w:r>
      <w:r w:rsidR="001B64FA">
        <w:t>worth</w:t>
      </w:r>
      <w:r w:rsidR="00D72E59">
        <w:t xml:space="preserve"> </w:t>
      </w:r>
      <w:r w:rsidRPr="00736DF0">
        <w:t>$</w:t>
      </w:r>
      <w:r w:rsidR="00221799">
        <w:t>8.3</w:t>
      </w:r>
      <w:r w:rsidRPr="00736DF0">
        <w:t> </w:t>
      </w:r>
      <w:r w:rsidR="001B64FA" w:rsidRPr="00736DF0">
        <w:t>billion of</w:t>
      </w:r>
      <w:r w:rsidRPr="00736DF0">
        <w:t xml:space="preserve"> proposed investment. Proposed investment applications have remained </w:t>
      </w:r>
      <w:r>
        <w:t>relatively</w:t>
      </w:r>
      <w:r w:rsidRPr="00736DF0">
        <w:t xml:space="preserve"> stable since 2016</w:t>
      </w:r>
      <w:r w:rsidR="00F26A86">
        <w:t>–</w:t>
      </w:r>
      <w:r w:rsidRPr="00736DF0">
        <w:t>17 with approximately 200</w:t>
      </w:r>
      <w:r w:rsidR="00496BC8">
        <w:t> </w:t>
      </w:r>
      <w:r w:rsidRPr="00736DF0">
        <w:t>applications per</w:t>
      </w:r>
      <w:r w:rsidR="00496BC8">
        <w:t> </w:t>
      </w:r>
      <w:r w:rsidRPr="00736DF0">
        <w:t>year worth between $7 billion and $8</w:t>
      </w:r>
      <w:r w:rsidR="00221799">
        <w:t>.</w:t>
      </w:r>
      <w:r w:rsidR="00804EC6">
        <w:t>3</w:t>
      </w:r>
      <w:r w:rsidR="00EC2A85">
        <w:t> </w:t>
      </w:r>
      <w:r w:rsidRPr="00736DF0">
        <w:t>billion.</w:t>
      </w:r>
    </w:p>
    <w:p w14:paraId="4C572B32" w14:textId="24B490EE" w:rsidR="00E23C35" w:rsidRDefault="00077B5C" w:rsidP="00110F90">
      <w:pPr>
        <w:pStyle w:val="Bullet"/>
        <w:ind w:left="284" w:hanging="284"/>
      </w:pPr>
      <w:r>
        <w:t>C</w:t>
      </w:r>
      <w:r w:rsidRPr="00736DF0">
        <w:t>ompliance remain</w:t>
      </w:r>
      <w:r>
        <w:t>ed</w:t>
      </w:r>
      <w:r w:rsidRPr="00736DF0">
        <w:t xml:space="preserve"> a key focus for Treasury and the ATO</w:t>
      </w:r>
      <w:r>
        <w:t xml:space="preserve">. </w:t>
      </w:r>
      <w:r w:rsidRPr="00736DF0">
        <w:t xml:space="preserve">Treasury completed </w:t>
      </w:r>
      <w:r w:rsidR="006E3FEF">
        <w:t>four</w:t>
      </w:r>
      <w:r w:rsidRPr="00736DF0">
        <w:t xml:space="preserve"> business investment audits</w:t>
      </w:r>
      <w:r>
        <w:t>,</w:t>
      </w:r>
      <w:r w:rsidRPr="00736DF0">
        <w:t xml:space="preserve"> with </w:t>
      </w:r>
      <w:r>
        <w:t xml:space="preserve">a further </w:t>
      </w:r>
      <w:r w:rsidRPr="00736DF0">
        <w:t xml:space="preserve">five </w:t>
      </w:r>
      <w:r>
        <w:t xml:space="preserve">continuing past </w:t>
      </w:r>
      <w:r w:rsidR="00763C0E">
        <w:t>30 June </w:t>
      </w:r>
      <w:r w:rsidRPr="00736DF0">
        <w:t>2020</w:t>
      </w:r>
      <w:r>
        <w:t xml:space="preserve">. Some of these extended beyond the financial year due to the disruptions caused by </w:t>
      </w:r>
      <w:r w:rsidR="00BD04C6">
        <w:t xml:space="preserve">the </w:t>
      </w:r>
      <w:r w:rsidRPr="00736DF0">
        <w:t>COVID</w:t>
      </w:r>
      <w:r w:rsidR="00BD4D19">
        <w:noBreakHyphen/>
      </w:r>
      <w:r w:rsidRPr="00736DF0">
        <w:t>19</w:t>
      </w:r>
      <w:r w:rsidR="00BD04C6">
        <w:t xml:space="preserve"> pandemic</w:t>
      </w:r>
      <w:r w:rsidRPr="00736DF0">
        <w:t xml:space="preserve">. </w:t>
      </w:r>
      <w:r w:rsidR="00110F90">
        <w:t>The ATO</w:t>
      </w:r>
      <w:r w:rsidR="00BD4D19">
        <w:t>’</w:t>
      </w:r>
      <w:r w:rsidR="00110F90">
        <w:t xml:space="preserve">s compliance investigation program was similarly disrupted by </w:t>
      </w:r>
      <w:r w:rsidR="00BD04C6">
        <w:t xml:space="preserve">the </w:t>
      </w:r>
      <w:r w:rsidR="00B948C8" w:rsidRPr="001E6053">
        <w:t>COVID</w:t>
      </w:r>
      <w:r w:rsidR="00BD4D19">
        <w:noBreakHyphen/>
      </w:r>
      <w:r w:rsidR="00B948C8" w:rsidRPr="001E6053">
        <w:t>19</w:t>
      </w:r>
      <w:r w:rsidR="00BD04C6">
        <w:t xml:space="preserve"> pandemic</w:t>
      </w:r>
      <w:r w:rsidR="00110F90">
        <w:t>. It</w:t>
      </w:r>
      <w:r w:rsidR="00B948C8" w:rsidRPr="001E6053">
        <w:t xml:space="preserve"> prioritised its resources to ensure screening foreign investment applications arising from</w:t>
      </w:r>
      <w:r w:rsidR="004455E9">
        <w:t xml:space="preserve"> the</w:t>
      </w:r>
      <w:r w:rsidR="00B948C8" w:rsidRPr="001E6053">
        <w:t xml:space="preserve"> </w:t>
      </w:r>
      <w:r w:rsidR="00015A49">
        <w:rPr>
          <w:rFonts w:cstheme="minorHAnsi"/>
        </w:rPr>
        <w:t>zero dollar threshold</w:t>
      </w:r>
      <w:r w:rsidR="00495F32">
        <w:rPr>
          <w:rFonts w:cstheme="minorHAnsi"/>
        </w:rPr>
        <w:t> </w:t>
      </w:r>
      <w:r w:rsidR="00495F32" w:rsidRPr="001E6053">
        <w:t>continued</w:t>
      </w:r>
      <w:r w:rsidR="00B948C8" w:rsidRPr="001E6053">
        <w:t xml:space="preserve"> without significant disruption. The ATO also took into account the unique circumstances of </w:t>
      </w:r>
      <w:r w:rsidR="00BD04C6">
        <w:t xml:space="preserve">the </w:t>
      </w:r>
      <w:r w:rsidR="00B948C8" w:rsidRPr="001E6053">
        <w:t>COVID</w:t>
      </w:r>
      <w:r w:rsidR="00BD4D19">
        <w:noBreakHyphen/>
      </w:r>
      <w:r w:rsidR="00B948C8" w:rsidRPr="001E6053">
        <w:t xml:space="preserve">19 </w:t>
      </w:r>
      <w:r w:rsidR="00BD04C6">
        <w:t xml:space="preserve">pandemic </w:t>
      </w:r>
      <w:r w:rsidR="00B948C8" w:rsidRPr="001E6053">
        <w:t>which may have prevented foreign investors from complying with their obligations in the usual timely way, for example, due to travel restrictions. Careful consideration was also given to fee waiver and withdrawal requests when it was evident that investors were unable to comply as a direct result of the</w:t>
      </w:r>
      <w:r w:rsidR="00BD04C6">
        <w:t xml:space="preserve"> </w:t>
      </w:r>
      <w:r w:rsidR="00B948C8" w:rsidRPr="001E6053">
        <w:t>COVID</w:t>
      </w:r>
      <w:r w:rsidR="00BD4D19">
        <w:noBreakHyphen/>
      </w:r>
      <w:r w:rsidR="00B948C8" w:rsidRPr="001E6053">
        <w:t>19</w:t>
      </w:r>
      <w:r w:rsidR="00BD04C6">
        <w:t xml:space="preserve"> pandemic</w:t>
      </w:r>
      <w:r w:rsidR="00B948C8" w:rsidRPr="001E6053">
        <w:t xml:space="preserve">. </w:t>
      </w:r>
      <w:r w:rsidRPr="00736DF0">
        <w:t>The ATO completed 620</w:t>
      </w:r>
      <w:r w:rsidR="00E23C35">
        <w:t> </w:t>
      </w:r>
      <w:r w:rsidRPr="00736DF0">
        <w:t>residential real estate investigations, identifying 259</w:t>
      </w:r>
      <w:r w:rsidR="00E23C35">
        <w:t> </w:t>
      </w:r>
      <w:r w:rsidRPr="00736DF0">
        <w:t>properties that were in breach</w:t>
      </w:r>
      <w:r w:rsidR="006225EA">
        <w:t xml:space="preserve"> — </w:t>
      </w:r>
      <w:r w:rsidR="009920A1">
        <w:t>less than half the number of breaches in 2018</w:t>
      </w:r>
      <w:r w:rsidR="00F26A86">
        <w:t>–</w:t>
      </w:r>
      <w:r w:rsidR="009920A1">
        <w:t>19</w:t>
      </w:r>
      <w:r w:rsidR="008B6EC4">
        <w:t> </w:t>
      </w:r>
      <w:r w:rsidR="009920A1">
        <w:t>(600)</w:t>
      </w:r>
      <w:r w:rsidRPr="00736DF0">
        <w:t>.</w:t>
      </w:r>
    </w:p>
    <w:p w14:paraId="4720F4C1" w14:textId="77777777" w:rsidR="00E43E52" w:rsidRPr="001E6053" w:rsidRDefault="00E43E52" w:rsidP="00110F90">
      <w:pPr>
        <w:pStyle w:val="Bullet"/>
        <w:ind w:left="284" w:hanging="284"/>
      </w:pPr>
      <w:r>
        <w:br w:type="page"/>
      </w:r>
    </w:p>
    <w:p w14:paraId="565A76EA" w14:textId="77777777" w:rsidR="00A84283" w:rsidRPr="00FC48F4" w:rsidRDefault="00A84283" w:rsidP="007674AA">
      <w:pPr>
        <w:pStyle w:val="Heading1"/>
      </w:pPr>
      <w:bookmarkStart w:id="16" w:name="_Toc32247787"/>
      <w:bookmarkStart w:id="17" w:name="_Toc63782918"/>
      <w:bookmarkStart w:id="18" w:name="_Toc75244047"/>
      <w:r w:rsidRPr="00406C1F">
        <w:t>O</w:t>
      </w:r>
      <w:r w:rsidR="00B76BA6">
        <w:t>verview of Report</w:t>
      </w:r>
      <w:bookmarkEnd w:id="12"/>
      <w:bookmarkEnd w:id="13"/>
      <w:bookmarkEnd w:id="14"/>
      <w:bookmarkEnd w:id="16"/>
      <w:bookmarkEnd w:id="17"/>
      <w:bookmarkEnd w:id="18"/>
    </w:p>
    <w:p w14:paraId="6790D0F0" w14:textId="77777777" w:rsidR="00A84283" w:rsidRPr="00A84283" w:rsidRDefault="00A84283" w:rsidP="002E2EFE">
      <w:r w:rsidRPr="00A84283">
        <w:t>This report has four chapters and four appendices:</w:t>
      </w:r>
    </w:p>
    <w:p w14:paraId="39AC708A" w14:textId="77777777" w:rsidR="00A84283" w:rsidRPr="00A84283" w:rsidRDefault="00A84283" w:rsidP="005F4E3C">
      <w:pPr>
        <w:pStyle w:val="Bullet"/>
      </w:pPr>
      <w:r w:rsidRPr="00A84283">
        <w:t>Chapter one provides an overview of the Foreign Investment Review Board (the</w:t>
      </w:r>
      <w:r w:rsidR="00E23C35">
        <w:t> </w:t>
      </w:r>
      <w:r w:rsidRPr="00A84283">
        <w:t xml:space="preserve">Board) and </w:t>
      </w:r>
      <w:r w:rsidR="00471E29">
        <w:t xml:space="preserve">the agencies who support the Board, the Foreign Investment Division in the Department of the Treasury (Treasury) and </w:t>
      </w:r>
      <w:r w:rsidR="00BE7B23">
        <w:t xml:space="preserve">the </w:t>
      </w:r>
      <w:r w:rsidR="00471E29">
        <w:t xml:space="preserve">Public Groups and International </w:t>
      </w:r>
      <w:r w:rsidR="00BE7B23">
        <w:t xml:space="preserve">business line </w:t>
      </w:r>
      <w:r w:rsidR="00471E29">
        <w:t>in the Australian Taxation Office</w:t>
      </w:r>
      <w:r w:rsidR="00E23C35">
        <w:t> </w:t>
      </w:r>
      <w:r w:rsidR="00471E29">
        <w:t>(ATO)</w:t>
      </w:r>
      <w:r w:rsidR="00367CF0">
        <w:t>,</w:t>
      </w:r>
      <w:r w:rsidRPr="00A84283">
        <w:t xml:space="preserve"> </w:t>
      </w:r>
      <w:r w:rsidR="001014F0">
        <w:t>outlining</w:t>
      </w:r>
      <w:r w:rsidRPr="00A84283">
        <w:t xml:space="preserve"> responsibilities, membership and operational costs</w:t>
      </w:r>
      <w:r w:rsidR="00382B08">
        <w:t>;</w:t>
      </w:r>
    </w:p>
    <w:p w14:paraId="27662072" w14:textId="77777777" w:rsidR="00A84283" w:rsidRPr="00A84283" w:rsidRDefault="00A84283" w:rsidP="00420F3D">
      <w:pPr>
        <w:pStyle w:val="Bullet"/>
      </w:pPr>
      <w:r w:rsidRPr="00A84283">
        <w:t xml:space="preserve">Chapter two discusses </w:t>
      </w:r>
      <w:r w:rsidR="0046480B">
        <w:t xml:space="preserve">developments </w:t>
      </w:r>
      <w:r w:rsidR="00F91E4B">
        <w:t xml:space="preserve">in domestic and international </w:t>
      </w:r>
      <w:r w:rsidR="0046480B">
        <w:t>foreign investment</w:t>
      </w:r>
      <w:r w:rsidR="00382B08">
        <w:t>;</w:t>
      </w:r>
    </w:p>
    <w:p w14:paraId="13F785BD" w14:textId="77777777" w:rsidR="00A84283" w:rsidRPr="00A84283" w:rsidRDefault="00A84283" w:rsidP="00420F3D">
      <w:pPr>
        <w:pStyle w:val="Bullet"/>
      </w:pPr>
      <w:r w:rsidRPr="00A84283">
        <w:t>Chapter three analyses data on foreign investment a</w:t>
      </w:r>
      <w:r w:rsidR="00934010">
        <w:t xml:space="preserve">pplications finalised in </w:t>
      </w:r>
      <w:r w:rsidR="00C7586A">
        <w:t>2019</w:t>
      </w:r>
      <w:r w:rsidR="00F26A86">
        <w:t>–</w:t>
      </w:r>
      <w:r w:rsidR="00C7586A">
        <w:t>20</w:t>
      </w:r>
      <w:r w:rsidR="00A42FAB">
        <w:t>. It </w:t>
      </w:r>
      <w:r w:rsidRPr="00A84283">
        <w:t>includes approvals data by number, value, sector, and investor country. It also includes data on variations and foreign investment fee collections</w:t>
      </w:r>
      <w:r w:rsidR="00382B08">
        <w:t>;</w:t>
      </w:r>
    </w:p>
    <w:p w14:paraId="19D272B6" w14:textId="67B83AA5" w:rsidR="00A84283" w:rsidRPr="00A84283" w:rsidRDefault="00A84283" w:rsidP="00420F3D">
      <w:pPr>
        <w:pStyle w:val="Bullet"/>
      </w:pPr>
      <w:r w:rsidRPr="006D64A2">
        <w:t>Chapter four</w:t>
      </w:r>
      <w:r w:rsidRPr="00A84283">
        <w:t xml:space="preserve"> explains key developments in Australia</w:t>
      </w:r>
      <w:r w:rsidR="00BD4D19">
        <w:t>’</w:t>
      </w:r>
      <w:r w:rsidRPr="00A84283">
        <w:t xml:space="preserve">s foreign investment compliance program. It discusses the approach to compliance by </w:t>
      </w:r>
      <w:r w:rsidR="001F031F">
        <w:t xml:space="preserve">Treasury and </w:t>
      </w:r>
      <w:r w:rsidR="00382B08">
        <w:t xml:space="preserve">the </w:t>
      </w:r>
      <w:r w:rsidR="001F031F">
        <w:t>ATO</w:t>
      </w:r>
      <w:r w:rsidRPr="00A84283">
        <w:t>, and the work underway to strengthen assurance that foreign persons are meeting their obligations</w:t>
      </w:r>
      <w:r w:rsidR="00382B08">
        <w:t>;</w:t>
      </w:r>
    </w:p>
    <w:p w14:paraId="39877BCC" w14:textId="46F4DA7B" w:rsidR="00A84283" w:rsidRPr="00A84283" w:rsidRDefault="00A84283" w:rsidP="00420F3D">
      <w:pPr>
        <w:pStyle w:val="Bullet"/>
      </w:pPr>
      <w:r w:rsidRPr="00A84283">
        <w:t>Appendix A lists Board members</w:t>
      </w:r>
      <w:r w:rsidR="00BD4D19">
        <w:t>’</w:t>
      </w:r>
      <w:r w:rsidRPr="00A84283">
        <w:t xml:space="preserve"> attendance at Board meetings</w:t>
      </w:r>
      <w:r w:rsidR="00382B08">
        <w:t>;</w:t>
      </w:r>
    </w:p>
    <w:p w14:paraId="1DA5061F" w14:textId="77777777" w:rsidR="00A84283" w:rsidRPr="00A84283" w:rsidRDefault="00A84283" w:rsidP="00420F3D">
      <w:pPr>
        <w:pStyle w:val="Bullet"/>
      </w:pPr>
      <w:r w:rsidRPr="00A84283">
        <w:t>Appendix B provides an overview of the main methodological and data caveats that apply to applications an</w:t>
      </w:r>
      <w:r w:rsidR="00934010">
        <w:t>d approvals data in this report</w:t>
      </w:r>
      <w:r w:rsidR="00382B08">
        <w:t>;</w:t>
      </w:r>
    </w:p>
    <w:p w14:paraId="5EE891E6" w14:textId="77777777" w:rsidR="00A84283" w:rsidRPr="00A84283" w:rsidRDefault="00A84283" w:rsidP="00420F3D">
      <w:pPr>
        <w:pStyle w:val="Bullet"/>
      </w:pPr>
      <w:r w:rsidRPr="00A84283">
        <w:t>Appendix C sets out the examination and approval process for foreign investment applications</w:t>
      </w:r>
      <w:r w:rsidR="00382B08">
        <w:t>; and</w:t>
      </w:r>
    </w:p>
    <w:p w14:paraId="1B321F11" w14:textId="77777777" w:rsidR="00007363" w:rsidRDefault="00A84283" w:rsidP="00420F3D">
      <w:pPr>
        <w:pStyle w:val="Bullet"/>
      </w:pPr>
      <w:r w:rsidRPr="00A84283">
        <w:t>Appendix D contains a glossary.</w:t>
      </w:r>
    </w:p>
    <w:p w14:paraId="6CDE81FA" w14:textId="36CD9FF1" w:rsidR="00ED362E" w:rsidRDefault="00ED362E" w:rsidP="00ED362E">
      <w:pPr>
        <w:pStyle w:val="Bullet"/>
        <w:numPr>
          <w:ilvl w:val="0"/>
          <w:numId w:val="0"/>
        </w:numPr>
      </w:pPr>
      <w:r>
        <w:t xml:space="preserve">The report this year also includes </w:t>
      </w:r>
      <w:r w:rsidR="00916E9E">
        <w:t xml:space="preserve">a breakdown of total number and value of proposals by </w:t>
      </w:r>
      <w:r w:rsidR="00F97F4A">
        <w:t>zero</w:t>
      </w:r>
      <w:r w:rsidR="005F43E6">
        <w:t> </w:t>
      </w:r>
      <w:r w:rsidR="00F97F4A">
        <w:t xml:space="preserve">dollar threshold </w:t>
      </w:r>
      <w:r w:rsidR="00916E9E">
        <w:t>proposals and non</w:t>
      </w:r>
      <w:r w:rsidR="00BD4D19">
        <w:noBreakHyphen/>
      </w:r>
      <w:r w:rsidR="00015A49">
        <w:rPr>
          <w:rFonts w:cstheme="minorHAnsi"/>
        </w:rPr>
        <w:t>zero dollar threshold</w:t>
      </w:r>
      <w:r w:rsidR="00455855">
        <w:rPr>
          <w:rFonts w:cstheme="minorHAnsi"/>
        </w:rPr>
        <w:t> </w:t>
      </w:r>
      <w:r w:rsidR="00455855" w:rsidDel="00015A49">
        <w:t>proposals</w:t>
      </w:r>
      <w:r w:rsidR="00916E9E">
        <w:t xml:space="preserve"> to allow comparisons between 2018</w:t>
      </w:r>
      <w:r w:rsidR="00F26A86">
        <w:t>–</w:t>
      </w:r>
      <w:r w:rsidR="00916E9E">
        <w:t>19 and 2019</w:t>
      </w:r>
      <w:r w:rsidR="00F26A86">
        <w:t>–</w:t>
      </w:r>
      <w:r w:rsidR="00916E9E">
        <w:t>20.</w:t>
      </w:r>
    </w:p>
    <w:p w14:paraId="2F2D3381" w14:textId="77777777" w:rsidR="00C53B92" w:rsidRDefault="00C53B92" w:rsidP="00ED362E">
      <w:pPr>
        <w:pStyle w:val="Bullet"/>
        <w:numPr>
          <w:ilvl w:val="0"/>
          <w:numId w:val="0"/>
        </w:numPr>
      </w:pPr>
    </w:p>
    <w:p w14:paraId="65A22B13" w14:textId="77777777" w:rsidR="00C53B92" w:rsidRDefault="00C53B92" w:rsidP="00820C89">
      <w:pPr>
        <w:sectPr w:rsidR="00C53B92" w:rsidSect="00B81342">
          <w:headerReference w:type="default" r:id="rId36"/>
          <w:footerReference w:type="default" r:id="rId37"/>
          <w:headerReference w:type="first" r:id="rId38"/>
          <w:footerReference w:type="first" r:id="rId39"/>
          <w:type w:val="oddPage"/>
          <w:pgSz w:w="11906" w:h="16838" w:code="9"/>
          <w:pgMar w:top="2466" w:right="2098" w:bottom="2466" w:left="2098" w:header="1899" w:footer="1899" w:gutter="0"/>
          <w:pgNumType w:fmt="lowerRoman"/>
          <w:cols w:space="708"/>
          <w:titlePg/>
          <w:docGrid w:linePitch="360"/>
        </w:sectPr>
      </w:pPr>
      <w:bookmarkStart w:id="19" w:name="_Toc31296892"/>
      <w:bookmarkStart w:id="20" w:name="_Toc31636010"/>
      <w:bookmarkStart w:id="21" w:name="_Toc31642779"/>
    </w:p>
    <w:p w14:paraId="195B5B1C" w14:textId="77777777" w:rsidR="00C34749" w:rsidRDefault="005F43E6" w:rsidP="007674AA">
      <w:pPr>
        <w:pStyle w:val="Heading1"/>
      </w:pPr>
      <w:bookmarkStart w:id="22" w:name="_Toc63782919"/>
      <w:bookmarkStart w:id="23" w:name="_Toc75244048"/>
      <w:bookmarkStart w:id="24" w:name="_Toc32247788"/>
      <w:r>
        <w:rPr>
          <w:noProof/>
        </w:rPr>
        <w:drawing>
          <wp:anchor distT="0" distB="0" distL="114300" distR="114300" simplePos="0" relativeHeight="251643904" behindDoc="0" locked="0" layoutInCell="1" allowOverlap="1" wp14:anchorId="4671270F" wp14:editId="015E3184">
            <wp:simplePos x="0" y="0"/>
            <wp:positionH relativeFrom="margin">
              <wp:align>right</wp:align>
            </wp:positionH>
            <wp:positionV relativeFrom="paragraph">
              <wp:posOffset>12808</wp:posOffset>
            </wp:positionV>
            <wp:extent cx="4895088" cy="2161032"/>
            <wp:effectExtent l="0" t="0" r="1270" b="0"/>
            <wp:wrapNone/>
            <wp:docPr id="10" name="Picture 10" descr="Chapter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pter header graphic"/>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95088" cy="2161032"/>
                    </a:xfrm>
                    <a:prstGeom prst="rect">
                      <a:avLst/>
                    </a:prstGeom>
                  </pic:spPr>
                </pic:pic>
              </a:graphicData>
            </a:graphic>
          </wp:anchor>
        </w:drawing>
      </w:r>
      <w:r w:rsidR="00DA384B">
        <w:rPr>
          <w:noProof/>
        </w:rPr>
        <w:t>Chapter One</w:t>
      </w:r>
      <w:r w:rsidR="002A5F78">
        <w:rPr>
          <w:noProof/>
        </w:rPr>
        <w:t xml:space="preserve">: </w:t>
      </w:r>
      <w:r w:rsidR="00B76BA6">
        <w:rPr>
          <w:noProof/>
        </w:rPr>
        <w:t>T</w:t>
      </w:r>
      <w:r w:rsidR="002A5F78">
        <w:rPr>
          <w:noProof/>
        </w:rPr>
        <w:t xml:space="preserve">he </w:t>
      </w:r>
      <w:r w:rsidR="00B76BA6">
        <w:rPr>
          <w:noProof/>
        </w:rPr>
        <w:t>Foreign Investment Review Board</w:t>
      </w:r>
      <w:bookmarkEnd w:id="22"/>
      <w:bookmarkEnd w:id="23"/>
    </w:p>
    <w:bookmarkEnd w:id="19"/>
    <w:bookmarkEnd w:id="20"/>
    <w:bookmarkEnd w:id="21"/>
    <w:bookmarkEnd w:id="24"/>
    <w:p w14:paraId="60C30787" w14:textId="77777777" w:rsidR="00065FB2" w:rsidRDefault="00065FB2" w:rsidP="00065FB2"/>
    <w:p w14:paraId="3504B563" w14:textId="77777777" w:rsidR="00065FB2" w:rsidRDefault="00065FB2" w:rsidP="00065FB2"/>
    <w:p w14:paraId="10AF6DA9" w14:textId="77777777" w:rsidR="00065FB2" w:rsidRDefault="00065FB2" w:rsidP="00065FB2"/>
    <w:p w14:paraId="350EA5F1" w14:textId="77777777" w:rsidR="00065FB2" w:rsidRDefault="00065FB2" w:rsidP="00065FB2"/>
    <w:p w14:paraId="0E00D536" w14:textId="77777777" w:rsidR="00065FB2" w:rsidRDefault="00065FB2" w:rsidP="00065FB2"/>
    <w:p w14:paraId="5100371B" w14:textId="77777777" w:rsidR="00065FB2" w:rsidRDefault="00065FB2" w:rsidP="00065FB2">
      <w:pPr>
        <w:spacing w:after="360"/>
      </w:pPr>
    </w:p>
    <w:p w14:paraId="104EF362" w14:textId="67FA1147" w:rsidR="00A84283" w:rsidRPr="00A84283" w:rsidRDefault="00A84283" w:rsidP="00820C89">
      <w:pPr>
        <w:spacing w:after="360"/>
      </w:pPr>
      <w:r w:rsidRPr="00A84283">
        <w:t xml:space="preserve">This chapter provides an overview of the Board and </w:t>
      </w:r>
      <w:r w:rsidR="00CE3763">
        <w:t xml:space="preserve">the agencies </w:t>
      </w:r>
      <w:r w:rsidR="00DC45F3">
        <w:t>that</w:t>
      </w:r>
      <w:r w:rsidR="00CE3763">
        <w:t xml:space="preserve"> support the Board, Treasury and the ATO</w:t>
      </w:r>
      <w:r w:rsidRPr="00A84283">
        <w:t>, including details on the Board</w:t>
      </w:r>
      <w:r w:rsidR="00BD4D19">
        <w:t>’</w:t>
      </w:r>
      <w:r w:rsidRPr="00A84283">
        <w:t>s responsibilities, membership and operational costs.</w:t>
      </w:r>
    </w:p>
    <w:p w14:paraId="3FDBB1A5" w14:textId="6486A7D3" w:rsidR="00A84283" w:rsidRPr="00A84283" w:rsidRDefault="00A84283" w:rsidP="002E2EFE">
      <w:r w:rsidRPr="00A84283">
        <w:t xml:space="preserve">The </w:t>
      </w:r>
      <w:r w:rsidR="00015A49">
        <w:t xml:space="preserve">Foreign Investment Review </w:t>
      </w:r>
      <w:r w:rsidRPr="00A84283">
        <w:t>Board is a non</w:t>
      </w:r>
      <w:r w:rsidR="00BD4D19">
        <w:noBreakHyphen/>
      </w:r>
      <w:r w:rsidRPr="00A84283">
        <w:t>statutory body established in 1976 to advise the Treasurer and the Government on foreign investment matters. The Board</w:t>
      </w:r>
      <w:r w:rsidR="00BD4D19">
        <w:t>’</w:t>
      </w:r>
      <w:r w:rsidRPr="00A84283">
        <w:t>s functions are advisory only</w:t>
      </w:r>
      <w:r w:rsidR="00F91E4B">
        <w:t xml:space="preserve"> and it</w:t>
      </w:r>
      <w:r w:rsidRPr="00A84283">
        <w:t xml:space="preserve"> does not make binding decisions on foreign investment </w:t>
      </w:r>
      <w:r w:rsidR="00F91E4B">
        <w:t>proposals</w:t>
      </w:r>
      <w:r w:rsidRPr="00A84283">
        <w:t>. Responsibility for making decisions on foreign investment policy</w:t>
      </w:r>
      <w:r w:rsidR="00810EFA">
        <w:t>,</w:t>
      </w:r>
      <w:r w:rsidRPr="00A84283">
        <w:t xml:space="preserve"> investment proposals</w:t>
      </w:r>
      <w:r w:rsidR="00810EFA">
        <w:t xml:space="preserve"> and compliance with approval conditions</w:t>
      </w:r>
      <w:r w:rsidRPr="00A84283">
        <w:t xml:space="preserve"> rests with the Treasurer.</w:t>
      </w:r>
      <w:r w:rsidR="009E29B3">
        <w:rPr>
          <w:rStyle w:val="FootnoteReference"/>
        </w:rPr>
        <w:footnoteReference w:id="4"/>
      </w:r>
    </w:p>
    <w:p w14:paraId="7091A188" w14:textId="45E4F8B6" w:rsidR="00A84283" w:rsidRPr="00A84283" w:rsidRDefault="00A84283" w:rsidP="002E2EFE">
      <w:r w:rsidRPr="00A84283">
        <w:t xml:space="preserve">During </w:t>
      </w:r>
      <w:r w:rsidR="00957264">
        <w:t>2019</w:t>
      </w:r>
      <w:r w:rsidR="00F26A86">
        <w:t>–</w:t>
      </w:r>
      <w:r w:rsidR="00957264">
        <w:t>20</w:t>
      </w:r>
      <w:r w:rsidRPr="00A84283">
        <w:t xml:space="preserve">, the Board </w:t>
      </w:r>
      <w:r w:rsidR="00957264">
        <w:t>had</w:t>
      </w:r>
      <w:r w:rsidRPr="00A84283">
        <w:t xml:space="preserve"> </w:t>
      </w:r>
      <w:r w:rsidR="00FB5F8B">
        <w:t xml:space="preserve">eight members, comprising </w:t>
      </w:r>
      <w:r w:rsidRPr="00A84283">
        <w:t>seven part</w:t>
      </w:r>
      <w:r w:rsidR="00BD4D19">
        <w:noBreakHyphen/>
      </w:r>
      <w:r w:rsidRPr="00A84283">
        <w:t>time members</w:t>
      </w:r>
      <w:r w:rsidR="00FB5F8B">
        <w:t xml:space="preserve"> and </w:t>
      </w:r>
      <w:r w:rsidR="00B91D65">
        <w:t>one</w:t>
      </w:r>
      <w:r w:rsidR="004F2943">
        <w:t xml:space="preserve"> full</w:t>
      </w:r>
      <w:r w:rsidR="00BD4D19">
        <w:noBreakHyphen/>
      </w:r>
      <w:r w:rsidRPr="00A84283">
        <w:t>time executi</w:t>
      </w:r>
      <w:r w:rsidR="0080590C">
        <w:t>ve member</w:t>
      </w:r>
      <w:r w:rsidR="00F91E4B">
        <w:t xml:space="preserve"> </w:t>
      </w:r>
      <w:r w:rsidR="0080590C">
        <w:t>—</w:t>
      </w:r>
      <w:r w:rsidR="00F91E4B">
        <w:t xml:space="preserve"> </w:t>
      </w:r>
      <w:r w:rsidR="0080590C">
        <w:t>the head of Treasury</w:t>
      </w:r>
      <w:r w:rsidR="00BD4D19">
        <w:t>’</w:t>
      </w:r>
      <w:r w:rsidRPr="00A84283">
        <w:t xml:space="preserve">s Foreign Investment Division. The Government seeks to attract members to the Board with deep knowledge and experience in a range of sectors that </w:t>
      </w:r>
      <w:r w:rsidR="001F031F">
        <w:t xml:space="preserve">they </w:t>
      </w:r>
      <w:r w:rsidRPr="00A84283">
        <w:t>can actively contribute to the Board</w:t>
      </w:r>
      <w:r w:rsidR="00BD4D19">
        <w:t>’</w:t>
      </w:r>
      <w:r w:rsidRPr="00A84283">
        <w:t>s responsibilities. Strong probity procedures are in place to ensure any conflicts of interest that may occur are managed</w:t>
      </w:r>
      <w:r w:rsidR="000F7969">
        <w:t xml:space="preserve"> </w:t>
      </w:r>
      <w:r w:rsidRPr="00A84283">
        <w:t>appropriately.</w:t>
      </w:r>
    </w:p>
    <w:p w14:paraId="1DEED279" w14:textId="270F09BA" w:rsidR="00A84283" w:rsidRPr="00A84283" w:rsidRDefault="00A84283" w:rsidP="002E2EFE">
      <w:r w:rsidRPr="00A84283">
        <w:t>The Board considers all applications that are provided to the Treasurer for decision. To facilitate its advice, the Board</w:t>
      </w:r>
      <w:r w:rsidR="00BD4D19">
        <w:t>’</w:t>
      </w:r>
      <w:r w:rsidR="001965CF">
        <w:t>s regular practice is to</w:t>
      </w:r>
      <w:r w:rsidRPr="00A84283">
        <w:t xml:space="preserve"> </w:t>
      </w:r>
      <w:r w:rsidR="001965CF">
        <w:t xml:space="preserve">hold </w:t>
      </w:r>
      <w:r w:rsidRPr="00A84283">
        <w:t>face</w:t>
      </w:r>
      <w:r w:rsidR="00BD4D19">
        <w:noBreakHyphen/>
      </w:r>
      <w:r w:rsidRPr="00A84283">
        <w:t>to</w:t>
      </w:r>
      <w:r w:rsidR="00BD4D19">
        <w:noBreakHyphen/>
      </w:r>
      <w:r w:rsidRPr="00A84283">
        <w:t xml:space="preserve">face </w:t>
      </w:r>
      <w:r w:rsidR="001965CF">
        <w:t xml:space="preserve">meetings on a </w:t>
      </w:r>
      <w:r w:rsidRPr="00A84283">
        <w:t>monthly</w:t>
      </w:r>
      <w:r w:rsidR="00217031">
        <w:t xml:space="preserve"> </w:t>
      </w:r>
      <w:r w:rsidR="001965CF">
        <w:t xml:space="preserve">basis </w:t>
      </w:r>
      <w:r w:rsidR="00F52AF9">
        <w:t xml:space="preserve">as well as </w:t>
      </w:r>
      <w:r w:rsidRPr="00A84283">
        <w:t>w</w:t>
      </w:r>
      <w:r w:rsidR="0080590C">
        <w:t>eekly telephone</w:t>
      </w:r>
      <w:r w:rsidR="005A79F4">
        <w:t xml:space="preserve"> conferences. It also </w:t>
      </w:r>
      <w:r w:rsidR="00217031">
        <w:t>consider</w:t>
      </w:r>
      <w:r w:rsidR="001F4E46">
        <w:t>s</w:t>
      </w:r>
      <w:r w:rsidR="00217031">
        <w:t xml:space="preserve"> matters </w:t>
      </w:r>
      <w:r w:rsidR="0080590C">
        <w:t>out</w:t>
      </w:r>
      <w:r w:rsidR="00BD4D19">
        <w:noBreakHyphen/>
      </w:r>
      <w:r w:rsidR="0080590C">
        <w:t>of</w:t>
      </w:r>
      <w:r w:rsidR="00BD4D19">
        <w:noBreakHyphen/>
      </w:r>
      <w:r w:rsidRPr="00A84283">
        <w:t>session via email.</w:t>
      </w:r>
      <w:r w:rsidR="003E1512">
        <w:t xml:space="preserve"> During the COVID</w:t>
      </w:r>
      <w:r w:rsidR="00BD4D19">
        <w:noBreakHyphen/>
      </w:r>
      <w:r w:rsidR="003E1512">
        <w:t>19 pandemic the Board replaced its monthly face</w:t>
      </w:r>
      <w:r w:rsidR="00BD4D19">
        <w:noBreakHyphen/>
      </w:r>
      <w:r w:rsidR="003E1512">
        <w:t>to</w:t>
      </w:r>
      <w:r w:rsidR="00BD4D19">
        <w:noBreakHyphen/>
      </w:r>
      <w:r w:rsidR="003E1512">
        <w:t>face meetings with secure video conferenc</w:t>
      </w:r>
      <w:r w:rsidR="001F031F">
        <w:t>ing</w:t>
      </w:r>
      <w:r w:rsidR="003E1512">
        <w:t>.</w:t>
      </w:r>
      <w:r w:rsidRPr="00A84283">
        <w:t xml:space="preserve"> Appendix</w:t>
      </w:r>
      <w:r w:rsidR="000F7969">
        <w:t> </w:t>
      </w:r>
      <w:r w:rsidRPr="00A84283">
        <w:t>A lists Board members</w:t>
      </w:r>
      <w:r w:rsidR="00BD4D19">
        <w:t>’</w:t>
      </w:r>
      <w:r w:rsidRPr="00A84283">
        <w:t xml:space="preserve"> attendance for the monthly meetings during the reporting period.</w:t>
      </w:r>
    </w:p>
    <w:p w14:paraId="6E0D2D5E" w14:textId="77777777" w:rsidR="00A84283" w:rsidRPr="006D64A2" w:rsidRDefault="004C6BA5" w:rsidP="00406C1F">
      <w:pPr>
        <w:pStyle w:val="Heading2"/>
      </w:pPr>
      <w:bookmarkStart w:id="25" w:name="_Toc31296893"/>
      <w:bookmarkStart w:id="26" w:name="_Toc31636011"/>
      <w:bookmarkStart w:id="27" w:name="_Toc31642780"/>
      <w:bookmarkStart w:id="28" w:name="_Toc32247789"/>
      <w:bookmarkStart w:id="29" w:name="_Toc63782920"/>
      <w:bookmarkStart w:id="30" w:name="_Toc75244049"/>
      <w:r>
        <w:t>Board</w:t>
      </w:r>
      <w:r w:rsidR="00A84283" w:rsidRPr="00406C1F">
        <w:t xml:space="preserve"> responsibilities</w:t>
      </w:r>
      <w:bookmarkEnd w:id="25"/>
      <w:bookmarkEnd w:id="26"/>
      <w:bookmarkEnd w:id="27"/>
      <w:bookmarkEnd w:id="28"/>
      <w:bookmarkEnd w:id="29"/>
      <w:bookmarkEnd w:id="30"/>
    </w:p>
    <w:p w14:paraId="0A925EF2" w14:textId="77777777" w:rsidR="00A84283" w:rsidRPr="00A84283" w:rsidRDefault="00A84283" w:rsidP="002E2EFE">
      <w:r w:rsidRPr="00A84283">
        <w:t>The role of the Board is to:</w:t>
      </w:r>
    </w:p>
    <w:p w14:paraId="2C511DB1" w14:textId="77777777" w:rsidR="00A84283" w:rsidRPr="00A84283" w:rsidRDefault="00A84283" w:rsidP="00AD4F91">
      <w:pPr>
        <w:pStyle w:val="Bullet"/>
      </w:pPr>
      <w:r w:rsidRPr="00A84283">
        <w:t xml:space="preserve">examine proposed investments that are subject to the </w:t>
      </w:r>
      <w:r w:rsidRPr="00832223">
        <w:rPr>
          <w:i/>
        </w:rPr>
        <w:t>Foreign Acquisitions and Takeovers Act 1975</w:t>
      </w:r>
      <w:r w:rsidR="000F7969">
        <w:t> </w:t>
      </w:r>
      <w:r w:rsidRPr="00A84283">
        <w:t>(the</w:t>
      </w:r>
      <w:r w:rsidR="000F7969">
        <w:t> </w:t>
      </w:r>
      <w:r w:rsidRPr="00A84283">
        <w:t>Act) and supporting legislation, and to make recommendations to the Treasurer and other Treasury portfolio ministers on the national interest implications of these proposals;</w:t>
      </w:r>
    </w:p>
    <w:p w14:paraId="3EECD67C" w14:textId="77777777" w:rsidR="00A84283" w:rsidRPr="00A84283" w:rsidRDefault="00A84283" w:rsidP="00AD4F91">
      <w:pPr>
        <w:pStyle w:val="Bullet"/>
      </w:pPr>
      <w:r w:rsidRPr="00A84283">
        <w:t>provide advice on the operation of the foreign investment framework and related matters;</w:t>
      </w:r>
    </w:p>
    <w:p w14:paraId="1EED1BF4" w14:textId="7EB7207D" w:rsidR="00A84283" w:rsidRPr="00A84283" w:rsidRDefault="00A84283" w:rsidP="00AD4F91">
      <w:pPr>
        <w:pStyle w:val="Bullet"/>
      </w:pPr>
      <w:r w:rsidRPr="00A84283">
        <w:t>foster awareness and understanding, both in Aus</w:t>
      </w:r>
      <w:r w:rsidR="00832223">
        <w:t>tralia and abroad, of Australia</w:t>
      </w:r>
      <w:r w:rsidR="00BD4D19">
        <w:t>’</w:t>
      </w:r>
      <w:r w:rsidRPr="00A84283">
        <w:t>s foreign investment policy;</w:t>
      </w:r>
    </w:p>
    <w:p w14:paraId="09562F5E" w14:textId="77777777" w:rsidR="00A84283" w:rsidRDefault="00A84283" w:rsidP="00AD4F91">
      <w:pPr>
        <w:pStyle w:val="Bullet"/>
      </w:pPr>
      <w:r w:rsidRPr="00A84283">
        <w:t>provide guidance to foreign persons and their representatives or agents on the operation of the foreign investment framework; and</w:t>
      </w:r>
    </w:p>
    <w:p w14:paraId="4A63E6D0" w14:textId="77777777" w:rsidR="00A84283" w:rsidRDefault="003D2A8A" w:rsidP="00AD4F91">
      <w:pPr>
        <w:pStyle w:val="Bullet"/>
      </w:pPr>
      <w:r>
        <w:t>monitor compliance with</w:t>
      </w:r>
      <w:r w:rsidR="006E4D50">
        <w:t>in</w:t>
      </w:r>
      <w:r>
        <w:t xml:space="preserve"> the foreign investment framework.</w:t>
      </w:r>
    </w:p>
    <w:p w14:paraId="759AA635" w14:textId="77777777" w:rsidR="00A84283" w:rsidRPr="006D64A2" w:rsidRDefault="004C6BA5" w:rsidP="00406C1F">
      <w:pPr>
        <w:pStyle w:val="Heading2"/>
      </w:pPr>
      <w:bookmarkStart w:id="31" w:name="_Toc31296894"/>
      <w:bookmarkStart w:id="32" w:name="_Toc31636012"/>
      <w:bookmarkStart w:id="33" w:name="_Toc31642781"/>
      <w:bookmarkStart w:id="34" w:name="_Toc32247790"/>
      <w:bookmarkStart w:id="35" w:name="_Toc63782921"/>
      <w:bookmarkStart w:id="36" w:name="_Toc75244050"/>
      <w:r>
        <w:t>Board</w:t>
      </w:r>
      <w:r w:rsidR="00A84283" w:rsidRPr="00406C1F">
        <w:t xml:space="preserve"> membership</w:t>
      </w:r>
      <w:bookmarkEnd w:id="31"/>
      <w:bookmarkEnd w:id="32"/>
      <w:bookmarkEnd w:id="33"/>
      <w:bookmarkEnd w:id="34"/>
      <w:bookmarkEnd w:id="35"/>
      <w:bookmarkEnd w:id="36"/>
    </w:p>
    <w:p w14:paraId="48E727A1" w14:textId="77777777" w:rsidR="00A84283" w:rsidRPr="00517A53" w:rsidRDefault="00832223" w:rsidP="003D2A8A">
      <w:pPr>
        <w:spacing w:line="240" w:lineRule="exact"/>
      </w:pPr>
      <w:r w:rsidRPr="00517A53">
        <w:t xml:space="preserve">As at 30 June </w:t>
      </w:r>
      <w:r w:rsidR="00A84283" w:rsidRPr="00517A53">
        <w:t>20</w:t>
      </w:r>
      <w:r w:rsidR="00C7586A" w:rsidRPr="00517A53">
        <w:t>20</w:t>
      </w:r>
      <w:r w:rsidR="00A84283" w:rsidRPr="00517A53">
        <w:t>, the Board comprised the following member</w:t>
      </w:r>
      <w:r w:rsidR="00F91E4B" w:rsidRPr="00517A53">
        <w:t>s</w:t>
      </w:r>
      <w:r w:rsidR="00A84283" w:rsidRPr="00517A53">
        <w:t>.</w:t>
      </w:r>
    </w:p>
    <w:p w14:paraId="66E82660" w14:textId="77777777" w:rsidR="00A84283" w:rsidRPr="00517A53" w:rsidRDefault="00A84283" w:rsidP="003D2A8A">
      <w:pPr>
        <w:pStyle w:val="Bullet"/>
        <w:spacing w:line="240" w:lineRule="exact"/>
      </w:pPr>
      <w:r w:rsidRPr="00517A53">
        <w:t>Mr David Irvine AO (Chair)</w:t>
      </w:r>
    </w:p>
    <w:p w14:paraId="73151760" w14:textId="77777777" w:rsidR="00A84283" w:rsidRPr="00517A53" w:rsidRDefault="00A84283" w:rsidP="003D2A8A">
      <w:pPr>
        <w:pStyle w:val="Bullet"/>
        <w:spacing w:line="240" w:lineRule="exact"/>
      </w:pPr>
      <w:r w:rsidRPr="00517A53">
        <w:t>Ms Alice Williams</w:t>
      </w:r>
    </w:p>
    <w:p w14:paraId="0B2EAA4D" w14:textId="77777777" w:rsidR="00A84283" w:rsidRPr="00517A53" w:rsidRDefault="00A84283" w:rsidP="003D2A8A">
      <w:pPr>
        <w:pStyle w:val="Bullet"/>
        <w:spacing w:line="240" w:lineRule="exact"/>
      </w:pPr>
      <w:r w:rsidRPr="00517A53">
        <w:t xml:space="preserve">Mr David </w:t>
      </w:r>
      <w:proofErr w:type="spellStart"/>
      <w:r w:rsidRPr="00517A53">
        <w:t>Peever</w:t>
      </w:r>
      <w:proofErr w:type="spellEnd"/>
    </w:p>
    <w:p w14:paraId="1847F928" w14:textId="77777777" w:rsidR="00A84283" w:rsidRPr="00517A53" w:rsidRDefault="00A84283" w:rsidP="003D2A8A">
      <w:pPr>
        <w:pStyle w:val="Bullet"/>
        <w:spacing w:line="240" w:lineRule="exact"/>
      </w:pPr>
      <w:r w:rsidRPr="00517A53">
        <w:t>The Hon Cheryl Edwardes AM</w:t>
      </w:r>
    </w:p>
    <w:p w14:paraId="1C2E3B51" w14:textId="77777777" w:rsidR="00A84283" w:rsidRPr="00517A53" w:rsidRDefault="00A84283" w:rsidP="003D2A8A">
      <w:pPr>
        <w:pStyle w:val="Bullet"/>
        <w:spacing w:line="240" w:lineRule="exact"/>
      </w:pPr>
      <w:r w:rsidRPr="00517A53">
        <w:t>Ms Teresa Dyson</w:t>
      </w:r>
    </w:p>
    <w:p w14:paraId="34A6465A" w14:textId="77777777" w:rsidR="00A84283" w:rsidRPr="00517A53" w:rsidRDefault="00A84283" w:rsidP="003D2A8A">
      <w:pPr>
        <w:pStyle w:val="Bullet"/>
        <w:spacing w:line="240" w:lineRule="exact"/>
      </w:pPr>
      <w:r w:rsidRPr="00517A53">
        <w:t>The Hon Nick Minchin AO</w:t>
      </w:r>
    </w:p>
    <w:p w14:paraId="69E5BFD0" w14:textId="77777777" w:rsidR="00A84283" w:rsidRPr="00517A53" w:rsidRDefault="00A84283" w:rsidP="003D2A8A">
      <w:pPr>
        <w:pStyle w:val="Bullet"/>
        <w:spacing w:line="240" w:lineRule="exact"/>
      </w:pPr>
      <w:r w:rsidRPr="00517A53">
        <w:t>Ms Margaret (Meg) McDonald</w:t>
      </w:r>
    </w:p>
    <w:p w14:paraId="2DFC7597" w14:textId="1C39F821" w:rsidR="0004056B" w:rsidRPr="00517A53" w:rsidRDefault="00A84283" w:rsidP="001C7EE6">
      <w:pPr>
        <w:pStyle w:val="Bullet"/>
      </w:pPr>
      <w:r w:rsidRPr="00517A53">
        <w:t>Mr Roger Brake (full</w:t>
      </w:r>
      <w:r w:rsidR="00BD4D19">
        <w:noBreakHyphen/>
      </w:r>
      <w:r w:rsidRPr="00517A53">
        <w:t>time executive member)</w:t>
      </w:r>
    </w:p>
    <w:p w14:paraId="4937F254" w14:textId="390C87DB" w:rsidR="00232C47" w:rsidRPr="00517A53" w:rsidRDefault="00232C47" w:rsidP="00232C47">
      <w:pPr>
        <w:pStyle w:val="Bullet"/>
        <w:numPr>
          <w:ilvl w:val="0"/>
          <w:numId w:val="0"/>
        </w:numPr>
      </w:pPr>
      <w:r w:rsidRPr="00517A53">
        <w:t>Since the end of the financial year</w:t>
      </w:r>
      <w:r w:rsidR="00F52AF9">
        <w:t>,</w:t>
      </w:r>
      <w:r w:rsidRPr="00517A53">
        <w:t xml:space="preserve"> Ms</w:t>
      </w:r>
      <w:r w:rsidR="00047F07">
        <w:t> </w:t>
      </w:r>
      <w:r w:rsidRPr="00517A53">
        <w:t>Alice</w:t>
      </w:r>
      <w:r w:rsidR="00047F07">
        <w:t> </w:t>
      </w:r>
      <w:r w:rsidRPr="00517A53">
        <w:t>Williams</w:t>
      </w:r>
      <w:r w:rsidR="00BD4D19">
        <w:t>’</w:t>
      </w:r>
      <w:r w:rsidRPr="00517A53">
        <w:t xml:space="preserve"> term expired on </w:t>
      </w:r>
      <w:r w:rsidR="00047F07">
        <w:t>15 July </w:t>
      </w:r>
      <w:r w:rsidR="002C39FB">
        <w:t>2020</w:t>
      </w:r>
      <w:r w:rsidR="00047F07">
        <w:t xml:space="preserve"> and Mr Steven </w:t>
      </w:r>
      <w:r w:rsidRPr="00517A53">
        <w:t>Skala</w:t>
      </w:r>
      <w:r w:rsidR="003840B2">
        <w:t> AO</w:t>
      </w:r>
      <w:r w:rsidRPr="00517A53">
        <w:t xml:space="preserve"> was appointed from </w:t>
      </w:r>
      <w:r w:rsidR="00047F07">
        <w:t>18 </w:t>
      </w:r>
      <w:r w:rsidR="002C39FB">
        <w:t>September</w:t>
      </w:r>
      <w:r w:rsidR="00047F07">
        <w:t> </w:t>
      </w:r>
      <w:r w:rsidR="002C39FB">
        <w:t>2</w:t>
      </w:r>
      <w:r w:rsidRPr="00517A53">
        <w:t xml:space="preserve">020. </w:t>
      </w:r>
      <w:r w:rsidR="00047F07">
        <w:t xml:space="preserve">On 19 October 2020, </w:t>
      </w:r>
      <w:r w:rsidR="00F52AF9">
        <w:t>Mr</w:t>
      </w:r>
      <w:r w:rsidR="00BC3385">
        <w:t> </w:t>
      </w:r>
      <w:r w:rsidR="00F52AF9">
        <w:t>Tom</w:t>
      </w:r>
      <w:r w:rsidR="00BC3385">
        <w:t> </w:t>
      </w:r>
      <w:r w:rsidR="00F52AF9">
        <w:t xml:space="preserve">Hamilton was appointed </w:t>
      </w:r>
      <w:r w:rsidR="002B3C03">
        <w:t>First Assistant Secretary</w:t>
      </w:r>
      <w:r w:rsidR="00F52AF9" w:rsidRPr="00517A53">
        <w:t xml:space="preserve"> of the Foreign Investm</w:t>
      </w:r>
      <w:r w:rsidR="00F52AF9">
        <w:t>e</w:t>
      </w:r>
      <w:r w:rsidR="00F52AF9" w:rsidRPr="00517A53">
        <w:t>nt Division</w:t>
      </w:r>
      <w:r w:rsidR="001C2394">
        <w:t xml:space="preserve"> and replaced</w:t>
      </w:r>
      <w:r w:rsidR="00F52AF9" w:rsidRPr="00517A53">
        <w:t xml:space="preserve"> </w:t>
      </w:r>
      <w:r w:rsidR="00047F07">
        <w:t>M</w:t>
      </w:r>
      <w:r w:rsidR="00F52AF9">
        <w:t>r</w:t>
      </w:r>
      <w:r w:rsidR="00047F07">
        <w:t> </w:t>
      </w:r>
      <w:r w:rsidR="0060335E" w:rsidRPr="00047F07">
        <w:t>Roger</w:t>
      </w:r>
      <w:r w:rsidR="00047F07">
        <w:t> </w:t>
      </w:r>
      <w:r w:rsidR="0060335E" w:rsidRPr="00517A53">
        <w:t xml:space="preserve">Brake </w:t>
      </w:r>
      <w:r w:rsidR="00732A38">
        <w:t xml:space="preserve">as </w:t>
      </w:r>
      <w:r w:rsidR="0060335E" w:rsidRPr="00517A53">
        <w:t xml:space="preserve">executive member of the </w:t>
      </w:r>
      <w:r w:rsidR="003471F6">
        <w:t>Board</w:t>
      </w:r>
      <w:r w:rsidR="0060335E" w:rsidRPr="00517A53">
        <w:t>.</w:t>
      </w:r>
    </w:p>
    <w:p w14:paraId="02585D81" w14:textId="77777777" w:rsidR="007B571E" w:rsidRDefault="007B571E" w:rsidP="005F43E6">
      <w:pPr>
        <w:pStyle w:val="SingleParagraph"/>
        <w:spacing w:line="240" w:lineRule="auto"/>
      </w:pPr>
      <w:r>
        <w:rPr>
          <w:noProof/>
        </w:rPr>
        <w:drawing>
          <wp:inline distT="0" distB="0" distL="0" distR="0" wp14:anchorId="1F04B14B" wp14:editId="7AC112D2">
            <wp:extent cx="4899804" cy="31131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Z3A5539-Edit low re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22621" cy="3127616"/>
                    </a:xfrm>
                    <a:prstGeom prst="rect">
                      <a:avLst/>
                    </a:prstGeom>
                  </pic:spPr>
                </pic:pic>
              </a:graphicData>
            </a:graphic>
          </wp:inline>
        </w:drawing>
      </w:r>
    </w:p>
    <w:p w14:paraId="1307E14D" w14:textId="77777777" w:rsidR="003471F6" w:rsidRDefault="00A84283" w:rsidP="005E13E5">
      <w:pPr>
        <w:spacing w:after="0" w:line="240" w:lineRule="exact"/>
      </w:pPr>
      <w:r w:rsidRPr="00A84283">
        <w:t xml:space="preserve">The </w:t>
      </w:r>
      <w:r w:rsidR="004C6BA5">
        <w:t>Board</w:t>
      </w:r>
      <w:r w:rsidRPr="00A84283">
        <w:t xml:space="preserve">; (left to right,) </w:t>
      </w:r>
      <w:r w:rsidR="00235BDC">
        <w:t>Nick</w:t>
      </w:r>
      <w:r w:rsidR="003471F6">
        <w:t> </w:t>
      </w:r>
      <w:r w:rsidR="00235BDC">
        <w:t>Minchin, Steven</w:t>
      </w:r>
      <w:r w:rsidR="003471F6">
        <w:t> </w:t>
      </w:r>
      <w:r w:rsidR="00235BDC">
        <w:t>Skala, Meg</w:t>
      </w:r>
      <w:r w:rsidR="003471F6">
        <w:t> </w:t>
      </w:r>
      <w:r w:rsidRPr="00D8583C">
        <w:t xml:space="preserve">McDonald, </w:t>
      </w:r>
      <w:r w:rsidR="007B571E">
        <w:t>Chair </w:t>
      </w:r>
      <w:r w:rsidR="007B571E" w:rsidRPr="00D8583C">
        <w:t>David</w:t>
      </w:r>
      <w:r w:rsidR="007B571E">
        <w:t> </w:t>
      </w:r>
      <w:r w:rsidR="007B571E" w:rsidRPr="00D8583C">
        <w:t xml:space="preserve">Irvine, </w:t>
      </w:r>
      <w:r w:rsidRPr="00D8583C">
        <w:t>Tere</w:t>
      </w:r>
      <w:r w:rsidR="00A42FAB">
        <w:t>sa</w:t>
      </w:r>
      <w:r w:rsidR="003471F6">
        <w:t> </w:t>
      </w:r>
      <w:r w:rsidR="00A42FAB">
        <w:t xml:space="preserve">Dyson, </w:t>
      </w:r>
      <w:r w:rsidR="00235BDC">
        <w:t>David</w:t>
      </w:r>
      <w:r w:rsidR="003471F6">
        <w:t> </w:t>
      </w:r>
      <w:proofErr w:type="spellStart"/>
      <w:r w:rsidR="007B571E">
        <w:t>Peever</w:t>
      </w:r>
      <w:proofErr w:type="spellEnd"/>
      <w:r w:rsidR="007B571E" w:rsidRPr="00D8583C">
        <w:t xml:space="preserve"> </w:t>
      </w:r>
      <w:r w:rsidR="00235BDC">
        <w:t xml:space="preserve">and </w:t>
      </w:r>
      <w:r w:rsidR="004A34D6">
        <w:t>Tom</w:t>
      </w:r>
      <w:r w:rsidR="003471F6">
        <w:t> </w:t>
      </w:r>
      <w:r w:rsidR="004A34D6">
        <w:t>Hamilton</w:t>
      </w:r>
      <w:r w:rsidR="007A695C">
        <w:t xml:space="preserve">. </w:t>
      </w:r>
      <w:r w:rsidRPr="00A84283">
        <w:t>Absent:</w:t>
      </w:r>
      <w:r w:rsidR="003471F6">
        <w:t> </w:t>
      </w:r>
      <w:r w:rsidR="007B571E" w:rsidRPr="00D8583C">
        <w:t>Cheryl</w:t>
      </w:r>
      <w:r w:rsidR="003471F6">
        <w:t> </w:t>
      </w:r>
      <w:r w:rsidR="007B571E" w:rsidRPr="00D8583C">
        <w:t>Edwardes</w:t>
      </w:r>
      <w:r w:rsidR="00235BDC">
        <w:t>.</w:t>
      </w:r>
    </w:p>
    <w:p w14:paraId="305B0CBC" w14:textId="77777777" w:rsidR="00A84283" w:rsidRPr="00A84283" w:rsidRDefault="007B571E" w:rsidP="001C7EE6">
      <w:pPr>
        <w:spacing w:line="240" w:lineRule="exact"/>
      </w:pPr>
      <w:r>
        <w:t>10</w:t>
      </w:r>
      <w:r w:rsidR="00235BDC">
        <w:t> December </w:t>
      </w:r>
      <w:r>
        <w:t>2020</w:t>
      </w:r>
      <w:r w:rsidR="00235BDC">
        <w:t>,</w:t>
      </w:r>
      <w:r w:rsidR="003471F6">
        <w:t> </w:t>
      </w:r>
      <w:r w:rsidR="00A84283" w:rsidRPr="00A84283">
        <w:t xml:space="preserve">Canberra. </w:t>
      </w:r>
    </w:p>
    <w:p w14:paraId="300456E6" w14:textId="77777777" w:rsidR="00C34749" w:rsidRDefault="00C34749">
      <w:pPr>
        <w:spacing w:after="0" w:line="240" w:lineRule="auto"/>
        <w:jc w:val="left"/>
        <w:rPr>
          <w:rFonts w:ascii="Calibri" w:hAnsi="Calibri" w:cs="Arial"/>
          <w:b/>
          <w:bCs/>
          <w:color w:val="8E54A2"/>
          <w:sz w:val="24"/>
          <w:szCs w:val="26"/>
        </w:rPr>
      </w:pPr>
      <w:r>
        <w:br w:type="page"/>
      </w:r>
    </w:p>
    <w:p w14:paraId="62D5573A" w14:textId="77777777" w:rsidR="00E6535D" w:rsidRDefault="00E6535D" w:rsidP="00E6535D">
      <w:pPr>
        <w:pStyle w:val="Heading3"/>
        <w:rPr>
          <w:highlight w:val="yellow"/>
        </w:rPr>
      </w:pPr>
      <w:bookmarkStart w:id="37" w:name="_Toc69830337"/>
      <w:bookmarkStart w:id="38" w:name="_Toc69830411"/>
      <w:bookmarkStart w:id="39" w:name="_Toc31296895"/>
      <w:bookmarkStart w:id="40" w:name="_Toc31636013"/>
      <w:bookmarkStart w:id="41" w:name="_Toc31642782"/>
      <w:bookmarkStart w:id="42" w:name="_Toc32247791"/>
      <w:bookmarkStart w:id="43" w:name="_Toc63782922"/>
      <w:r>
        <w:t>Board</w:t>
      </w:r>
      <w:r w:rsidRPr="00406C1F">
        <w:t xml:space="preserve"> m</w:t>
      </w:r>
      <w:r w:rsidRPr="00A618B6">
        <w:t xml:space="preserve">embership as of </w:t>
      </w:r>
      <w:r>
        <w:t>5 February 2021</w:t>
      </w:r>
      <w:bookmarkEnd w:id="37"/>
      <w:bookmarkEnd w:id="3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Caption w:val="Mr David Irvine's Bio"/>
        <w:tblDescription w:val="Mr David Irvine AO&#10;Chair and non executive member&#10;Chair since 16 April 2017&#10;Member since 3 December 2015&#10;Mr Irvine has significant national security expertise as a former Director General of both the Australian Security Intelligence Organisation and the Australian Secret Intelligence Service. He is also a former Australian Ambassador to China and former Australian High Commissioner to Papua New Guinea.&#10;Other roles&#10;Adjunct Professor – Australian Graduate School of Policy and Security at Charles Sturt University&#10;Chair – Cyber Security Cooperative Research Centre"/>
      </w:tblPr>
      <w:tblGrid>
        <w:gridCol w:w="7710"/>
      </w:tblGrid>
      <w:tr w:rsidR="00E6535D" w:rsidRPr="005106BA" w14:paraId="1621EC49" w14:textId="77777777" w:rsidTr="002C70F9">
        <w:tc>
          <w:tcPr>
            <w:tcW w:w="7710" w:type="dxa"/>
          </w:tcPr>
          <w:p w14:paraId="2D803592" w14:textId="77777777" w:rsidR="00E6535D" w:rsidRPr="00241E7E" w:rsidRDefault="00E6535D" w:rsidP="002C70F9">
            <w:pPr>
              <w:spacing w:after="200"/>
              <w:rPr>
                <w:rFonts w:ascii="Calibri" w:hAnsi="Calibri"/>
                <w:b/>
                <w:sz w:val="24"/>
              </w:rPr>
            </w:pPr>
            <w:r>
              <w:rPr>
                <w:rFonts w:ascii="Calibri" w:hAnsi="Calibri"/>
                <w:b/>
                <w:noProof/>
                <w:sz w:val="24"/>
              </w:rPr>
              <w:drawing>
                <wp:anchor distT="0" distB="0" distL="180340" distR="180340" simplePos="0" relativeHeight="251674624" behindDoc="1" locked="0" layoutInCell="1" allowOverlap="1" wp14:anchorId="3B2C7902" wp14:editId="342B2036">
                  <wp:simplePos x="0" y="0"/>
                  <wp:positionH relativeFrom="margin">
                    <wp:posOffset>3157855</wp:posOffset>
                  </wp:positionH>
                  <wp:positionV relativeFrom="margin">
                    <wp:posOffset>0</wp:posOffset>
                  </wp:positionV>
                  <wp:extent cx="1591200" cy="2160000"/>
                  <wp:effectExtent l="0" t="0" r="9525" b="0"/>
                  <wp:wrapSquare wrapText="bothSides"/>
                  <wp:docPr id="5" name="Picture 5" descr="Photo of Mr David Irvin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Mr David Irvine AO"/>
                          <pic:cNvPicPr>
                            <a:picLocks noChangeAspect="1" noChangeArrowheads="1"/>
                          </pic:cNvPicPr>
                        </pic:nvPicPr>
                        <pic:blipFill rotWithShape="1">
                          <a:blip r:embed="rId42">
                            <a:extLst>
                              <a:ext uri="{28A0092B-C50C-407E-A947-70E740481C1C}">
                                <a14:useLocalDpi xmlns:a14="http://schemas.microsoft.com/office/drawing/2010/main" val="0"/>
                              </a:ext>
                            </a:extLst>
                          </a:blip>
                          <a:srcRect l="2388"/>
                          <a:stretch/>
                        </pic:blipFill>
                        <pic:spPr bwMode="auto">
                          <a:xfrm>
                            <a:off x="0" y="0"/>
                            <a:ext cx="15912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1E7E">
              <w:rPr>
                <w:rFonts w:ascii="Calibri" w:hAnsi="Calibri"/>
                <w:b/>
                <w:sz w:val="24"/>
              </w:rPr>
              <w:t>Mr David Irvine AO</w:t>
            </w:r>
          </w:p>
          <w:p w14:paraId="2A93F24A" w14:textId="0D92C50B" w:rsidR="00E6535D" w:rsidRPr="005F43E6" w:rsidRDefault="00E6535D" w:rsidP="002C70F9">
            <w:pPr>
              <w:keepNext/>
              <w:keepLines/>
              <w:spacing w:before="200" w:after="120"/>
              <w:outlineLvl w:val="3"/>
              <w:rPr>
                <w:rFonts w:ascii="Calibri" w:eastAsiaTheme="majorEastAsia" w:hAnsi="Calibri" w:cstheme="majorBidi"/>
                <w:b/>
                <w:bCs/>
                <w:i/>
                <w:iCs/>
                <w:color w:val="477B59" w:themeColor="accent1"/>
              </w:rPr>
            </w:pPr>
            <w:r w:rsidRPr="005F43E6">
              <w:rPr>
                <w:rFonts w:ascii="Calibri" w:eastAsiaTheme="majorEastAsia" w:hAnsi="Calibri" w:cstheme="majorBidi"/>
                <w:b/>
                <w:bCs/>
                <w:i/>
                <w:iCs/>
                <w:color w:val="477B59" w:themeColor="accent1"/>
              </w:rPr>
              <w:t>Chair and non</w:t>
            </w:r>
            <w:r w:rsidR="00BD4D19">
              <w:rPr>
                <w:rFonts w:ascii="Calibri" w:eastAsiaTheme="majorEastAsia" w:hAnsi="Calibri" w:cstheme="majorBidi"/>
                <w:b/>
                <w:bCs/>
                <w:i/>
                <w:iCs/>
                <w:color w:val="477B59" w:themeColor="accent1"/>
              </w:rPr>
              <w:noBreakHyphen/>
            </w:r>
            <w:r w:rsidRPr="005F43E6">
              <w:rPr>
                <w:rFonts w:ascii="Calibri" w:eastAsiaTheme="majorEastAsia" w:hAnsi="Calibri" w:cstheme="majorBidi"/>
                <w:b/>
                <w:bCs/>
                <w:i/>
                <w:iCs/>
                <w:color w:val="477B59" w:themeColor="accent1"/>
              </w:rPr>
              <w:t>executive member</w:t>
            </w:r>
          </w:p>
          <w:p w14:paraId="08C2C8F8" w14:textId="77777777" w:rsidR="00E6535D" w:rsidRDefault="00E6535D" w:rsidP="002C70F9">
            <w:pPr>
              <w:spacing w:after="160"/>
              <w:jc w:val="left"/>
              <w:rPr>
                <w:rFonts w:ascii="Calibri" w:hAnsi="Calibri"/>
              </w:rPr>
            </w:pPr>
            <w:r w:rsidRPr="005106BA">
              <w:rPr>
                <w:rFonts w:ascii="Calibri" w:hAnsi="Calibri"/>
              </w:rPr>
              <w:t>Chair since 16</w:t>
            </w:r>
            <w:r>
              <w:rPr>
                <w:rFonts w:ascii="Calibri" w:hAnsi="Calibri"/>
              </w:rPr>
              <w:t> </w:t>
            </w:r>
            <w:r w:rsidRPr="005106BA">
              <w:rPr>
                <w:rFonts w:ascii="Calibri" w:hAnsi="Calibri"/>
              </w:rPr>
              <w:t>April</w:t>
            </w:r>
            <w:r>
              <w:rPr>
                <w:rFonts w:ascii="Calibri" w:hAnsi="Calibri"/>
              </w:rPr>
              <w:t> </w:t>
            </w:r>
            <w:r w:rsidRPr="005106BA">
              <w:rPr>
                <w:rFonts w:ascii="Calibri" w:hAnsi="Calibri"/>
              </w:rPr>
              <w:t>2017</w:t>
            </w:r>
            <w:r w:rsidRPr="005106BA">
              <w:rPr>
                <w:rFonts w:ascii="Calibri" w:hAnsi="Calibri"/>
              </w:rPr>
              <w:br/>
            </w:r>
            <w:r>
              <w:rPr>
                <w:rFonts w:ascii="Calibri" w:hAnsi="Calibri"/>
              </w:rPr>
              <w:t>M</w:t>
            </w:r>
            <w:r w:rsidRPr="005106BA">
              <w:rPr>
                <w:rFonts w:ascii="Calibri" w:hAnsi="Calibri"/>
              </w:rPr>
              <w:t>ember since 3 December 2015</w:t>
            </w:r>
          </w:p>
          <w:p w14:paraId="33A47B88" w14:textId="0F0AF7B4" w:rsidR="00E6535D" w:rsidRDefault="00E6535D" w:rsidP="002C70F9">
            <w:pPr>
              <w:keepNext/>
              <w:keepLines/>
              <w:spacing w:after="160"/>
            </w:pPr>
            <w:r w:rsidRPr="00713EEE">
              <w:t>Mr</w:t>
            </w:r>
            <w:r>
              <w:t> </w:t>
            </w:r>
            <w:r w:rsidRPr="00713EEE">
              <w:t>Irvine has significant national security expertise as a former Director</w:t>
            </w:r>
            <w:r w:rsidR="00BD4D19">
              <w:noBreakHyphen/>
            </w:r>
            <w:r w:rsidRPr="00713EEE">
              <w:t>General of both the</w:t>
            </w:r>
            <w:r>
              <w:t xml:space="preserve"> </w:t>
            </w:r>
            <w:r w:rsidRPr="00713EEE">
              <w:t>Australian Security Intelligence Organisation</w:t>
            </w:r>
            <w:r>
              <w:t xml:space="preserve"> </w:t>
            </w:r>
            <w:r w:rsidRPr="00713EEE">
              <w:t>and the Australian Secret Intelligence Service.</w:t>
            </w:r>
            <w:r>
              <w:t xml:space="preserve"> </w:t>
            </w:r>
            <w:r w:rsidRPr="00713EEE">
              <w:t>He is also a former</w:t>
            </w:r>
            <w:r>
              <w:t xml:space="preserve"> </w:t>
            </w:r>
            <w:r w:rsidRPr="00713EEE">
              <w:t>Australian Ambassador to China and former Australian High Co</w:t>
            </w:r>
            <w:r>
              <w:t>mmissioner to Papua New Guinea.</w:t>
            </w:r>
          </w:p>
          <w:p w14:paraId="4823D50A" w14:textId="77777777" w:rsidR="00E6535D" w:rsidRDefault="00E6535D" w:rsidP="002C70F9">
            <w:pPr>
              <w:spacing w:before="200" w:after="120"/>
              <w:rPr>
                <w:rFonts w:ascii="Calibri" w:eastAsiaTheme="majorEastAsia" w:hAnsi="Calibri" w:cstheme="majorBidi"/>
                <w:b/>
                <w:bCs/>
                <w:i/>
                <w:iCs/>
                <w:color w:val="477B59" w:themeColor="accent1"/>
              </w:rPr>
            </w:pPr>
            <w:r w:rsidRPr="005F43E6">
              <w:rPr>
                <w:rFonts w:ascii="Calibri" w:eastAsiaTheme="majorEastAsia" w:hAnsi="Calibri" w:cstheme="majorBidi"/>
                <w:b/>
                <w:bCs/>
                <w:i/>
                <w:iCs/>
                <w:color w:val="477B59" w:themeColor="accent1"/>
              </w:rPr>
              <w:t>Other roles</w:t>
            </w:r>
          </w:p>
          <w:p w14:paraId="21B0C929" w14:textId="77777777" w:rsidR="00E6535D" w:rsidRPr="00713EEE" w:rsidRDefault="00E6535D" w:rsidP="002C70F9">
            <w:pPr>
              <w:spacing w:after="0"/>
              <w:jc w:val="left"/>
            </w:pPr>
            <w:r w:rsidRPr="00713EEE">
              <w:t>Adjunct Professor</w:t>
            </w:r>
            <w:r>
              <w:t xml:space="preserve"> — </w:t>
            </w:r>
            <w:r w:rsidRPr="00713EEE">
              <w:t>Australian</w:t>
            </w:r>
            <w:r>
              <w:t xml:space="preserve"> </w:t>
            </w:r>
            <w:r w:rsidRPr="00713EEE">
              <w:t>Graduate School of Policy and Security at Charles</w:t>
            </w:r>
            <w:r>
              <w:t> </w:t>
            </w:r>
            <w:r w:rsidRPr="00713EEE">
              <w:t>Sturt</w:t>
            </w:r>
            <w:r>
              <w:t> </w:t>
            </w:r>
            <w:r w:rsidRPr="00713EEE">
              <w:t>University</w:t>
            </w:r>
            <w:r>
              <w:br/>
            </w:r>
            <w:r w:rsidRPr="00713EEE">
              <w:t>Chair</w:t>
            </w:r>
            <w:r>
              <w:t xml:space="preserve"> — </w:t>
            </w:r>
            <w:r w:rsidRPr="00713EEE">
              <w:t>Cyber</w:t>
            </w:r>
            <w:r>
              <w:t xml:space="preserve"> </w:t>
            </w:r>
            <w:r w:rsidRPr="00713EEE">
              <w:t xml:space="preserve">Security </w:t>
            </w:r>
            <w:r>
              <w:t xml:space="preserve">Cooperative </w:t>
            </w:r>
            <w:r w:rsidRPr="00713EEE">
              <w:t>Research C</w:t>
            </w:r>
            <w:r>
              <w:t>entre</w:t>
            </w:r>
          </w:p>
        </w:tc>
      </w:tr>
    </w:tbl>
    <w:p w14:paraId="2E725D73" w14:textId="77777777" w:rsidR="00E6535D" w:rsidRPr="00C34098" w:rsidRDefault="00E6535D" w:rsidP="00E6535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Caption w:val="Mr David Peever Bio"/>
        <w:tblDescription w:val="Mr David Peever&#10;Non executive member&#10;Member since 1 February 2016&#10;Mr Peever retired as Managing Director of Rio Tinto Australia in 2014, after 27 years with the company.&#10;He is a former Vice Chairman of the Minerals Council of Australia and Director of the Business Council of Australia. He was a member of the Prime Minister’s Indigenous Advisory Council and chaired the Minister of Defence’s First Principles Review of the Defence Department as well as the subsequent Implementation Oversight Committee. He is a former Director of Melbourne Business School and was the founding Director of the Stars Foundation which enables education and opportunity for indigenous girls. He is also the former Chairman of Cricket Australia.&#10;Other roles&#10;Chairman – Brisbane Airport Corporation Group of Companies &#10;Chair – First Principles Review Oversight Board&#10;Director – Australian Foundation Financial Investment Company&#10;Director – Naval Group Australia&#10;"/>
      </w:tblPr>
      <w:tblGrid>
        <w:gridCol w:w="7710"/>
      </w:tblGrid>
      <w:tr w:rsidR="00E6535D" w:rsidRPr="005106BA" w14:paraId="630F342D" w14:textId="77777777" w:rsidTr="002C70F9">
        <w:trPr>
          <w:trHeight w:val="1192"/>
          <w:tblHeader/>
        </w:trPr>
        <w:tc>
          <w:tcPr>
            <w:tcW w:w="7710" w:type="dxa"/>
          </w:tcPr>
          <w:p w14:paraId="7477CFB4" w14:textId="77777777" w:rsidR="00E6535D" w:rsidRPr="00241E7E" w:rsidRDefault="00E6535D" w:rsidP="002C70F9">
            <w:pPr>
              <w:spacing w:after="200"/>
              <w:rPr>
                <w:rFonts w:ascii="Calibri" w:hAnsi="Calibri"/>
                <w:b/>
                <w:sz w:val="24"/>
              </w:rPr>
            </w:pPr>
            <w:r w:rsidRPr="009421E6">
              <w:rPr>
                <w:b/>
                <w:noProof/>
                <w:sz w:val="24"/>
                <w:szCs w:val="24"/>
              </w:rPr>
              <w:drawing>
                <wp:anchor distT="0" distB="0" distL="180340" distR="180340" simplePos="0" relativeHeight="251675648" behindDoc="1" locked="0" layoutInCell="1" allowOverlap="1" wp14:anchorId="757F9354" wp14:editId="3A43E3F1">
                  <wp:simplePos x="0" y="0"/>
                  <wp:positionH relativeFrom="margin">
                    <wp:posOffset>3162300</wp:posOffset>
                  </wp:positionH>
                  <wp:positionV relativeFrom="margin">
                    <wp:posOffset>0</wp:posOffset>
                  </wp:positionV>
                  <wp:extent cx="1591200" cy="2160000"/>
                  <wp:effectExtent l="0" t="0" r="9525" b="0"/>
                  <wp:wrapSquare wrapText="bothSides"/>
                  <wp:docPr id="12" name="Picture 12" descr="Photo of Mr David Peever" title="Photo Mr David Pe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David Peever"/>
                          <pic:cNvPicPr>
                            <a:picLocks noChangeArrowheads="1"/>
                          </pic:cNvPicPr>
                        </pic:nvPicPr>
                        <pic:blipFill rotWithShape="1">
                          <a:blip r:embed="rId43" cstate="print">
                            <a:extLst>
                              <a:ext uri="{28A0092B-C50C-407E-A947-70E740481C1C}">
                                <a14:useLocalDpi xmlns:a14="http://schemas.microsoft.com/office/drawing/2010/main" val="0"/>
                              </a:ext>
                            </a:extLst>
                          </a:blip>
                          <a:srcRect l="10573" r="18122"/>
                          <a:stretch/>
                        </pic:blipFill>
                        <pic:spPr bwMode="auto">
                          <a:xfrm>
                            <a:off x="0" y="0"/>
                            <a:ext cx="15912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3E1">
              <w:rPr>
                <w:rFonts w:ascii="Calibri" w:hAnsi="Calibri"/>
                <w:b/>
                <w:sz w:val="24"/>
              </w:rPr>
              <w:t xml:space="preserve">Mr David </w:t>
            </w:r>
            <w:proofErr w:type="spellStart"/>
            <w:r w:rsidRPr="001933E1">
              <w:rPr>
                <w:rFonts w:ascii="Calibri" w:hAnsi="Calibri"/>
                <w:b/>
                <w:sz w:val="24"/>
              </w:rPr>
              <w:t>Peever</w:t>
            </w:r>
            <w:proofErr w:type="spellEnd"/>
          </w:p>
          <w:p w14:paraId="33681ECF" w14:textId="0B6754B9" w:rsidR="00E6535D" w:rsidRPr="00645B20" w:rsidRDefault="00E6535D" w:rsidP="002C70F9">
            <w:pPr>
              <w:keepNext/>
              <w:keepLines/>
              <w:spacing w:before="200" w:after="12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Non</w:t>
            </w:r>
            <w:r w:rsidR="00BD4D19">
              <w:rPr>
                <w:rFonts w:ascii="Calibri" w:eastAsiaTheme="majorEastAsia" w:hAnsi="Calibri" w:cstheme="majorBidi"/>
                <w:b/>
                <w:bCs/>
                <w:i/>
                <w:iCs/>
                <w:color w:val="477B59" w:themeColor="accent1"/>
              </w:rPr>
              <w:noBreakHyphen/>
            </w:r>
            <w:r w:rsidRPr="00645B20">
              <w:rPr>
                <w:rFonts w:ascii="Calibri" w:eastAsiaTheme="majorEastAsia" w:hAnsi="Calibri" w:cstheme="majorBidi"/>
                <w:b/>
                <w:bCs/>
                <w:i/>
                <w:iCs/>
                <w:color w:val="477B59" w:themeColor="accent1"/>
              </w:rPr>
              <w:t>executive member</w:t>
            </w:r>
          </w:p>
          <w:p w14:paraId="3C72ACC3" w14:textId="77777777" w:rsidR="00E6535D" w:rsidRPr="0050152D" w:rsidRDefault="00E6535D" w:rsidP="002C70F9">
            <w:pPr>
              <w:pStyle w:val="ChartGraphic"/>
              <w:spacing w:after="160"/>
              <w:jc w:val="left"/>
              <w:rPr>
                <w:color w:val="000000"/>
              </w:rPr>
            </w:pPr>
            <w:r w:rsidRPr="0050152D">
              <w:rPr>
                <w:rFonts w:asciiTheme="minorHAnsi" w:hAnsiTheme="minorHAnsi"/>
                <w:color w:val="000000"/>
              </w:rPr>
              <w:t>Me</w:t>
            </w:r>
            <w:r w:rsidRPr="0050152D">
              <w:rPr>
                <w:color w:val="000000"/>
              </w:rPr>
              <w:t>mber since 1 February 2016</w:t>
            </w:r>
          </w:p>
          <w:p w14:paraId="165A8C36" w14:textId="77777777" w:rsidR="00E6535D" w:rsidRPr="0050152D" w:rsidRDefault="00E6535D" w:rsidP="002C70F9">
            <w:pPr>
              <w:keepNext/>
              <w:keepLines/>
              <w:spacing w:after="160" w:line="240" w:lineRule="auto"/>
              <w:rPr>
                <w:rFonts w:ascii="Calibri" w:hAnsi="Calibri"/>
              </w:rPr>
            </w:pPr>
            <w:r w:rsidRPr="0050152D">
              <w:rPr>
                <w:rFonts w:ascii="Calibri" w:hAnsi="Calibri"/>
              </w:rPr>
              <w:t>Mr </w:t>
            </w:r>
            <w:proofErr w:type="spellStart"/>
            <w:r w:rsidRPr="0050152D">
              <w:rPr>
                <w:rFonts w:ascii="Calibri" w:hAnsi="Calibri"/>
              </w:rPr>
              <w:t>Peever</w:t>
            </w:r>
            <w:proofErr w:type="spellEnd"/>
            <w:r w:rsidRPr="0050152D">
              <w:rPr>
                <w:rFonts w:ascii="Calibri" w:hAnsi="Calibri"/>
              </w:rPr>
              <w:t xml:space="preserve"> retired as Managing Director of Rio Tinto Australia in 2014, after 27 years with the company.</w:t>
            </w:r>
          </w:p>
          <w:p w14:paraId="2AC19F27" w14:textId="56AC17EC" w:rsidR="00E6535D" w:rsidRDefault="00E6535D" w:rsidP="002C70F9">
            <w:pPr>
              <w:pStyle w:val="ChartGraphic"/>
              <w:spacing w:after="160"/>
              <w:jc w:val="both"/>
              <w:rPr>
                <w:color w:val="000000"/>
              </w:rPr>
            </w:pPr>
            <w:r w:rsidRPr="0050152D">
              <w:rPr>
                <w:color w:val="000000"/>
              </w:rPr>
              <w:t>He is a former Vice Chairman of the Minerals Council of Australia and Director of the Business Council of Australia. He was a member of the Prime Minister</w:t>
            </w:r>
            <w:r w:rsidR="00BD4D19">
              <w:rPr>
                <w:color w:val="000000"/>
              </w:rPr>
              <w:t>’</w:t>
            </w:r>
            <w:r w:rsidRPr="0050152D">
              <w:rPr>
                <w:color w:val="000000"/>
              </w:rPr>
              <w:t>s Indigenous Advisory Council and chaired the Minister of Defence</w:t>
            </w:r>
            <w:r w:rsidR="00BD4D19">
              <w:rPr>
                <w:color w:val="000000"/>
              </w:rPr>
              <w:t>’</w:t>
            </w:r>
            <w:r w:rsidRPr="0050152D">
              <w:rPr>
                <w:color w:val="000000"/>
              </w:rPr>
              <w:t>s First Principles Review of the Defence Department as well as the subsequent Implementation Oversight Committee.</w:t>
            </w:r>
          </w:p>
          <w:p w14:paraId="61036319" w14:textId="77777777" w:rsidR="00E6535D" w:rsidRDefault="00E6535D" w:rsidP="002C70F9">
            <w:pPr>
              <w:keepNext/>
              <w:keepLines/>
              <w:spacing w:before="120" w:after="0" w:line="240" w:lineRule="auto"/>
              <w:outlineLvl w:val="3"/>
            </w:pPr>
            <w:r w:rsidRPr="00713EEE">
              <w:t xml:space="preserve">He is a former Director of Melbourne Business School and was the founding Director of the Stars Foundation which enables education and opportunity for </w:t>
            </w:r>
            <w:r>
              <w:t>i</w:t>
            </w:r>
            <w:r w:rsidRPr="00713EEE">
              <w:t>ndigenous girls. He is also the former Chairman of Cricket Australia.</w:t>
            </w:r>
          </w:p>
          <w:p w14:paraId="59FD9E4E" w14:textId="77777777" w:rsidR="00E6535D" w:rsidRPr="00645B20" w:rsidRDefault="00E6535D" w:rsidP="002C70F9">
            <w:pPr>
              <w:keepNext/>
              <w:keepLines/>
              <w:spacing w:before="120" w:after="12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Other roles</w:t>
            </w:r>
          </w:p>
          <w:p w14:paraId="71AF0993" w14:textId="77777777" w:rsidR="00E6535D" w:rsidRPr="00C34098" w:rsidRDefault="00E6535D" w:rsidP="002C70F9">
            <w:pPr>
              <w:keepLines/>
              <w:spacing w:after="0" w:line="240" w:lineRule="auto"/>
              <w:jc w:val="left"/>
            </w:pPr>
            <w:r w:rsidRPr="00713EEE">
              <w:t>Chairman</w:t>
            </w:r>
            <w:r>
              <w:t xml:space="preserve"> — </w:t>
            </w:r>
            <w:r w:rsidRPr="00713EEE">
              <w:t>Brisbane</w:t>
            </w:r>
            <w:r>
              <w:t xml:space="preserve"> </w:t>
            </w:r>
            <w:r w:rsidRPr="00713EEE">
              <w:t xml:space="preserve">Airport Corporation Group of Companies </w:t>
            </w:r>
            <w:r>
              <w:br/>
              <w:t xml:space="preserve">Chairman — </w:t>
            </w:r>
            <w:r w:rsidRPr="00713EEE">
              <w:t>Naval Group Australia</w:t>
            </w:r>
            <w:r>
              <w:br/>
            </w:r>
            <w:r w:rsidRPr="00713EEE">
              <w:t>Director</w:t>
            </w:r>
            <w:r>
              <w:t xml:space="preserve"> — </w:t>
            </w:r>
            <w:r w:rsidRPr="00713EEE">
              <w:t>Australian Foundati</w:t>
            </w:r>
            <w:r>
              <w:t>on Financial Investment Company</w:t>
            </w:r>
          </w:p>
        </w:tc>
      </w:tr>
    </w:tbl>
    <w:p w14:paraId="59519237" w14:textId="77777777" w:rsidR="00E6535D" w:rsidRPr="00C34098" w:rsidRDefault="00E6535D" w:rsidP="00E6535D">
      <w:r w:rsidRPr="00C34098">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Caption w:val="The Hon Cheryl Edwards AM Bio"/>
        <w:tblDescription w:val="The Hon Cheryl Edwardes AM&#10;Non executive member&#10;Member since 14 August 2017&#10;Mrs Edwardes brings extensive legal and regulatory experience to the Board. Mrs Edwardes, a solicitor by profession, is a former Minister in the Court Government and was the member for Kingsley for 17 years.&#10;In 1993, she became the first woman to be appointed Attorney General in Western Australia. Mrs Edwardes was awarded an Order of Australia in the Queen’s Birthday Honours 2016 for significant service to the people and Parliament of Western Australia, to the law and to the environment and through executive roles with business, education and community organisations.&#10;Other roles&#10;Commissioner – West Australian Football Commission&#10;Director – VIMY Resources&#10;Director – Flinders Resources&#10;Director – Auscann&#10;"/>
      </w:tblPr>
      <w:tblGrid>
        <w:gridCol w:w="7710"/>
      </w:tblGrid>
      <w:tr w:rsidR="00E6535D" w:rsidRPr="005106BA" w14:paraId="5272472C" w14:textId="77777777" w:rsidTr="002C70F9">
        <w:tc>
          <w:tcPr>
            <w:tcW w:w="7710" w:type="dxa"/>
          </w:tcPr>
          <w:p w14:paraId="29632917" w14:textId="77777777" w:rsidR="00E6535D" w:rsidRPr="00241E7E" w:rsidRDefault="00E6535D" w:rsidP="002C70F9">
            <w:pPr>
              <w:spacing w:after="200"/>
              <w:rPr>
                <w:rFonts w:ascii="Calibri" w:hAnsi="Calibri"/>
                <w:b/>
                <w:sz w:val="24"/>
              </w:rPr>
            </w:pPr>
            <w:r w:rsidRPr="009421E6">
              <w:rPr>
                <w:b/>
                <w:noProof/>
                <w:sz w:val="24"/>
                <w:szCs w:val="24"/>
              </w:rPr>
              <w:drawing>
                <wp:anchor distT="0" distB="0" distL="180340" distR="180340" simplePos="0" relativeHeight="251676672" behindDoc="1" locked="0" layoutInCell="1" allowOverlap="1" wp14:anchorId="598C7A14" wp14:editId="7D342FD2">
                  <wp:simplePos x="0" y="0"/>
                  <wp:positionH relativeFrom="margin">
                    <wp:posOffset>3162300</wp:posOffset>
                  </wp:positionH>
                  <wp:positionV relativeFrom="margin">
                    <wp:posOffset>0</wp:posOffset>
                  </wp:positionV>
                  <wp:extent cx="1591200" cy="2160000"/>
                  <wp:effectExtent l="0" t="0" r="9525" b="0"/>
                  <wp:wrapSquare wrapText="bothSides"/>
                  <wp:docPr id="22" name="Picture 22" descr="Photo of The Hon Cheryl Edwards AM" title="Photo The Hon Cheryl Edwards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b\DavWWWRoot\sites\mg\fitpd\Lfirbannualrport\2016-17\Report design\Cheryl Edwardes photo.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38" t="3311" r="-1" b="11631"/>
                          <a:stretch/>
                        </pic:blipFill>
                        <pic:spPr bwMode="auto">
                          <a:xfrm>
                            <a:off x="0" y="0"/>
                            <a:ext cx="15912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b/>
                <w:sz w:val="24"/>
              </w:rPr>
              <w:t xml:space="preserve">The </w:t>
            </w:r>
            <w:r w:rsidRPr="009421E6">
              <w:rPr>
                <w:b/>
                <w:sz w:val="24"/>
                <w:szCs w:val="24"/>
              </w:rPr>
              <w:t>Hon Cheryl Edwardes AM</w:t>
            </w:r>
          </w:p>
          <w:p w14:paraId="5C2C1A6A" w14:textId="6298B485" w:rsidR="00E6535D" w:rsidRPr="00645B20" w:rsidRDefault="00E6535D" w:rsidP="002C70F9">
            <w:pPr>
              <w:keepNext/>
              <w:keepLines/>
              <w:spacing w:before="200" w:after="12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Non</w:t>
            </w:r>
            <w:r w:rsidR="00BD4D19">
              <w:rPr>
                <w:rFonts w:ascii="Calibri" w:eastAsiaTheme="majorEastAsia" w:hAnsi="Calibri" w:cstheme="majorBidi"/>
                <w:b/>
                <w:bCs/>
                <w:i/>
                <w:iCs/>
                <w:color w:val="477B59" w:themeColor="accent1"/>
              </w:rPr>
              <w:noBreakHyphen/>
            </w:r>
            <w:r w:rsidRPr="00645B20">
              <w:rPr>
                <w:rFonts w:ascii="Calibri" w:eastAsiaTheme="majorEastAsia" w:hAnsi="Calibri" w:cstheme="majorBidi"/>
                <w:b/>
                <w:bCs/>
                <w:i/>
                <w:iCs/>
                <w:color w:val="477B59" w:themeColor="accent1"/>
              </w:rPr>
              <w:t>executive member</w:t>
            </w:r>
          </w:p>
          <w:p w14:paraId="22FE4427" w14:textId="77777777" w:rsidR="00E6535D" w:rsidRDefault="00E6535D" w:rsidP="002C70F9">
            <w:pPr>
              <w:spacing w:after="160"/>
            </w:pPr>
            <w:r>
              <w:t>Member since 14 August 2017</w:t>
            </w:r>
          </w:p>
          <w:p w14:paraId="0F895860" w14:textId="77777777" w:rsidR="00E6535D" w:rsidRDefault="00E6535D" w:rsidP="002C70F9">
            <w:pPr>
              <w:spacing w:after="160" w:line="240" w:lineRule="auto"/>
            </w:pPr>
            <w:r w:rsidRPr="009421E6">
              <w:t>Mrs</w:t>
            </w:r>
            <w:r>
              <w:t> </w:t>
            </w:r>
            <w:r w:rsidRPr="009421E6">
              <w:t>Edwardes brings extensive legal and regulatory experience to the Board. Mrs</w:t>
            </w:r>
            <w:r>
              <w:t> </w:t>
            </w:r>
            <w:r w:rsidRPr="009421E6">
              <w:t>Edwardes, a solicitor by profession, is a former Minister in the Court Government and was the member for Kingsley for 17</w:t>
            </w:r>
            <w:r>
              <w:t> </w:t>
            </w:r>
            <w:r w:rsidRPr="009421E6">
              <w:t>years</w:t>
            </w:r>
            <w:r>
              <w:t>.</w:t>
            </w:r>
          </w:p>
          <w:p w14:paraId="231003F0" w14:textId="6A005F82" w:rsidR="00E6535D" w:rsidRDefault="00E6535D" w:rsidP="002C70F9">
            <w:pPr>
              <w:spacing w:after="160"/>
            </w:pPr>
            <w:r w:rsidRPr="009421E6">
              <w:t>In 1993, she became the first woman to be appointed Attorney</w:t>
            </w:r>
            <w:r w:rsidR="00BD4D19">
              <w:noBreakHyphen/>
            </w:r>
            <w:r w:rsidRPr="009421E6">
              <w:t>General in Western Australia. Mrs</w:t>
            </w:r>
            <w:r>
              <w:t> </w:t>
            </w:r>
            <w:r w:rsidRPr="009421E6">
              <w:t>Edwardes was awarded</w:t>
            </w:r>
            <w:r w:rsidRPr="00AA273A">
              <w:rPr>
                <w:sz w:val="18"/>
                <w:szCs w:val="18"/>
              </w:rPr>
              <w:t xml:space="preserve"> </w:t>
            </w:r>
            <w:r w:rsidRPr="009421E6">
              <w:t>an</w:t>
            </w:r>
            <w:r w:rsidRPr="00AA273A">
              <w:rPr>
                <w:sz w:val="18"/>
                <w:szCs w:val="18"/>
              </w:rPr>
              <w:t xml:space="preserve"> </w:t>
            </w:r>
            <w:r w:rsidRPr="009421E6">
              <w:t>Order</w:t>
            </w:r>
            <w:r w:rsidRPr="00AA273A">
              <w:rPr>
                <w:sz w:val="18"/>
                <w:szCs w:val="18"/>
              </w:rPr>
              <w:t xml:space="preserve"> </w:t>
            </w:r>
            <w:r w:rsidRPr="009421E6">
              <w:t>of</w:t>
            </w:r>
            <w:r w:rsidRPr="00AA273A">
              <w:rPr>
                <w:sz w:val="18"/>
                <w:szCs w:val="18"/>
              </w:rPr>
              <w:t xml:space="preserve"> </w:t>
            </w:r>
            <w:r w:rsidRPr="009421E6">
              <w:t>Australia</w:t>
            </w:r>
            <w:r w:rsidRPr="00AA273A">
              <w:rPr>
                <w:sz w:val="18"/>
                <w:szCs w:val="18"/>
              </w:rPr>
              <w:t xml:space="preserve"> </w:t>
            </w:r>
            <w:r w:rsidRPr="009421E6">
              <w:t>in</w:t>
            </w:r>
            <w:r w:rsidRPr="00AA273A">
              <w:rPr>
                <w:sz w:val="18"/>
                <w:szCs w:val="18"/>
              </w:rPr>
              <w:t xml:space="preserve"> </w:t>
            </w:r>
            <w:r>
              <w:t>the</w:t>
            </w:r>
            <w:r w:rsidRPr="00AA273A">
              <w:rPr>
                <w:sz w:val="18"/>
                <w:szCs w:val="18"/>
              </w:rPr>
              <w:t xml:space="preserve"> </w:t>
            </w:r>
            <w:r>
              <w:t>Queen</w:t>
            </w:r>
            <w:r w:rsidR="00BD4D19">
              <w:t>’</w:t>
            </w:r>
            <w:r>
              <w:t>s</w:t>
            </w:r>
            <w:r w:rsidRPr="00AA273A">
              <w:rPr>
                <w:sz w:val="18"/>
                <w:szCs w:val="18"/>
              </w:rPr>
              <w:t xml:space="preserve"> </w:t>
            </w:r>
            <w:r>
              <w:t>Birthday</w:t>
            </w:r>
            <w:r w:rsidRPr="00AA273A">
              <w:rPr>
                <w:sz w:val="18"/>
                <w:szCs w:val="18"/>
              </w:rPr>
              <w:t xml:space="preserve"> </w:t>
            </w:r>
            <w:r>
              <w:t>Honour</w:t>
            </w:r>
            <w:r w:rsidRPr="009421E6">
              <w:t xml:space="preserve"> 2016</w:t>
            </w:r>
            <w:r>
              <w:t xml:space="preserve"> </w:t>
            </w:r>
            <w:r w:rsidRPr="009421E6">
              <w:t>for significant service to the people and Parliament of Western Australia, to the law and to the environment and through executive roles with business, educati</w:t>
            </w:r>
            <w:r>
              <w:t>on and community organisations.</w:t>
            </w:r>
          </w:p>
          <w:p w14:paraId="3873D658" w14:textId="77777777" w:rsidR="00E6535D" w:rsidRPr="00645B20" w:rsidRDefault="00E6535D" w:rsidP="002C70F9">
            <w:pPr>
              <w:keepNext/>
              <w:keepLines/>
              <w:spacing w:after="16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Other roles</w:t>
            </w:r>
          </w:p>
          <w:p w14:paraId="4EF2C4BC" w14:textId="77777777" w:rsidR="00E6535D" w:rsidRPr="00645B20" w:rsidRDefault="00E6535D" w:rsidP="002C70F9">
            <w:pPr>
              <w:spacing w:after="0"/>
              <w:jc w:val="left"/>
              <w:rPr>
                <w:rFonts w:eastAsiaTheme="majorEastAsia"/>
              </w:rPr>
            </w:pPr>
            <w:r w:rsidRPr="009421E6">
              <w:t>Commissioner</w:t>
            </w:r>
            <w:r>
              <w:t xml:space="preserve"> — </w:t>
            </w:r>
            <w:r w:rsidRPr="009421E6">
              <w:t>West Australian Football Commission</w:t>
            </w:r>
            <w:r>
              <w:br/>
            </w:r>
            <w:r w:rsidRPr="009421E6">
              <w:t>Director</w:t>
            </w:r>
            <w:r>
              <w:t xml:space="preserve"> — </w:t>
            </w:r>
            <w:r w:rsidRPr="009421E6">
              <w:t>VIMY</w:t>
            </w:r>
            <w:r>
              <w:t xml:space="preserve"> </w:t>
            </w:r>
            <w:r w:rsidRPr="009421E6">
              <w:t>Resources</w:t>
            </w:r>
            <w:r>
              <w:br/>
            </w:r>
            <w:r w:rsidRPr="009421E6">
              <w:t>Director</w:t>
            </w:r>
            <w:r>
              <w:t xml:space="preserve"> — </w:t>
            </w:r>
            <w:r w:rsidRPr="009421E6">
              <w:t>Flinders</w:t>
            </w:r>
            <w:r>
              <w:t xml:space="preserve"> </w:t>
            </w:r>
            <w:r w:rsidRPr="009421E6">
              <w:t>Resources</w:t>
            </w:r>
            <w:r>
              <w:br/>
            </w:r>
            <w:r w:rsidRPr="009421E6">
              <w:t>Director</w:t>
            </w:r>
            <w:r>
              <w:t xml:space="preserve"> — </w:t>
            </w:r>
            <w:proofErr w:type="spellStart"/>
            <w:r>
              <w:t>NuHeara</w:t>
            </w:r>
            <w:proofErr w:type="spellEnd"/>
            <w:r>
              <w:t xml:space="preserve"> Limited</w:t>
            </w:r>
          </w:p>
        </w:tc>
      </w:tr>
    </w:tbl>
    <w:p w14:paraId="05214BE3" w14:textId="77777777" w:rsidR="00E6535D" w:rsidRPr="00200166" w:rsidRDefault="00E6535D" w:rsidP="00E6535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Caption w:val="Ms Teresa Dyson"/>
        <w:tblDescription w:val="Ms Teresa Dyson&#10;Non executive member&#10;Member since 2 January 2018&#10;Ms Dyson is a non executive director, serving on a range of listed, public and not for profit boards. Ms Dyson has over 25 years of experience as a senior tax adviser, including as a partner at Ashurst and Deloitte, advising on infrastructure, financing, corporate tax issues, mergers and acquisitions activities, the not-for-profit sector, and tax controversy.&#10;She brings corporate and governance experience from a range of sectors. Ms Dyson is a former member and chair of the Board of Taxation.&#10;Other roles&#10;Director – Energy Qld Ltd&#10;Director – Energy Super &#10;Director – Genex Power Ltd&#10;Director – Seven West Media Ltd "/>
      </w:tblPr>
      <w:tblGrid>
        <w:gridCol w:w="7710"/>
      </w:tblGrid>
      <w:tr w:rsidR="00E6535D" w:rsidRPr="005106BA" w14:paraId="2E8A5D76" w14:textId="77777777" w:rsidTr="002C70F9">
        <w:tc>
          <w:tcPr>
            <w:tcW w:w="7710" w:type="dxa"/>
          </w:tcPr>
          <w:p w14:paraId="69690254" w14:textId="77777777" w:rsidR="00E6535D" w:rsidRPr="00241E7E" w:rsidRDefault="00E6535D" w:rsidP="002C70F9">
            <w:pPr>
              <w:spacing w:after="200"/>
              <w:rPr>
                <w:rFonts w:ascii="Calibri" w:hAnsi="Calibri"/>
                <w:b/>
                <w:sz w:val="24"/>
              </w:rPr>
            </w:pPr>
            <w:r w:rsidRPr="009421E6">
              <w:rPr>
                <w:b/>
                <w:noProof/>
                <w:sz w:val="24"/>
                <w:szCs w:val="24"/>
              </w:rPr>
              <w:drawing>
                <wp:anchor distT="0" distB="0" distL="180340" distR="180340" simplePos="0" relativeHeight="251677696" behindDoc="1" locked="0" layoutInCell="1" allowOverlap="1" wp14:anchorId="561B9455" wp14:editId="7B166342">
                  <wp:simplePos x="0" y="0"/>
                  <wp:positionH relativeFrom="margin">
                    <wp:posOffset>3157855</wp:posOffset>
                  </wp:positionH>
                  <wp:positionV relativeFrom="margin">
                    <wp:posOffset>0</wp:posOffset>
                  </wp:positionV>
                  <wp:extent cx="1591200" cy="2160000"/>
                  <wp:effectExtent l="0" t="0" r="9525" b="0"/>
                  <wp:wrapSquare wrapText="bothSides"/>
                  <wp:docPr id="24" name="Picture 24" descr="Photo of Ms Teresa Dyson" title="Photo Ms Teresa D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resa Dyson"/>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0075" r="39816" b="27536"/>
                          <a:stretch/>
                        </pic:blipFill>
                        <pic:spPr bwMode="auto">
                          <a:xfrm>
                            <a:off x="0" y="0"/>
                            <a:ext cx="15912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b/>
                <w:sz w:val="24"/>
              </w:rPr>
              <w:t xml:space="preserve">Ms </w:t>
            </w:r>
            <w:r w:rsidRPr="009421E6">
              <w:rPr>
                <w:b/>
                <w:sz w:val="24"/>
                <w:szCs w:val="24"/>
              </w:rPr>
              <w:t>Teresa Dyson</w:t>
            </w:r>
          </w:p>
          <w:p w14:paraId="7C8B3990" w14:textId="69A7E226" w:rsidR="00E6535D" w:rsidRPr="00645B20" w:rsidRDefault="00E6535D" w:rsidP="002C70F9">
            <w:pPr>
              <w:keepNext/>
              <w:keepLines/>
              <w:spacing w:before="200" w:after="12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Non</w:t>
            </w:r>
            <w:r w:rsidR="00BD4D19">
              <w:rPr>
                <w:rFonts w:ascii="Calibri" w:eastAsiaTheme="majorEastAsia" w:hAnsi="Calibri" w:cstheme="majorBidi"/>
                <w:b/>
                <w:bCs/>
                <w:i/>
                <w:iCs/>
                <w:color w:val="477B59" w:themeColor="accent1"/>
              </w:rPr>
              <w:noBreakHyphen/>
            </w:r>
            <w:r w:rsidRPr="00645B20">
              <w:rPr>
                <w:rFonts w:ascii="Calibri" w:eastAsiaTheme="majorEastAsia" w:hAnsi="Calibri" w:cstheme="majorBidi"/>
                <w:b/>
                <w:bCs/>
                <w:i/>
                <w:iCs/>
                <w:color w:val="477B59" w:themeColor="accent1"/>
              </w:rPr>
              <w:t>executive member</w:t>
            </w:r>
          </w:p>
          <w:p w14:paraId="042C3C7B" w14:textId="77777777" w:rsidR="00E6535D" w:rsidRDefault="00E6535D" w:rsidP="002C70F9">
            <w:pPr>
              <w:spacing w:after="160"/>
            </w:pPr>
            <w:r>
              <w:t>Member since 2 January 2018</w:t>
            </w:r>
          </w:p>
          <w:p w14:paraId="3018F534" w14:textId="0B80E466" w:rsidR="00E6535D" w:rsidRPr="009421E6" w:rsidRDefault="00E6535D" w:rsidP="002C70F9">
            <w:pPr>
              <w:keepNext/>
              <w:keepLines/>
              <w:spacing w:after="160" w:line="240" w:lineRule="auto"/>
            </w:pPr>
            <w:r w:rsidRPr="009421E6">
              <w:t>Ms</w:t>
            </w:r>
            <w:r>
              <w:t> </w:t>
            </w:r>
            <w:r w:rsidRPr="009421E6">
              <w:t>Dyson is a non</w:t>
            </w:r>
            <w:r w:rsidR="00BD4D19">
              <w:noBreakHyphen/>
            </w:r>
            <w:r w:rsidRPr="009421E6">
              <w:t>executive director, serving on a range of listed, public and not</w:t>
            </w:r>
            <w:r w:rsidR="00BD4D19">
              <w:noBreakHyphen/>
            </w:r>
            <w:r w:rsidRPr="009421E6">
              <w:t>for</w:t>
            </w:r>
            <w:r w:rsidR="00BD4D19">
              <w:noBreakHyphen/>
            </w:r>
            <w:r w:rsidRPr="009421E6">
              <w:t>profit boards. Ms</w:t>
            </w:r>
            <w:r>
              <w:t> </w:t>
            </w:r>
            <w:r w:rsidRPr="009421E6">
              <w:t>Dyson has over 25</w:t>
            </w:r>
            <w:r>
              <w:t> </w:t>
            </w:r>
            <w:r w:rsidRPr="009421E6">
              <w:t>years of experience as a senior tax adviser, including as a partner at Ashurst and Deloitte, advising on infrastructure, financing, corporate tax issues, mergers and acquisitions activities, the not</w:t>
            </w:r>
            <w:r w:rsidR="00BD4D19">
              <w:noBreakHyphen/>
            </w:r>
            <w:r w:rsidRPr="009421E6">
              <w:t>for</w:t>
            </w:r>
            <w:r w:rsidR="00BD4D19">
              <w:noBreakHyphen/>
            </w:r>
            <w:r w:rsidRPr="009421E6">
              <w:t>profit sector, and tax controversy</w:t>
            </w:r>
            <w:r>
              <w:t>.</w:t>
            </w:r>
            <w:r w:rsidRPr="009421E6">
              <w:t xml:space="preserve"> She brings corporate and governance experience from a range of sectors. Ms</w:t>
            </w:r>
            <w:r>
              <w:t> </w:t>
            </w:r>
            <w:r w:rsidRPr="009421E6">
              <w:t>Dyson is a former member and chair of the Board of Taxation.</w:t>
            </w:r>
          </w:p>
          <w:p w14:paraId="4883A069" w14:textId="77777777" w:rsidR="00E6535D" w:rsidRPr="00645B20" w:rsidRDefault="00E6535D" w:rsidP="002C70F9">
            <w:pPr>
              <w:keepNext/>
              <w:keepLines/>
              <w:spacing w:after="16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Other roles</w:t>
            </w:r>
          </w:p>
          <w:p w14:paraId="7CADB1C9" w14:textId="77777777" w:rsidR="00E6535D" w:rsidRPr="009421E6" w:rsidRDefault="00E6535D" w:rsidP="002C70F9">
            <w:pPr>
              <w:spacing w:after="0"/>
              <w:jc w:val="left"/>
            </w:pPr>
            <w:r w:rsidRPr="00DC1AFC">
              <w:t>Director</w:t>
            </w:r>
            <w:r>
              <w:t xml:space="preserve"> — </w:t>
            </w:r>
            <w:r w:rsidRPr="00DC1AFC">
              <w:t>Energy Qld Ltd</w:t>
            </w:r>
            <w:r>
              <w:br/>
            </w:r>
            <w:r w:rsidRPr="00DC1AFC">
              <w:t>Director</w:t>
            </w:r>
            <w:r>
              <w:t xml:space="preserve"> — </w:t>
            </w:r>
            <w:r w:rsidRPr="00DC1AFC">
              <w:t xml:space="preserve">Energy Super </w:t>
            </w:r>
            <w:r>
              <w:br/>
            </w:r>
            <w:r w:rsidRPr="00DC1AFC">
              <w:t>Director</w:t>
            </w:r>
            <w:r>
              <w:t xml:space="preserve"> — </w:t>
            </w:r>
            <w:proofErr w:type="spellStart"/>
            <w:r w:rsidRPr="00DC1AFC">
              <w:t>Genex</w:t>
            </w:r>
            <w:proofErr w:type="spellEnd"/>
            <w:r w:rsidRPr="00DC1AFC">
              <w:t xml:space="preserve"> Power Ltd</w:t>
            </w:r>
            <w:r>
              <w:br/>
            </w:r>
            <w:r w:rsidRPr="00DC1AFC">
              <w:t>Director</w:t>
            </w:r>
            <w:r>
              <w:t xml:space="preserve"> — Seven West Media Ltd</w:t>
            </w:r>
          </w:p>
        </w:tc>
      </w:tr>
    </w:tbl>
    <w:p w14:paraId="0D305202" w14:textId="77777777" w:rsidR="00E6535D" w:rsidRDefault="00E6535D" w:rsidP="00E6535D">
      <w:pPr>
        <w:pStyle w:val="SingleParagraph"/>
      </w:pPr>
    </w:p>
    <w:p w14:paraId="11C6DDE9" w14:textId="77777777" w:rsidR="00E6535D" w:rsidRDefault="00E6535D" w:rsidP="00E6535D">
      <w:pPr>
        <w:pStyle w:val="SingleParagraph"/>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Caption w:val="The Hon Nick Minchin AO Bio"/>
        <w:tblDescription w:val="The Hon Nick Minchin AO&#10;Non executive member&#10;Member since 17 December 2018&#10;Mr Minchin brings wide ranging senior leadership credentials, public policy, industry and international experience to the Board.&#10;Recently, Mr Minchin served as the Australian Consul-General in New York.&#10;Mr Minchin held a number of ministerial positions, including as Minister for Industry, Science and Resources from 1998 until 2001 and Minister for Finance and Administration from 2001 until 2007. While in office, he held the posts of Leader of the Government in the Senate, and Vice President of the Executive Council. Mr Minchin was elected to the Australian Senate for South Australia in July 1993 and served until June 2011."/>
      </w:tblPr>
      <w:tblGrid>
        <w:gridCol w:w="7710"/>
      </w:tblGrid>
      <w:tr w:rsidR="00E6535D" w:rsidRPr="005106BA" w14:paraId="0F4C4A3B" w14:textId="77777777" w:rsidTr="002C70F9">
        <w:tc>
          <w:tcPr>
            <w:tcW w:w="7710" w:type="dxa"/>
          </w:tcPr>
          <w:p w14:paraId="153BFC8D" w14:textId="77777777" w:rsidR="00E6535D" w:rsidRPr="00241E7E" w:rsidRDefault="00E6535D" w:rsidP="002C70F9">
            <w:pPr>
              <w:spacing w:after="200"/>
              <w:rPr>
                <w:rFonts w:ascii="Calibri" w:hAnsi="Calibri"/>
                <w:b/>
                <w:sz w:val="24"/>
              </w:rPr>
            </w:pPr>
            <w:r w:rsidRPr="00DC1AFC">
              <w:rPr>
                <w:b/>
                <w:noProof/>
                <w:sz w:val="24"/>
                <w:szCs w:val="24"/>
              </w:rPr>
              <w:drawing>
                <wp:anchor distT="0" distB="0" distL="180340" distR="180340" simplePos="0" relativeHeight="251678720" behindDoc="1" locked="0" layoutInCell="1" allowOverlap="1" wp14:anchorId="24EAC7C6" wp14:editId="5DFEC6E0">
                  <wp:simplePos x="0" y="0"/>
                  <wp:positionH relativeFrom="margin">
                    <wp:posOffset>3171190</wp:posOffset>
                  </wp:positionH>
                  <wp:positionV relativeFrom="margin">
                    <wp:posOffset>1905</wp:posOffset>
                  </wp:positionV>
                  <wp:extent cx="1591200" cy="2160000"/>
                  <wp:effectExtent l="0" t="0" r="9525" b="0"/>
                  <wp:wrapSquare wrapText="bothSides"/>
                  <wp:docPr id="25" name="Picture 25" descr="Photo of The Hon Nick Minchin AO" title="Photo The Hon Nick Minchin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Nick Minchi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368" r="1"/>
                          <a:stretch/>
                        </pic:blipFill>
                        <pic:spPr bwMode="auto">
                          <a:xfrm>
                            <a:off x="0" y="0"/>
                            <a:ext cx="15912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b/>
                <w:sz w:val="24"/>
              </w:rPr>
              <w:t xml:space="preserve">The </w:t>
            </w:r>
            <w:r w:rsidRPr="00DC1AFC">
              <w:rPr>
                <w:b/>
                <w:sz w:val="24"/>
                <w:szCs w:val="24"/>
              </w:rPr>
              <w:t>Hon Nick Minchin AO</w:t>
            </w:r>
          </w:p>
          <w:p w14:paraId="39547CF2" w14:textId="6682F6DD" w:rsidR="00E6535D" w:rsidRPr="00645B20" w:rsidRDefault="00E6535D" w:rsidP="002C70F9">
            <w:pPr>
              <w:keepNext/>
              <w:keepLines/>
              <w:spacing w:before="200" w:after="12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Non</w:t>
            </w:r>
            <w:r w:rsidR="00BD4D19">
              <w:rPr>
                <w:rFonts w:ascii="Calibri" w:eastAsiaTheme="majorEastAsia" w:hAnsi="Calibri" w:cstheme="majorBidi"/>
                <w:b/>
                <w:bCs/>
                <w:i/>
                <w:iCs/>
                <w:color w:val="477B59" w:themeColor="accent1"/>
              </w:rPr>
              <w:noBreakHyphen/>
            </w:r>
            <w:r w:rsidRPr="00645B20">
              <w:rPr>
                <w:rFonts w:ascii="Calibri" w:eastAsiaTheme="majorEastAsia" w:hAnsi="Calibri" w:cstheme="majorBidi"/>
                <w:b/>
                <w:bCs/>
                <w:i/>
                <w:iCs/>
                <w:color w:val="477B59" w:themeColor="accent1"/>
              </w:rPr>
              <w:t>executive member</w:t>
            </w:r>
          </w:p>
          <w:p w14:paraId="794A33F1" w14:textId="77777777" w:rsidR="00E6535D" w:rsidRDefault="00E6535D" w:rsidP="002C70F9">
            <w:pPr>
              <w:keepNext/>
              <w:keepLines/>
              <w:spacing w:after="160"/>
            </w:pPr>
            <w:r>
              <w:t>Member since 17 December 2018</w:t>
            </w:r>
          </w:p>
          <w:p w14:paraId="2EB79133" w14:textId="77777777" w:rsidR="00E6535D" w:rsidRPr="00DC1AFC" w:rsidRDefault="00E6535D" w:rsidP="002C70F9">
            <w:pPr>
              <w:keepNext/>
              <w:keepLines/>
              <w:spacing w:after="160"/>
            </w:pPr>
            <w:r w:rsidRPr="00DC1AFC">
              <w:t>Mr</w:t>
            </w:r>
            <w:r>
              <w:t> </w:t>
            </w:r>
            <w:r w:rsidRPr="00DC1AFC">
              <w:t>Minchin brings wide ranging senior leadership credentials, public policy, industry and international experience to the Board.</w:t>
            </w:r>
          </w:p>
          <w:p w14:paraId="534A13B0" w14:textId="06787F1C" w:rsidR="00E6535D" w:rsidRDefault="00E6535D" w:rsidP="002C70F9">
            <w:pPr>
              <w:spacing w:after="160"/>
            </w:pPr>
            <w:r w:rsidRPr="00DC1AFC">
              <w:t>Recently, Mr</w:t>
            </w:r>
            <w:r>
              <w:t> </w:t>
            </w:r>
            <w:r w:rsidRPr="00DC1AFC">
              <w:t>Minchin served as the Austral</w:t>
            </w:r>
            <w:r>
              <w:t>ian Consul</w:t>
            </w:r>
            <w:r w:rsidR="00BD4D19">
              <w:noBreakHyphen/>
            </w:r>
            <w:r>
              <w:t>General in New York.</w:t>
            </w:r>
          </w:p>
          <w:p w14:paraId="5BE22FB0" w14:textId="77777777" w:rsidR="00E6535D" w:rsidRPr="00DC1AFC" w:rsidRDefault="00E6535D" w:rsidP="002C70F9">
            <w:pPr>
              <w:spacing w:after="160"/>
            </w:pPr>
            <w:r w:rsidRPr="00DC1AFC">
              <w:t>Mr</w:t>
            </w:r>
            <w:r>
              <w:t> </w:t>
            </w:r>
            <w:r w:rsidRPr="00DC1AFC">
              <w:t>Minchin held a number of ministerial positions, including as Minister for Industry, Science and Resources from 1998 until 2001 and Minister for Finance and Administration from 2001 until 2007. While in office, he held the posts of Leader of the Government in the Senate, and Vice President of the Executive Council. Mr</w:t>
            </w:r>
            <w:r>
              <w:t> </w:t>
            </w:r>
            <w:r w:rsidRPr="00DC1AFC">
              <w:t>Minchin was elected to the Australian Senate for South Australia in July</w:t>
            </w:r>
            <w:r>
              <w:t> </w:t>
            </w:r>
            <w:r w:rsidRPr="00DC1AFC">
              <w:t>1</w:t>
            </w:r>
            <w:r>
              <w:t>993 and served until June 2011.</w:t>
            </w:r>
          </w:p>
        </w:tc>
      </w:tr>
    </w:tbl>
    <w:p w14:paraId="7CC8845C" w14:textId="77777777" w:rsidR="00E6535D" w:rsidRPr="00C34EB2" w:rsidRDefault="00E6535D" w:rsidP="00E6535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Caption w:val="Ms Meg McDonald Bio"/>
        <w:tblDescription w:val="Ms Margaret (Meg) McDonald&#10;Non executive member&#10;Member since 26 March 2019&#10;Ms McDonald has extensive experience in senior public and private sector roles, in Australia and internationally.&#10;Ms McDonald has previously held a number of executive positions including Chief Operating Officer of the Clean Energy Finance Corporation, CEO of Low Carbon Australia Limited (LCAL) and positions with global resources and metals manufacturer Alcoa."/>
      </w:tblPr>
      <w:tblGrid>
        <w:gridCol w:w="7710"/>
      </w:tblGrid>
      <w:tr w:rsidR="00E6535D" w:rsidRPr="005106BA" w14:paraId="7D3B47E9" w14:textId="77777777" w:rsidTr="002C70F9">
        <w:tc>
          <w:tcPr>
            <w:tcW w:w="7710" w:type="dxa"/>
          </w:tcPr>
          <w:p w14:paraId="338AAFD7" w14:textId="77777777" w:rsidR="00E6535D" w:rsidRPr="00241E7E" w:rsidRDefault="00E6535D" w:rsidP="002C70F9">
            <w:pPr>
              <w:spacing w:after="200"/>
              <w:rPr>
                <w:rFonts w:ascii="Calibri" w:hAnsi="Calibri"/>
                <w:b/>
                <w:sz w:val="24"/>
              </w:rPr>
            </w:pPr>
            <w:r>
              <w:rPr>
                <w:rFonts w:ascii="Calibri" w:hAnsi="Calibri"/>
                <w:b/>
                <w:sz w:val="24"/>
              </w:rPr>
              <w:t xml:space="preserve">Ms </w:t>
            </w:r>
            <w:r w:rsidRPr="00DC1AFC">
              <w:rPr>
                <w:b/>
                <w:sz w:val="24"/>
                <w:szCs w:val="24"/>
              </w:rPr>
              <w:t>Margaret (Meg) McDonald</w:t>
            </w:r>
            <w:r w:rsidRPr="00DC1AFC">
              <w:rPr>
                <w:b/>
                <w:noProof/>
                <w:sz w:val="24"/>
                <w:szCs w:val="24"/>
              </w:rPr>
              <w:drawing>
                <wp:anchor distT="0" distB="0" distL="180340" distR="180340" simplePos="0" relativeHeight="251679744" behindDoc="1" locked="0" layoutInCell="1" allowOverlap="1" wp14:anchorId="12207850" wp14:editId="02B44EFC">
                  <wp:simplePos x="3359785" y="4826635"/>
                  <wp:positionH relativeFrom="margin">
                    <wp:align>right</wp:align>
                  </wp:positionH>
                  <wp:positionV relativeFrom="margin">
                    <wp:align>top</wp:align>
                  </wp:positionV>
                  <wp:extent cx="1591200" cy="2160000"/>
                  <wp:effectExtent l="0" t="0" r="9525" b="0"/>
                  <wp:wrapSquare wrapText="bothSides"/>
                  <wp:docPr id="55" name="Picture 55" descr="Photo of Margaret (Meg) McDonald" title="Photo Margaret (Meg)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of Margaret (Meg) McDonal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12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88CAA" w14:textId="3B2D366E" w:rsidR="00E6535D" w:rsidRPr="00645B20" w:rsidRDefault="00E6535D" w:rsidP="002C70F9">
            <w:pPr>
              <w:keepNext/>
              <w:keepLines/>
              <w:spacing w:before="200" w:after="12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Non</w:t>
            </w:r>
            <w:r w:rsidR="00BD4D19">
              <w:rPr>
                <w:rFonts w:ascii="Calibri" w:eastAsiaTheme="majorEastAsia" w:hAnsi="Calibri" w:cstheme="majorBidi"/>
                <w:b/>
                <w:bCs/>
                <w:i/>
                <w:iCs/>
                <w:color w:val="477B59" w:themeColor="accent1"/>
              </w:rPr>
              <w:noBreakHyphen/>
            </w:r>
            <w:r w:rsidRPr="00645B20">
              <w:rPr>
                <w:rFonts w:ascii="Calibri" w:eastAsiaTheme="majorEastAsia" w:hAnsi="Calibri" w:cstheme="majorBidi"/>
                <w:b/>
                <w:bCs/>
                <w:i/>
                <w:iCs/>
                <w:color w:val="477B59" w:themeColor="accent1"/>
              </w:rPr>
              <w:t>executive member</w:t>
            </w:r>
          </w:p>
          <w:p w14:paraId="1389537E" w14:textId="77777777" w:rsidR="00E6535D" w:rsidRDefault="00E6535D" w:rsidP="002C70F9">
            <w:pPr>
              <w:keepNext/>
              <w:keepLines/>
              <w:spacing w:after="160" w:line="240" w:lineRule="auto"/>
            </w:pPr>
            <w:r w:rsidRPr="00DC1AFC">
              <w:t>Member</w:t>
            </w:r>
            <w:r>
              <w:t xml:space="preserve"> since 26 March 2019</w:t>
            </w:r>
          </w:p>
          <w:p w14:paraId="1654B44F" w14:textId="77777777" w:rsidR="00E6535D" w:rsidRDefault="00E6535D" w:rsidP="002C70F9">
            <w:pPr>
              <w:keepNext/>
              <w:keepLines/>
              <w:spacing w:after="160" w:line="240" w:lineRule="auto"/>
            </w:pPr>
            <w:r w:rsidRPr="00515CEB">
              <w:t>Ms</w:t>
            </w:r>
            <w:r>
              <w:t> </w:t>
            </w:r>
            <w:r w:rsidRPr="00515CEB">
              <w:t>McDonald brings to the Board extensive experience in senior public and private sector roles, in Australia and internationally. She has previously held a number of executive positions including Chief Operating Officer of the Clean Energy Finance Corporation, CEO of Low Carbon Australia Limited (LCAL) and positions with global resources and metals manufacturer Alcoa. She has served as Director on the boards of the Australian Renewable Energy Agency and the Cooperative Research Centre for Low Carbon Living.</w:t>
            </w:r>
          </w:p>
          <w:p w14:paraId="4A9602A1" w14:textId="266C183C" w:rsidR="00E6535D" w:rsidRPr="00DC1AFC" w:rsidRDefault="00E6535D" w:rsidP="002C70F9">
            <w:pPr>
              <w:keepNext/>
              <w:keepLines/>
              <w:spacing w:after="160" w:line="240" w:lineRule="auto"/>
            </w:pPr>
            <w:r w:rsidRPr="00DC1AFC">
              <w:t>Ms</w:t>
            </w:r>
            <w:r>
              <w:t> </w:t>
            </w:r>
            <w:r w:rsidRPr="00DC1AFC">
              <w:t>McDonald was Deputy Ambassador to the United States in Washington DC between 1998 and 2002 and Australia</w:t>
            </w:r>
            <w:r w:rsidR="00BD4D19">
              <w:t>’</w:t>
            </w:r>
            <w:r w:rsidRPr="00DC1AFC">
              <w:t>s Ambassador for the Environment between 1996 and 1998.</w:t>
            </w:r>
          </w:p>
          <w:p w14:paraId="77EFC2B6" w14:textId="77777777" w:rsidR="00E6535D" w:rsidRPr="00DC1AFC" w:rsidRDefault="00E6535D" w:rsidP="002C70F9">
            <w:pPr>
              <w:keepNext/>
              <w:keepLines/>
              <w:spacing w:after="160" w:line="240" w:lineRule="auto"/>
            </w:pPr>
            <w:r w:rsidRPr="00DC1AFC">
              <w:t>M</w:t>
            </w:r>
            <w:r>
              <w:t xml:space="preserve">s McDonald </w:t>
            </w:r>
            <w:r w:rsidRPr="00DC1AFC">
              <w:t>holds an Honours Degree in Applied Science from the University of NSW.</w:t>
            </w:r>
          </w:p>
          <w:p w14:paraId="440DB35B" w14:textId="77777777" w:rsidR="00E6535D" w:rsidRPr="00645B20" w:rsidRDefault="00E6535D" w:rsidP="002C70F9">
            <w:pPr>
              <w:keepNext/>
              <w:keepLines/>
              <w:spacing w:after="16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Other roles</w:t>
            </w:r>
          </w:p>
          <w:p w14:paraId="5CA691FC" w14:textId="77777777" w:rsidR="00E6535D" w:rsidRPr="00515CEB" w:rsidRDefault="00E6535D" w:rsidP="002C70F9">
            <w:pPr>
              <w:spacing w:after="160"/>
            </w:pPr>
            <w:r w:rsidRPr="00DC1AFC">
              <w:t>Trustee</w:t>
            </w:r>
            <w:r>
              <w:t xml:space="preserve"> — </w:t>
            </w:r>
            <w:r w:rsidRPr="00DC1AFC">
              <w:t>The</w:t>
            </w:r>
            <w:r>
              <w:t xml:space="preserve"> Nature Conservancy</w:t>
            </w:r>
          </w:p>
        </w:tc>
      </w:tr>
    </w:tbl>
    <w:p w14:paraId="6642ADE7" w14:textId="77777777" w:rsidR="00E6535D" w:rsidRPr="00C34EB2" w:rsidRDefault="00E6535D" w:rsidP="00E6535D"/>
    <w:p w14:paraId="2716654A" w14:textId="77777777" w:rsidR="00E6535D" w:rsidRPr="00C34EB2" w:rsidRDefault="00E6535D" w:rsidP="00E6535D">
      <w:r w:rsidRPr="00C34EB2">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Caption w:val="Mrs Alice Williams Bio"/>
        <w:tblDescription w:val="Ms Alice Williams&#10;Non executive member&#10;Member since 16 July 2015&#10;Ms Williams has over 25 years of senior management and board level experience in the corporate and government sectors. Former directorships include Ansett Australia, the Australian Accounting Standards Board, JP Morgan, NM Rothschild, State Trustees and a Commissioner of the Victorian Competition and Efficiency Commission. &#10;She has been a consultant to listed corporations in Australia, the Gulf States and state and federal regulatory bodies. &#10;Other roles&#10;Director – Cooper Energy Ltd&#10;Director – Defence Health&#10;Director – Djerriwarrh Investments Ltd&#10;Director – Equity Trustees&#10;Director – Tobacco Free Portfolio"/>
      </w:tblPr>
      <w:tblGrid>
        <w:gridCol w:w="7710"/>
      </w:tblGrid>
      <w:tr w:rsidR="00E6535D" w:rsidRPr="005106BA" w14:paraId="210DCDAB" w14:textId="77777777" w:rsidTr="002C70F9">
        <w:tc>
          <w:tcPr>
            <w:tcW w:w="7710" w:type="dxa"/>
          </w:tcPr>
          <w:p w14:paraId="213890B7" w14:textId="77777777" w:rsidR="00E6535D" w:rsidRPr="00241E7E" w:rsidRDefault="00E6535D" w:rsidP="002C70F9">
            <w:pPr>
              <w:rPr>
                <w:rFonts w:ascii="Calibri" w:hAnsi="Calibri"/>
                <w:b/>
                <w:sz w:val="24"/>
              </w:rPr>
            </w:pPr>
            <w:r w:rsidRPr="0027135C">
              <w:rPr>
                <w:noProof/>
              </w:rPr>
              <w:drawing>
                <wp:anchor distT="0" distB="180340" distL="180340" distR="180340" simplePos="0" relativeHeight="251680768" behindDoc="1" locked="0" layoutInCell="1" allowOverlap="1" wp14:anchorId="5A46DCAE" wp14:editId="6B8CF5D3">
                  <wp:simplePos x="0" y="0"/>
                  <wp:positionH relativeFrom="margin">
                    <wp:posOffset>3171190</wp:posOffset>
                  </wp:positionH>
                  <wp:positionV relativeFrom="margin">
                    <wp:posOffset>1270</wp:posOffset>
                  </wp:positionV>
                  <wp:extent cx="1591200" cy="2160000"/>
                  <wp:effectExtent l="0" t="0" r="9525" b="0"/>
                  <wp:wrapSquare wrapText="bothSides"/>
                  <wp:docPr id="27" name="Picture 27" descr="Mr Steven Sk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Steven Skala"/>
                          <pic:cNvPicPr>
                            <a:picLocks noChangeAspect="1" noChangeArrowheads="1"/>
                          </pic:cNvPicPr>
                        </pic:nvPicPr>
                        <pic:blipFill rotWithShape="1">
                          <a:blip r:embed="rId48">
                            <a:extLst>
                              <a:ext uri="{28A0092B-C50C-407E-A947-70E740481C1C}">
                                <a14:useLocalDpi xmlns:a14="http://schemas.microsoft.com/office/drawing/2010/main" val="0"/>
                              </a:ext>
                            </a:extLst>
                          </a:blip>
                          <a:srcRect l="2405" r="5496"/>
                          <a:stretch/>
                        </pic:blipFill>
                        <pic:spPr bwMode="auto">
                          <a:xfrm>
                            <a:off x="0" y="0"/>
                            <a:ext cx="15912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b/>
                <w:sz w:val="24"/>
              </w:rPr>
              <w:t>Mr Steven Skala AO</w:t>
            </w:r>
          </w:p>
          <w:p w14:paraId="1214853D" w14:textId="6EA12A3B" w:rsidR="00E6535D" w:rsidRPr="00645B20" w:rsidRDefault="00E6535D" w:rsidP="002C70F9">
            <w:pPr>
              <w:keepNext/>
              <w:keepLines/>
              <w:spacing w:before="200" w:after="12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Non</w:t>
            </w:r>
            <w:r w:rsidR="00BD4D19">
              <w:rPr>
                <w:rFonts w:ascii="Calibri" w:eastAsiaTheme="majorEastAsia" w:hAnsi="Calibri" w:cstheme="majorBidi"/>
                <w:b/>
                <w:bCs/>
                <w:i/>
                <w:iCs/>
                <w:color w:val="477B59" w:themeColor="accent1"/>
              </w:rPr>
              <w:noBreakHyphen/>
            </w:r>
            <w:r w:rsidRPr="00645B20">
              <w:rPr>
                <w:rFonts w:ascii="Calibri" w:eastAsiaTheme="majorEastAsia" w:hAnsi="Calibri" w:cstheme="majorBidi"/>
                <w:b/>
                <w:bCs/>
                <w:i/>
                <w:iCs/>
                <w:color w:val="477B59" w:themeColor="accent1"/>
              </w:rPr>
              <w:t>executive member</w:t>
            </w:r>
          </w:p>
          <w:p w14:paraId="384836F3" w14:textId="77777777" w:rsidR="00E6535D" w:rsidRDefault="00E6535D" w:rsidP="002C70F9">
            <w:pPr>
              <w:keepNext/>
              <w:keepLines/>
              <w:spacing w:after="160"/>
            </w:pPr>
            <w:r>
              <w:t>Member since 18 September 2020</w:t>
            </w:r>
          </w:p>
          <w:p w14:paraId="4570CE2F" w14:textId="77777777" w:rsidR="00E6535D" w:rsidRDefault="00E6535D" w:rsidP="002C70F9">
            <w:pPr>
              <w:keepNext/>
              <w:keepLines/>
              <w:spacing w:after="160"/>
            </w:pPr>
            <w:r w:rsidRPr="00B61FCF">
              <w:t>Mr</w:t>
            </w:r>
            <w:r>
              <w:t> </w:t>
            </w:r>
            <w:r w:rsidRPr="00B61FCF">
              <w:t>Skala brings significant experience through his senior roles in the law, commerce, international investment banking and governance.</w:t>
            </w:r>
          </w:p>
          <w:p w14:paraId="13A2CCF9" w14:textId="77777777" w:rsidR="00E6535D" w:rsidRPr="00B61FCF" w:rsidRDefault="00E6535D" w:rsidP="002C70F9">
            <w:pPr>
              <w:keepNext/>
              <w:keepLines/>
              <w:spacing w:after="160" w:line="240" w:lineRule="auto"/>
            </w:pPr>
            <w:r w:rsidRPr="00B61FCF">
              <w:t>Between 1982 and 2004, Mr</w:t>
            </w:r>
            <w:r>
              <w:t> </w:t>
            </w:r>
            <w:r w:rsidRPr="00B61FCF">
              <w:t>Skala was a Partner of Australian law firms, Morris Fletcher &amp; Cross (now Minter Ellison)</w:t>
            </w:r>
            <w:r>
              <w:t xml:space="preserve"> and </w:t>
            </w:r>
            <w:r w:rsidRPr="00B61FCF">
              <w:t xml:space="preserve">Arnold Bloch </w:t>
            </w:r>
            <w:proofErr w:type="spellStart"/>
            <w:r w:rsidRPr="00B61FCF">
              <w:t>Leibler</w:t>
            </w:r>
            <w:proofErr w:type="spellEnd"/>
            <w:r w:rsidRPr="00B61FCF">
              <w:t>.</w:t>
            </w:r>
            <w:r>
              <w:t xml:space="preserve"> </w:t>
            </w:r>
            <w:r w:rsidRPr="00B61FCF">
              <w:t xml:space="preserve">He is a former Chairman of Wilson Group Limited, </w:t>
            </w:r>
            <w:proofErr w:type="spellStart"/>
            <w:r w:rsidRPr="00B61FCF">
              <w:t>Hexima</w:t>
            </w:r>
            <w:proofErr w:type="spellEnd"/>
            <w:r w:rsidRPr="00B61FCF">
              <w:t xml:space="preserve"> Limited and The Island Food Company Limited, is a former Director of the Channel TEN Group of companies and Max Capital Group Limited, and was a Founding Member of Adara Partners.</w:t>
            </w:r>
          </w:p>
          <w:p w14:paraId="679E3583" w14:textId="77777777" w:rsidR="00E6535D" w:rsidRPr="00B61FCF" w:rsidRDefault="00E6535D" w:rsidP="002C70F9">
            <w:pPr>
              <w:keepNext/>
              <w:keepLines/>
              <w:spacing w:after="160" w:line="240" w:lineRule="auto"/>
            </w:pPr>
            <w:r w:rsidRPr="00B61FCF">
              <w:t>Mr</w:t>
            </w:r>
            <w:r>
              <w:t> </w:t>
            </w:r>
            <w:r w:rsidRPr="00B61FCF">
              <w:t>Skala is also a former Chairman of Film Australia Limited and the Australian Centre for Contemporary Art, a former Vice President (Deputy Chairman) of The Walter &amp; Eliza Hall Institute of Medical Research, and a former Director of the Australian Broadcasting Corporation and the Australian Ballet.</w:t>
            </w:r>
          </w:p>
          <w:p w14:paraId="3B77C040" w14:textId="77777777" w:rsidR="00E6535D" w:rsidRPr="00645B20" w:rsidRDefault="00E6535D" w:rsidP="002C70F9">
            <w:pPr>
              <w:keepNext/>
              <w:keepLines/>
              <w:spacing w:after="16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Other roles</w:t>
            </w:r>
          </w:p>
          <w:p w14:paraId="7C173309" w14:textId="77777777" w:rsidR="00E6535D" w:rsidRPr="00B61FCF" w:rsidRDefault="00E6535D" w:rsidP="002C70F9">
            <w:pPr>
              <w:spacing w:after="0"/>
              <w:jc w:val="left"/>
            </w:pPr>
            <w:r w:rsidRPr="00B61FCF">
              <w:t>Vice Chairman Australia</w:t>
            </w:r>
            <w:r>
              <w:t xml:space="preserve"> — </w:t>
            </w:r>
            <w:r w:rsidRPr="00B61FCF">
              <w:t>Deutsche Bank AG</w:t>
            </w:r>
            <w:r>
              <w:br/>
            </w:r>
            <w:r w:rsidRPr="00B61FCF">
              <w:t>Chair</w:t>
            </w:r>
            <w:r>
              <w:t xml:space="preserve"> — </w:t>
            </w:r>
            <w:r w:rsidRPr="00B61FCF">
              <w:t>Clean Energy Finance Corporation</w:t>
            </w:r>
            <w:r>
              <w:br/>
            </w:r>
            <w:r w:rsidRPr="00B61FCF">
              <w:t>Member</w:t>
            </w:r>
            <w:r>
              <w:t xml:space="preserve"> — </w:t>
            </w:r>
            <w:r w:rsidRPr="00B61FCF">
              <w:t>Technology Investment Advisory Council</w:t>
            </w:r>
            <w:r>
              <w:br/>
            </w:r>
            <w:r w:rsidRPr="00B61FCF">
              <w:t>Director (Alternate)</w:t>
            </w:r>
            <w:r>
              <w:t xml:space="preserve"> — </w:t>
            </w:r>
            <w:proofErr w:type="spellStart"/>
            <w:r w:rsidRPr="00B61FCF">
              <w:t>Hexima</w:t>
            </w:r>
            <w:proofErr w:type="spellEnd"/>
            <w:r w:rsidRPr="00B61FCF">
              <w:t xml:space="preserve"> Limited</w:t>
            </w:r>
            <w:r w:rsidRPr="00B61FCF">
              <w:br/>
              <w:t>Chairman</w:t>
            </w:r>
            <w:r>
              <w:t xml:space="preserve"> — </w:t>
            </w:r>
            <w:r w:rsidRPr="00B61FCF">
              <w:t>Heide Museum of Modern Art</w:t>
            </w:r>
            <w:r w:rsidRPr="00B61FCF">
              <w:br/>
              <w:t>Deputy Chairman</w:t>
            </w:r>
            <w:r>
              <w:t xml:space="preserve"> — </w:t>
            </w:r>
            <w:r w:rsidRPr="00B61FCF">
              <w:t>General Sir John Monash Foundation</w:t>
            </w:r>
            <w:r>
              <w:br/>
            </w:r>
            <w:r w:rsidRPr="00B61FCF">
              <w:t>Director</w:t>
            </w:r>
            <w:r>
              <w:t xml:space="preserve"> — </w:t>
            </w:r>
            <w:r w:rsidRPr="00B61FCF">
              <w:t>The Centre for Independent Studies</w:t>
            </w:r>
          </w:p>
        </w:tc>
      </w:tr>
    </w:tbl>
    <w:p w14:paraId="2997D417" w14:textId="77777777" w:rsidR="00E6535D" w:rsidRPr="0072749D" w:rsidRDefault="00E6535D" w:rsidP="00E6535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4A0" w:firstRow="1" w:lastRow="0" w:firstColumn="1" w:lastColumn="0" w:noHBand="0" w:noVBand="1"/>
        <w:tblCaption w:val="Mr Roger Brake Information"/>
        <w:tblDescription w:val="Mr Roger Brake&#10;Executive member&#10;Member since 6 March 2017&#10;The position of executive member is held by the Head of Treasury’s Foreign Investment Division. The executive member provides the link between the Board and the Treasury, which provides support to the Board."/>
      </w:tblPr>
      <w:tblGrid>
        <w:gridCol w:w="7710"/>
      </w:tblGrid>
      <w:tr w:rsidR="00E6535D" w:rsidRPr="005106BA" w14:paraId="0A14DD4C" w14:textId="77777777" w:rsidTr="002C70F9">
        <w:trPr>
          <w:trHeight w:val="1523"/>
          <w:tblHeader/>
        </w:trPr>
        <w:tc>
          <w:tcPr>
            <w:tcW w:w="7710" w:type="dxa"/>
          </w:tcPr>
          <w:p w14:paraId="40B04E52" w14:textId="77777777" w:rsidR="00E6535D" w:rsidRPr="00241E7E" w:rsidRDefault="00E6535D" w:rsidP="002C70F9">
            <w:pPr>
              <w:spacing w:after="200"/>
              <w:rPr>
                <w:rFonts w:ascii="Calibri" w:hAnsi="Calibri"/>
                <w:b/>
                <w:sz w:val="24"/>
              </w:rPr>
            </w:pPr>
            <w:r w:rsidRPr="00AF32FD">
              <w:rPr>
                <w:noProof/>
              </w:rPr>
              <w:drawing>
                <wp:anchor distT="0" distB="0" distL="180340" distR="180340" simplePos="0" relativeHeight="251681792" behindDoc="1" locked="0" layoutInCell="1" allowOverlap="1" wp14:anchorId="19BF7EBD" wp14:editId="626DDF77">
                  <wp:simplePos x="2519680" y="3391535"/>
                  <wp:positionH relativeFrom="margin">
                    <wp:align>right</wp:align>
                  </wp:positionH>
                  <wp:positionV relativeFrom="margin">
                    <wp:align>top</wp:align>
                  </wp:positionV>
                  <wp:extent cx="1591200" cy="2160000"/>
                  <wp:effectExtent l="0" t="0" r="9525" b="0"/>
                  <wp:wrapSquare wrapText="bothSides"/>
                  <wp:docPr id="29" name="Picture 29" descr="Photo of Mr Tom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Mr Tom Hamilton"/>
                          <pic:cNvPicPr>
                            <a:picLocks noChangeAspect="1" noChangeArrowheads="1"/>
                          </pic:cNvPicPr>
                        </pic:nvPicPr>
                        <pic:blipFill rotWithShape="1">
                          <a:blip r:embed="rId49">
                            <a:extLst>
                              <a:ext uri="{28A0092B-C50C-407E-A947-70E740481C1C}">
                                <a14:useLocalDpi xmlns:a14="http://schemas.microsoft.com/office/drawing/2010/main" val="0"/>
                              </a:ext>
                            </a:extLst>
                          </a:blip>
                          <a:srcRect r="6317"/>
                          <a:stretch/>
                        </pic:blipFill>
                        <pic:spPr bwMode="auto">
                          <a:xfrm>
                            <a:off x="0" y="0"/>
                            <a:ext cx="1591200"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b/>
                <w:sz w:val="24"/>
              </w:rPr>
              <w:t>Mr Tom Hamilton</w:t>
            </w:r>
          </w:p>
          <w:p w14:paraId="46B98312" w14:textId="77777777" w:rsidR="00E6535D" w:rsidRPr="00645B20" w:rsidRDefault="00E6535D" w:rsidP="002C70F9">
            <w:pPr>
              <w:keepNext/>
              <w:keepLines/>
              <w:spacing w:before="200" w:after="120"/>
              <w:outlineLvl w:val="3"/>
              <w:rPr>
                <w:rFonts w:ascii="Calibri" w:eastAsiaTheme="majorEastAsia" w:hAnsi="Calibri" w:cstheme="majorBidi"/>
                <w:b/>
                <w:bCs/>
                <w:i/>
                <w:iCs/>
                <w:color w:val="477B59" w:themeColor="accent1"/>
              </w:rPr>
            </w:pPr>
            <w:r w:rsidRPr="00645B20">
              <w:rPr>
                <w:rFonts w:ascii="Calibri" w:eastAsiaTheme="majorEastAsia" w:hAnsi="Calibri" w:cstheme="majorBidi"/>
                <w:b/>
                <w:bCs/>
                <w:i/>
                <w:iCs/>
                <w:color w:val="477B59" w:themeColor="accent1"/>
              </w:rPr>
              <w:t>Executive member</w:t>
            </w:r>
          </w:p>
          <w:p w14:paraId="55E616DD" w14:textId="77777777" w:rsidR="00E6535D" w:rsidRDefault="00E6535D" w:rsidP="002C70F9">
            <w:pPr>
              <w:spacing w:after="160"/>
            </w:pPr>
            <w:r>
              <w:t>Member since 19 October 2020</w:t>
            </w:r>
          </w:p>
          <w:p w14:paraId="77080781" w14:textId="0D117A5E" w:rsidR="00E6535D" w:rsidRPr="00EB76D3" w:rsidRDefault="00E6535D" w:rsidP="002C70F9">
            <w:pPr>
              <w:spacing w:after="160"/>
            </w:pPr>
            <w:r w:rsidRPr="00DC1AFC">
              <w:t xml:space="preserve">The position of executive member is held by the </w:t>
            </w:r>
            <w:r>
              <w:t xml:space="preserve">First Assistant Secretary </w:t>
            </w:r>
            <w:r w:rsidRPr="00DC1AFC">
              <w:t>of Treasury</w:t>
            </w:r>
            <w:r w:rsidR="00BD4D19">
              <w:t>’</w:t>
            </w:r>
            <w:r w:rsidRPr="00DC1AFC">
              <w:t xml:space="preserve">s Foreign Investment Division. The executive member provides the link between the Board and the Treasury, which provides </w:t>
            </w:r>
            <w:r>
              <w:t>support to the Board.</w:t>
            </w:r>
          </w:p>
        </w:tc>
      </w:tr>
    </w:tbl>
    <w:p w14:paraId="5D7A62C8" w14:textId="77777777" w:rsidR="00E6535D" w:rsidRPr="0072749D" w:rsidRDefault="00E6535D" w:rsidP="00E6535D">
      <w:r w:rsidRPr="0072749D">
        <w:br w:type="page"/>
      </w:r>
    </w:p>
    <w:p w14:paraId="6CE0562C" w14:textId="77777777" w:rsidR="00A84283" w:rsidRPr="006D64A2" w:rsidRDefault="00A84283" w:rsidP="00AD4F91">
      <w:pPr>
        <w:pStyle w:val="Heading2"/>
        <w:spacing w:after="200"/>
      </w:pPr>
      <w:bookmarkStart w:id="44" w:name="_Toc75244051"/>
      <w:r w:rsidRPr="00820C89">
        <w:t>Public speeches</w:t>
      </w:r>
      <w:bookmarkEnd w:id="39"/>
      <w:bookmarkEnd w:id="40"/>
      <w:bookmarkEnd w:id="41"/>
      <w:bookmarkEnd w:id="42"/>
      <w:bookmarkEnd w:id="43"/>
      <w:bookmarkEnd w:id="44"/>
    </w:p>
    <w:p w14:paraId="7556B78A" w14:textId="7E05405B" w:rsidR="0062694B" w:rsidRPr="00A84283" w:rsidRDefault="0062694B" w:rsidP="0062694B">
      <w:pPr>
        <w:spacing w:after="200"/>
      </w:pPr>
      <w:r>
        <w:t>In</w:t>
      </w:r>
      <w:r w:rsidRPr="00A84283">
        <w:t xml:space="preserve"> 201</w:t>
      </w:r>
      <w:r>
        <w:t>9</w:t>
      </w:r>
      <w:r w:rsidR="00F26A86">
        <w:t>–</w:t>
      </w:r>
      <w:r>
        <w:t>20</w:t>
      </w:r>
      <w:r w:rsidRPr="00A84283">
        <w:t>, Mr</w:t>
      </w:r>
      <w:r w:rsidR="00CF4F66">
        <w:t> </w:t>
      </w:r>
      <w:r w:rsidRPr="00A84283">
        <w:t>Irvin</w:t>
      </w:r>
      <w:r>
        <w:t xml:space="preserve">e, the Chair of the Board, delivered </w:t>
      </w:r>
      <w:r w:rsidRPr="00A84283">
        <w:t>address</w:t>
      </w:r>
      <w:r w:rsidR="00BC3385">
        <w:t>es</w:t>
      </w:r>
      <w:r w:rsidRPr="00A84283">
        <w:t xml:space="preserve"> at the </w:t>
      </w:r>
      <w:r>
        <w:t>2019 Sino</w:t>
      </w:r>
      <w:r w:rsidR="00BD4D19">
        <w:noBreakHyphen/>
      </w:r>
      <w:r>
        <w:t xml:space="preserve">Australian Investment and Financing Forum and </w:t>
      </w:r>
      <w:r w:rsidR="00BC3385">
        <w:t xml:space="preserve">to </w:t>
      </w:r>
      <w:r>
        <w:t>the Australia</w:t>
      </w:r>
      <w:r w:rsidR="00BD4D19">
        <w:noBreakHyphen/>
      </w:r>
      <w:r>
        <w:t>China Business Council</w:t>
      </w:r>
      <w:r w:rsidR="00B55210">
        <w:t>.</w:t>
      </w:r>
      <w:r>
        <w:t xml:space="preserve"> The Chair and Board members also participated</w:t>
      </w:r>
      <w:r w:rsidR="00F0706C">
        <w:t xml:space="preserve">, through teleconferencing and video conferencing, </w:t>
      </w:r>
      <w:r>
        <w:t xml:space="preserve">in a range of meetings and outreach activities with investors, their representatives and representatives of particular sectors. These forums </w:t>
      </w:r>
      <w:r w:rsidR="004A34D6">
        <w:t>facilitated</w:t>
      </w:r>
      <w:r w:rsidR="00F0706C">
        <w:t xml:space="preserve"> </w:t>
      </w:r>
      <w:r>
        <w:t>two</w:t>
      </w:r>
      <w:r w:rsidR="00BD4D19">
        <w:noBreakHyphen/>
      </w:r>
      <w:r>
        <w:t>way dialogue</w:t>
      </w:r>
      <w:r w:rsidR="00F0706C">
        <w:t xml:space="preserve"> during the </w:t>
      </w:r>
      <w:r w:rsidR="0088740D">
        <w:t xml:space="preserve">height of </w:t>
      </w:r>
      <w:r w:rsidR="00BD04C6">
        <w:t xml:space="preserve">the </w:t>
      </w:r>
      <w:r w:rsidR="0088740D">
        <w:t>COVID</w:t>
      </w:r>
      <w:r w:rsidR="00BD4D19">
        <w:noBreakHyphen/>
      </w:r>
      <w:r w:rsidR="0088740D">
        <w:t>19</w:t>
      </w:r>
      <w:r w:rsidR="00035E25">
        <w:t xml:space="preserve"> </w:t>
      </w:r>
      <w:r w:rsidR="00BD04C6">
        <w:t xml:space="preserve">pandemic </w:t>
      </w:r>
      <w:r w:rsidR="0088740D">
        <w:t>response</w:t>
      </w:r>
      <w:r>
        <w:t xml:space="preserve">, providing </w:t>
      </w:r>
      <w:r w:rsidRPr="00A84283">
        <w:t xml:space="preserve">investors with </w:t>
      </w:r>
      <w:r>
        <w:t xml:space="preserve">information on </w:t>
      </w:r>
      <w:r w:rsidRPr="00A84283">
        <w:t>Australia</w:t>
      </w:r>
      <w:r w:rsidR="00BD4D19">
        <w:t>’</w:t>
      </w:r>
      <w:r w:rsidRPr="00A84283">
        <w:t xml:space="preserve">s </w:t>
      </w:r>
      <w:r w:rsidR="0088740D">
        <w:t xml:space="preserve">response to changes </w:t>
      </w:r>
      <w:r w:rsidR="004A34D6">
        <w:t>in</w:t>
      </w:r>
      <w:r w:rsidR="0088740D">
        <w:t xml:space="preserve"> the </w:t>
      </w:r>
      <w:r w:rsidRPr="00A84283">
        <w:t>foreign investment environment</w:t>
      </w:r>
      <w:r>
        <w:t xml:space="preserve"> and the </w:t>
      </w:r>
      <w:r w:rsidR="0088740D">
        <w:t xml:space="preserve">temporary changes to </w:t>
      </w:r>
      <w:r>
        <w:t>foreign investment screening</w:t>
      </w:r>
      <w:r w:rsidR="001F031F">
        <w:t xml:space="preserve"> that were introduced in the reporting period</w:t>
      </w:r>
      <w:r w:rsidRPr="00A84283">
        <w:t xml:space="preserve">. </w:t>
      </w:r>
      <w:r>
        <w:t xml:space="preserve">They </w:t>
      </w:r>
      <w:r w:rsidRPr="00A84283">
        <w:t>allow</w:t>
      </w:r>
      <w:r w:rsidR="004A34D6">
        <w:t>ed</w:t>
      </w:r>
      <w:r w:rsidRPr="00A84283">
        <w:t xml:space="preserve"> the Board to gain market intelligence</w:t>
      </w:r>
      <w:r>
        <w:t xml:space="preserve"> and insights which </w:t>
      </w:r>
      <w:r w:rsidR="004A34D6">
        <w:t>informed</w:t>
      </w:r>
      <w:r>
        <w:t xml:space="preserve"> its </w:t>
      </w:r>
      <w:r w:rsidRPr="00A84283">
        <w:t xml:space="preserve">advice to the Government. </w:t>
      </w:r>
    </w:p>
    <w:p w14:paraId="1ACC1628" w14:textId="2A3A9997" w:rsidR="00B55210" w:rsidRDefault="00B55210" w:rsidP="0062694B">
      <w:pPr>
        <w:spacing w:after="200"/>
      </w:pPr>
      <w:r>
        <w:t>Mr</w:t>
      </w:r>
      <w:r w:rsidR="00CB38B7">
        <w:t> </w:t>
      </w:r>
      <w:r>
        <w:t xml:space="preserve">Irvine issued two media releases concerning the </w:t>
      </w:r>
      <w:r w:rsidR="00F0706C">
        <w:t xml:space="preserve">temporary changes made by the Government to the foreign investment framework to protect </w:t>
      </w:r>
      <w:r w:rsidR="00F0706C" w:rsidRPr="00F0706C">
        <w:t>the national interest during a</w:t>
      </w:r>
      <w:r w:rsidR="0088740D">
        <w:t xml:space="preserve"> </w:t>
      </w:r>
      <w:r w:rsidR="00F0706C" w:rsidRPr="00F0706C">
        <w:t>historically challenging time for the economy, businesses and the broader community</w:t>
      </w:r>
      <w:r w:rsidR="00F0706C">
        <w:t xml:space="preserve"> as a result of </w:t>
      </w:r>
      <w:r w:rsidR="00BD04C6">
        <w:t xml:space="preserve">the </w:t>
      </w:r>
      <w:r w:rsidR="00F0706C">
        <w:t>COVID</w:t>
      </w:r>
      <w:r w:rsidR="00BD4D19">
        <w:noBreakHyphen/>
      </w:r>
      <w:r w:rsidR="00F0706C">
        <w:t>19</w:t>
      </w:r>
      <w:r w:rsidR="00BD04C6">
        <w:t xml:space="preserve"> pandemic</w:t>
      </w:r>
      <w:r w:rsidR="00F0706C">
        <w:t>.</w:t>
      </w:r>
    </w:p>
    <w:p w14:paraId="227ABB19" w14:textId="79302046" w:rsidR="0062694B" w:rsidRPr="00A84283" w:rsidRDefault="0062694B" w:rsidP="0062694B">
      <w:pPr>
        <w:spacing w:after="200"/>
      </w:pPr>
      <w:r w:rsidRPr="00A84283">
        <w:t>Mr</w:t>
      </w:r>
      <w:r w:rsidR="00CB38B7">
        <w:t> </w:t>
      </w:r>
      <w:r w:rsidRPr="00A84283">
        <w:t>Irvine</w:t>
      </w:r>
      <w:r w:rsidR="00BD4D19">
        <w:t>’</w:t>
      </w:r>
      <w:r w:rsidRPr="00A84283">
        <w:t xml:space="preserve">s speeches </w:t>
      </w:r>
      <w:r w:rsidR="00B55210">
        <w:t xml:space="preserve">and media releases </w:t>
      </w:r>
      <w:r w:rsidRPr="00A84283">
        <w:t>on foreign investment are available on the F</w:t>
      </w:r>
      <w:r w:rsidR="00D82759">
        <w:t xml:space="preserve">oreign Investment </w:t>
      </w:r>
      <w:r w:rsidRPr="00A84283">
        <w:t>R</w:t>
      </w:r>
      <w:r w:rsidR="00D82759">
        <w:t xml:space="preserve">eview </w:t>
      </w:r>
      <w:r w:rsidRPr="00A84283">
        <w:t>B</w:t>
      </w:r>
      <w:r w:rsidR="00D82759">
        <w:t>oard</w:t>
      </w:r>
      <w:r w:rsidRPr="00A84283">
        <w:t xml:space="preserve"> website.</w:t>
      </w:r>
    </w:p>
    <w:p w14:paraId="59687B42" w14:textId="77777777" w:rsidR="00A84283" w:rsidRPr="006D64A2" w:rsidRDefault="004A34D6" w:rsidP="00AD4F91">
      <w:pPr>
        <w:pStyle w:val="Heading2"/>
        <w:spacing w:after="200"/>
      </w:pPr>
      <w:bookmarkStart w:id="45" w:name="_Toc63782923"/>
      <w:bookmarkStart w:id="46" w:name="_Toc75244052"/>
      <w:r>
        <w:t xml:space="preserve">Support to the </w:t>
      </w:r>
      <w:r w:rsidR="00D82759" w:rsidRPr="00A84283">
        <w:t>F</w:t>
      </w:r>
      <w:r w:rsidR="00D82759">
        <w:t xml:space="preserve">oreign Investment </w:t>
      </w:r>
      <w:r w:rsidR="00D82759" w:rsidRPr="00A84283">
        <w:t>R</w:t>
      </w:r>
      <w:r w:rsidR="00D82759">
        <w:t xml:space="preserve">eview </w:t>
      </w:r>
      <w:r w:rsidR="00D82759" w:rsidRPr="00A84283">
        <w:t>B</w:t>
      </w:r>
      <w:r w:rsidR="00D82759">
        <w:t>oard</w:t>
      </w:r>
      <w:bookmarkEnd w:id="45"/>
      <w:bookmarkEnd w:id="46"/>
    </w:p>
    <w:p w14:paraId="184D7044" w14:textId="7FD9BD17" w:rsidR="00A84283" w:rsidRPr="00A84283" w:rsidRDefault="00A84283" w:rsidP="00AD4F91">
      <w:pPr>
        <w:spacing w:after="200"/>
      </w:pPr>
      <w:r w:rsidRPr="00A84283">
        <w:t>The Board is supported in its responsibilities by Treasury</w:t>
      </w:r>
      <w:r w:rsidR="00BD4D19">
        <w:t>’</w:t>
      </w:r>
      <w:r w:rsidRPr="00A84283">
        <w:t>s Foreign Investment Division</w:t>
      </w:r>
      <w:r w:rsidR="00687DE7">
        <w:t>,</w:t>
      </w:r>
      <w:r w:rsidRPr="00A84283">
        <w:t xml:space="preserve"> and </w:t>
      </w:r>
      <w:r w:rsidR="00DC45F3">
        <w:t>the ATO</w:t>
      </w:r>
      <w:r w:rsidR="00BD4D19">
        <w:t>’</w:t>
      </w:r>
      <w:r w:rsidR="00DC45F3">
        <w:t xml:space="preserve">s </w:t>
      </w:r>
      <w:r w:rsidRPr="00A84283">
        <w:t xml:space="preserve">Public Groups and International </w:t>
      </w:r>
      <w:r w:rsidR="00804D71">
        <w:t>business line</w:t>
      </w:r>
      <w:r w:rsidRPr="00A84283">
        <w:t>.</w:t>
      </w:r>
    </w:p>
    <w:p w14:paraId="6DD899A5" w14:textId="77777777" w:rsidR="00A84283" w:rsidRPr="006D64A2" w:rsidRDefault="00A84283" w:rsidP="00AD4F91">
      <w:pPr>
        <w:pStyle w:val="Heading3"/>
        <w:spacing w:after="120"/>
      </w:pPr>
      <w:r w:rsidRPr="00406C1F">
        <w:t>Treasury</w:t>
      </w:r>
    </w:p>
    <w:p w14:paraId="298B50F2" w14:textId="1B05B0B7" w:rsidR="00A84283" w:rsidRPr="00A84283" w:rsidRDefault="003B0DB1" w:rsidP="00AD4F91">
      <w:pPr>
        <w:spacing w:after="200"/>
      </w:pPr>
      <w:r>
        <w:t>The F</w:t>
      </w:r>
      <w:r w:rsidR="00A84283" w:rsidRPr="00A84283">
        <w:t>oreign Investment Divisi</w:t>
      </w:r>
      <w:r w:rsidR="002B71D1">
        <w:t xml:space="preserve">on </w:t>
      </w:r>
      <w:r w:rsidR="004A34D6">
        <w:t>in Treasury</w:t>
      </w:r>
      <w:r w:rsidR="008B6E76">
        <w:t xml:space="preserve"> </w:t>
      </w:r>
      <w:r w:rsidR="002B71D1">
        <w:t>is responsible for advising G</w:t>
      </w:r>
      <w:r w:rsidR="00A84283" w:rsidRPr="00A84283">
        <w:t>overnment on all aspects of foreign investment policy. It is also responsible for the day</w:t>
      </w:r>
      <w:r w:rsidR="00BD4D19">
        <w:noBreakHyphen/>
      </w:r>
      <w:r w:rsidR="00A84283" w:rsidRPr="00A84283">
        <w:t>to</w:t>
      </w:r>
      <w:r w:rsidR="00BD4D19">
        <w:noBreakHyphen/>
      </w:r>
      <w:r w:rsidR="00A84283" w:rsidRPr="00A84283">
        <w:t xml:space="preserve">day administration of the foreign investment framework in relation to business, agriculture and sensitive or complex commercial real estate </w:t>
      </w:r>
      <w:r w:rsidR="00DE0ED5">
        <w:t>application</w:t>
      </w:r>
      <w:r w:rsidR="00DE0ED5" w:rsidRPr="00A84283">
        <w:t>s</w:t>
      </w:r>
      <w:r w:rsidR="00A84283" w:rsidRPr="00A84283">
        <w:t>.</w:t>
      </w:r>
    </w:p>
    <w:p w14:paraId="60AD0D15" w14:textId="77777777" w:rsidR="00A84283" w:rsidRPr="006D64A2" w:rsidRDefault="00A84283" w:rsidP="00AD4F91">
      <w:pPr>
        <w:pStyle w:val="Heading3"/>
        <w:spacing w:after="120"/>
      </w:pPr>
      <w:r w:rsidRPr="00406C1F">
        <w:t>Australian Taxation Office</w:t>
      </w:r>
    </w:p>
    <w:p w14:paraId="69DBCF2B" w14:textId="29D6E3E2" w:rsidR="00A84283" w:rsidRPr="00A84283" w:rsidRDefault="00A84283" w:rsidP="00AD4F91">
      <w:pPr>
        <w:spacing w:after="200"/>
      </w:pPr>
      <w:r w:rsidRPr="00A84283">
        <w:t xml:space="preserve">The </w:t>
      </w:r>
      <w:r w:rsidR="00455855" w:rsidRPr="00A84283">
        <w:t xml:space="preserve">ATO </w:t>
      </w:r>
      <w:r w:rsidR="00455855">
        <w:t>has</w:t>
      </w:r>
      <w:r w:rsidR="0048007F">
        <w:t xml:space="preserve"> </w:t>
      </w:r>
      <w:r w:rsidR="00B85A1C">
        <w:t>administrative responsibility for</w:t>
      </w:r>
      <w:r w:rsidRPr="00A84283">
        <w:t xml:space="preserve"> foreign investment</w:t>
      </w:r>
      <w:r w:rsidR="00B85A1C">
        <w:t xml:space="preserve"> applications relating to</w:t>
      </w:r>
      <w:r w:rsidRPr="00A84283">
        <w:t xml:space="preserve"> residential real estate</w:t>
      </w:r>
      <w:r w:rsidR="001B271F">
        <w:t>,</w:t>
      </w:r>
      <w:r w:rsidR="006659B3">
        <w:t xml:space="preserve"> non</w:t>
      </w:r>
      <w:r w:rsidR="00BD4D19">
        <w:noBreakHyphen/>
      </w:r>
      <w:r w:rsidRPr="00A84283">
        <w:t xml:space="preserve">sensitive commercial real estate and corporate </w:t>
      </w:r>
      <w:r w:rsidR="001B271F">
        <w:t>reorganisatio</w:t>
      </w:r>
      <w:r w:rsidR="00636335">
        <w:t>n</w:t>
      </w:r>
      <w:r w:rsidR="001B271F">
        <w:t>s</w:t>
      </w:r>
      <w:r w:rsidRPr="00A84283">
        <w:t>. The ATO also has responsibility for collect</w:t>
      </w:r>
      <w:r w:rsidR="00B85A1C">
        <w:t>ing</w:t>
      </w:r>
      <w:r w:rsidRPr="00A84283">
        <w:t xml:space="preserve"> all foreign investment application</w:t>
      </w:r>
      <w:r w:rsidR="006659B3">
        <w:t xml:space="preserve"> and vacancy</w:t>
      </w:r>
      <w:r w:rsidRPr="00A84283">
        <w:t xml:space="preserve"> fees, and for developing and administering the registers of foreign ownership of agricultural land, water entitlements and residential land.</w:t>
      </w:r>
    </w:p>
    <w:p w14:paraId="30A79E15" w14:textId="77777777" w:rsidR="00A84283" w:rsidRPr="008342B9" w:rsidRDefault="00A84283" w:rsidP="00AD4F91">
      <w:pPr>
        <w:pStyle w:val="Heading2"/>
        <w:spacing w:after="200"/>
      </w:pPr>
      <w:bookmarkStart w:id="47" w:name="_Toc31296897"/>
      <w:bookmarkStart w:id="48" w:name="_Toc31636015"/>
      <w:bookmarkStart w:id="49" w:name="_Toc31642784"/>
      <w:bookmarkStart w:id="50" w:name="_Toc32247793"/>
      <w:bookmarkStart w:id="51" w:name="_Toc63782924"/>
      <w:bookmarkStart w:id="52" w:name="_Toc75244053"/>
      <w:r w:rsidRPr="008342B9">
        <w:t>Stakeholder engagement</w:t>
      </w:r>
      <w:bookmarkEnd w:id="47"/>
      <w:bookmarkEnd w:id="48"/>
      <w:bookmarkEnd w:id="49"/>
      <w:bookmarkEnd w:id="50"/>
      <w:bookmarkEnd w:id="51"/>
      <w:bookmarkEnd w:id="52"/>
    </w:p>
    <w:p w14:paraId="29684FF7" w14:textId="422A98B2" w:rsidR="00A84283" w:rsidRPr="008342B9" w:rsidRDefault="001F3544" w:rsidP="00F9690E">
      <w:pPr>
        <w:keepNext/>
        <w:spacing w:after="200"/>
      </w:pPr>
      <w:r>
        <w:t xml:space="preserve">With major developments in the foreign investment framework during the reporting period, such as the introduction of the </w:t>
      </w:r>
      <w:r w:rsidR="00B85A1C">
        <w:rPr>
          <w:rFonts w:cstheme="minorHAnsi"/>
        </w:rPr>
        <w:t>zero dollar threshold </w:t>
      </w:r>
      <w:r>
        <w:t>on 29</w:t>
      </w:r>
      <w:r w:rsidR="00B95966">
        <w:t> </w:t>
      </w:r>
      <w:r>
        <w:t>March</w:t>
      </w:r>
      <w:r w:rsidR="00B95966">
        <w:t> </w:t>
      </w:r>
      <w:r>
        <w:t xml:space="preserve">2020, stakeholder </w:t>
      </w:r>
      <w:r w:rsidR="00C71978">
        <w:t xml:space="preserve">engagement </w:t>
      </w:r>
      <w:r>
        <w:t xml:space="preserve">was a key priority for the </w:t>
      </w:r>
      <w:r w:rsidR="002F791C">
        <w:t>Board</w:t>
      </w:r>
      <w:r>
        <w:t>, Treasury and the ATO. Engagement during the period</w:t>
      </w:r>
      <w:r w:rsidR="00933892">
        <w:t xml:space="preserve"> intensified in response to the COVID</w:t>
      </w:r>
      <w:r w:rsidR="00BD4D19">
        <w:noBreakHyphen/>
      </w:r>
      <w:r w:rsidR="00933892">
        <w:t>19 pandemic, which</w:t>
      </w:r>
      <w:r w:rsidR="00A84283" w:rsidRPr="008342B9">
        <w:t>:</w:t>
      </w:r>
    </w:p>
    <w:p w14:paraId="21D08362" w14:textId="77777777" w:rsidR="00A84283" w:rsidRPr="008342B9" w:rsidRDefault="001F3544" w:rsidP="00AD4F91">
      <w:pPr>
        <w:pStyle w:val="Bullet"/>
        <w:spacing w:after="160"/>
      </w:pPr>
      <w:r>
        <w:t xml:space="preserve">helped to convey developments in a timely manner and </w:t>
      </w:r>
      <w:r w:rsidR="00A84283" w:rsidRPr="008342B9">
        <w:t xml:space="preserve">understand perspectives from </w:t>
      </w:r>
      <w:r w:rsidR="004A34D6">
        <w:t>investors, their advisers and the community more broadly</w:t>
      </w:r>
    </w:p>
    <w:p w14:paraId="574D1979" w14:textId="77777777" w:rsidR="00A84283" w:rsidRPr="008342B9" w:rsidRDefault="001F3544" w:rsidP="00AD4F91">
      <w:pPr>
        <w:pStyle w:val="Bullet"/>
        <w:spacing w:after="160"/>
      </w:pPr>
      <w:r>
        <w:t xml:space="preserve">provided a vehicle to </w:t>
      </w:r>
      <w:r w:rsidR="00A84283" w:rsidRPr="008342B9">
        <w:t>educat</w:t>
      </w:r>
      <w:r w:rsidR="00732A38">
        <w:t>e</w:t>
      </w:r>
      <w:r w:rsidR="00A84283" w:rsidRPr="008342B9">
        <w:t xml:space="preserve"> investors and their advisers</w:t>
      </w:r>
    </w:p>
    <w:p w14:paraId="43D70CC0" w14:textId="77777777" w:rsidR="00A84283" w:rsidRPr="008342B9" w:rsidRDefault="00A84283" w:rsidP="00AD4F91">
      <w:pPr>
        <w:pStyle w:val="Bullet"/>
        <w:spacing w:after="160"/>
      </w:pPr>
      <w:r w:rsidRPr="008342B9">
        <w:t>provid</w:t>
      </w:r>
      <w:r w:rsidR="001F3544">
        <w:t>ed</w:t>
      </w:r>
      <w:r w:rsidRPr="008342B9">
        <w:t xml:space="preserve"> </w:t>
      </w:r>
      <w:r w:rsidR="00A4058E">
        <w:t xml:space="preserve">an avenue for </w:t>
      </w:r>
      <w:r w:rsidRPr="008342B9">
        <w:t>feedback on foreign investment policy, processes and reforms</w:t>
      </w:r>
    </w:p>
    <w:p w14:paraId="2C10FAC4" w14:textId="77777777" w:rsidR="00A84283" w:rsidRPr="008342B9" w:rsidRDefault="00A4058E" w:rsidP="00AD4F91">
      <w:pPr>
        <w:pStyle w:val="Bullet"/>
        <w:spacing w:after="160"/>
      </w:pPr>
      <w:r>
        <w:t>provided information on</w:t>
      </w:r>
      <w:r w:rsidR="00A84283" w:rsidRPr="008342B9">
        <w:t xml:space="preserve"> trends and issues </w:t>
      </w:r>
      <w:r>
        <w:t xml:space="preserve">so that </w:t>
      </w:r>
      <w:r w:rsidR="00A84283" w:rsidRPr="008342B9">
        <w:t>the Board remain</w:t>
      </w:r>
      <w:r>
        <w:t>ed</w:t>
      </w:r>
      <w:r w:rsidR="00A84283" w:rsidRPr="008342B9">
        <w:t xml:space="preserve"> informed of emerging issues</w:t>
      </w:r>
    </w:p>
    <w:p w14:paraId="227102F4" w14:textId="77777777" w:rsidR="00C71978" w:rsidRDefault="00732A38" w:rsidP="00C71978">
      <w:pPr>
        <w:pStyle w:val="Bullet"/>
        <w:spacing w:after="160"/>
      </w:pPr>
      <w:r>
        <w:t>ensure</w:t>
      </w:r>
      <w:r w:rsidR="00A4058E">
        <w:t>d</w:t>
      </w:r>
      <w:r>
        <w:t xml:space="preserve"> effective working relationships</w:t>
      </w:r>
      <w:r w:rsidR="004F0824" w:rsidRPr="008342B9">
        <w:t xml:space="preserve"> with Commonwealth, state</w:t>
      </w:r>
      <w:r w:rsidR="00A84283" w:rsidRPr="008342B9">
        <w:t xml:space="preserve"> and territory consult</w:t>
      </w:r>
      <w:r w:rsidR="00DE44EC">
        <w:t>ation</w:t>
      </w:r>
      <w:r w:rsidR="00A84283" w:rsidRPr="008342B9">
        <w:t xml:space="preserve"> partners to assess foreign investment applications.</w:t>
      </w:r>
    </w:p>
    <w:p w14:paraId="648B04A2" w14:textId="77777777" w:rsidR="00E81B91" w:rsidRPr="000D6BE1" w:rsidRDefault="00E81B91" w:rsidP="00E81B91">
      <w:pPr>
        <w:rPr>
          <w:rFonts w:eastAsiaTheme="minorEastAsia"/>
          <w:lang w:val="en-GB" w:eastAsia="en-GB"/>
        </w:rPr>
      </w:pPr>
      <w:r>
        <w:rPr>
          <w:rFonts w:eastAsiaTheme="minorEastAsia"/>
          <w:lang w:val="en-GB" w:eastAsia="en-GB"/>
        </w:rPr>
        <w:t>On 5</w:t>
      </w:r>
      <w:r w:rsidR="00B95966">
        <w:rPr>
          <w:rFonts w:eastAsiaTheme="minorEastAsia"/>
          <w:lang w:val="en-GB" w:eastAsia="en-GB"/>
        </w:rPr>
        <w:t> </w:t>
      </w:r>
      <w:r>
        <w:rPr>
          <w:rFonts w:eastAsiaTheme="minorEastAsia"/>
          <w:lang w:val="en-GB" w:eastAsia="en-GB"/>
        </w:rPr>
        <w:t>June</w:t>
      </w:r>
      <w:r w:rsidR="00B95966">
        <w:rPr>
          <w:rFonts w:eastAsiaTheme="minorEastAsia"/>
          <w:lang w:val="en-GB" w:eastAsia="en-GB"/>
        </w:rPr>
        <w:t> </w:t>
      </w:r>
      <w:r>
        <w:rPr>
          <w:rFonts w:eastAsiaTheme="minorEastAsia"/>
          <w:lang w:val="en-GB" w:eastAsia="en-GB"/>
        </w:rPr>
        <w:t>2020, the Government announced major reforms to the Act and associated regulations. Prior to the announcement, Treasury</w:t>
      </w:r>
      <w:r w:rsidRPr="00895EBF">
        <w:rPr>
          <w:rFonts w:eastAsiaTheme="minorEastAsia"/>
          <w:lang w:val="en-GB" w:eastAsia="en-GB"/>
        </w:rPr>
        <w:t xml:space="preserve"> engaged closely with a range of government agencies</w:t>
      </w:r>
      <w:r>
        <w:rPr>
          <w:rFonts w:eastAsiaTheme="minorEastAsia"/>
          <w:lang w:val="en-GB" w:eastAsia="en-GB"/>
        </w:rPr>
        <w:t>. On announcement, Treasury</w:t>
      </w:r>
      <w:r w:rsidRPr="00CF2BD8">
        <w:rPr>
          <w:rFonts w:eastAsiaTheme="minorEastAsia"/>
          <w:lang w:val="en-GB" w:eastAsia="en-GB"/>
        </w:rPr>
        <w:t xml:space="preserve"> release</w:t>
      </w:r>
      <w:r>
        <w:rPr>
          <w:rFonts w:eastAsiaTheme="minorEastAsia"/>
          <w:lang w:val="en-GB" w:eastAsia="en-GB"/>
        </w:rPr>
        <w:t>d</w:t>
      </w:r>
      <w:r w:rsidRPr="00CF2BD8">
        <w:rPr>
          <w:rFonts w:eastAsiaTheme="minorEastAsia"/>
          <w:lang w:val="en-GB" w:eastAsia="en-GB"/>
        </w:rPr>
        <w:t xml:space="preserve"> a</w:t>
      </w:r>
      <w:r>
        <w:rPr>
          <w:rFonts w:eastAsiaTheme="minorEastAsia"/>
          <w:lang w:val="en-GB" w:eastAsia="en-GB"/>
        </w:rPr>
        <w:t xml:space="preserve"> summary booklet outlining the proposal for each reform measure and commenced targeted consultation with around 750 stakeholders on the proposed reforms to inform, and help shape, the exposure draft legislation and regulations released beyond this reporting period.</w:t>
      </w:r>
    </w:p>
    <w:p w14:paraId="443DAB52" w14:textId="77777777" w:rsidR="00A84283" w:rsidRPr="008342B9" w:rsidRDefault="00A84283" w:rsidP="00D8583C">
      <w:pPr>
        <w:pStyle w:val="Heading3"/>
      </w:pPr>
      <w:r w:rsidRPr="008342B9">
        <w:t>Engagement with foreign investors</w:t>
      </w:r>
    </w:p>
    <w:p w14:paraId="0CE234EB" w14:textId="77777777" w:rsidR="00A84283" w:rsidRPr="00CE47ED" w:rsidRDefault="00A84283" w:rsidP="002E2EFE">
      <w:r w:rsidRPr="00CE47ED">
        <w:t xml:space="preserve">Engagement with foreign investors </w:t>
      </w:r>
      <w:r w:rsidR="00DE26DB" w:rsidRPr="00CE47ED">
        <w:t>occur</w:t>
      </w:r>
      <w:r w:rsidR="00DE26DB">
        <w:t>red</w:t>
      </w:r>
      <w:r w:rsidRPr="00CE47ED">
        <w:t xml:space="preserve"> through</w:t>
      </w:r>
      <w:r w:rsidR="00DE44EC">
        <w:t xml:space="preserve"> a variety of</w:t>
      </w:r>
      <w:r w:rsidRPr="00CE47ED">
        <w:t xml:space="preserve"> channels including:</w:t>
      </w:r>
    </w:p>
    <w:p w14:paraId="5D14E3D3" w14:textId="1BF52119" w:rsidR="00A84283" w:rsidRPr="00CE47ED" w:rsidRDefault="00A84283" w:rsidP="00252661">
      <w:pPr>
        <w:pStyle w:val="Bullet"/>
      </w:pPr>
      <w:r w:rsidRPr="00CE47ED">
        <w:t>the</w:t>
      </w:r>
      <w:r w:rsidR="004F0824" w:rsidRPr="00CE47ED">
        <w:t xml:space="preserve"> </w:t>
      </w:r>
      <w:r w:rsidR="002F791C" w:rsidRPr="00A84283">
        <w:t>F</w:t>
      </w:r>
      <w:r w:rsidR="002F791C">
        <w:t xml:space="preserve">oreign Investment </w:t>
      </w:r>
      <w:r w:rsidR="002F791C" w:rsidRPr="00A84283">
        <w:t>R</w:t>
      </w:r>
      <w:r w:rsidR="002F791C">
        <w:t xml:space="preserve">eview </w:t>
      </w:r>
      <w:r w:rsidR="002F791C" w:rsidRPr="00A84283">
        <w:t>B</w:t>
      </w:r>
      <w:r w:rsidR="002F791C">
        <w:t>oard</w:t>
      </w:r>
      <w:r w:rsidR="004F0824" w:rsidRPr="00CE47ED">
        <w:t xml:space="preserve"> website: </w:t>
      </w:r>
      <w:r w:rsidR="00732A38">
        <w:t>This i</w:t>
      </w:r>
      <w:r w:rsidR="003972E7" w:rsidRPr="00CE47ED">
        <w:t>s the main source of information for foreign investors and in</w:t>
      </w:r>
      <w:r w:rsidR="004F0824" w:rsidRPr="00CE47ED">
        <w:t>cludes up</w:t>
      </w:r>
      <w:r w:rsidR="00BD4D19">
        <w:noBreakHyphen/>
      </w:r>
      <w:r w:rsidRPr="00CE47ED">
        <w:t>to</w:t>
      </w:r>
      <w:r w:rsidR="00BD4D19">
        <w:noBreakHyphen/>
      </w:r>
      <w:r w:rsidRPr="00CE47ED">
        <w:t>date guidance material</w:t>
      </w:r>
      <w:r w:rsidR="00C14EA7">
        <w:t xml:space="preserve">, including </w:t>
      </w:r>
      <w:r w:rsidR="00B83EDE">
        <w:t xml:space="preserve">guidance on </w:t>
      </w:r>
      <w:r w:rsidR="00EC68A4">
        <w:t xml:space="preserve">the </w:t>
      </w:r>
      <w:r w:rsidR="00EC68A4" w:rsidRPr="00B85A1C">
        <w:rPr>
          <w:rFonts w:cstheme="minorHAnsi"/>
        </w:rPr>
        <w:t>zero</w:t>
      </w:r>
      <w:r w:rsidR="00B85A1C">
        <w:rPr>
          <w:rFonts w:cstheme="minorHAnsi"/>
        </w:rPr>
        <w:t xml:space="preserve"> dollar threshold</w:t>
      </w:r>
      <w:r w:rsidR="003972E7" w:rsidRPr="00CE47ED">
        <w:t>. In 2019</w:t>
      </w:r>
      <w:r w:rsidR="00F26A86">
        <w:t>–</w:t>
      </w:r>
      <w:r w:rsidR="003972E7" w:rsidRPr="00CE47ED">
        <w:t>20</w:t>
      </w:r>
      <w:r w:rsidR="004F0824" w:rsidRPr="00CE47ED">
        <w:t xml:space="preserve">, </w:t>
      </w:r>
      <w:r w:rsidR="003972E7" w:rsidRPr="00CE47ED">
        <w:t>there were over 1.3</w:t>
      </w:r>
      <w:r w:rsidR="00420BBC">
        <w:t> </w:t>
      </w:r>
      <w:r w:rsidR="003972E7" w:rsidRPr="00CE47ED">
        <w:t>million page views of informa</w:t>
      </w:r>
      <w:r w:rsidR="00FA2F8C" w:rsidRPr="00CE47ED">
        <w:t xml:space="preserve">tion stored on the </w:t>
      </w:r>
      <w:r w:rsidR="002F791C" w:rsidRPr="00A84283">
        <w:t>F</w:t>
      </w:r>
      <w:r w:rsidR="002F791C">
        <w:t xml:space="preserve">oreign Investment </w:t>
      </w:r>
      <w:r w:rsidR="002F791C" w:rsidRPr="00A84283">
        <w:t>R</w:t>
      </w:r>
      <w:r w:rsidR="002F791C">
        <w:t xml:space="preserve">eview </w:t>
      </w:r>
      <w:r w:rsidR="002F791C" w:rsidRPr="00A84283">
        <w:t>B</w:t>
      </w:r>
      <w:r w:rsidR="002F791C">
        <w:t>oard</w:t>
      </w:r>
      <w:r w:rsidR="00FA2F8C" w:rsidRPr="00CE47ED">
        <w:t xml:space="preserve"> website</w:t>
      </w:r>
      <w:r w:rsidRPr="00CE47ED">
        <w:t>;</w:t>
      </w:r>
    </w:p>
    <w:p w14:paraId="0575084C" w14:textId="77777777" w:rsidR="00A84283" w:rsidRPr="00CE47ED" w:rsidRDefault="00A84283" w:rsidP="00252661">
      <w:pPr>
        <w:pStyle w:val="Bullet"/>
      </w:pPr>
      <w:r w:rsidRPr="00CE47ED">
        <w:t>foreign investment</w:t>
      </w:r>
      <w:r w:rsidR="004F0824" w:rsidRPr="00CE47ED">
        <w:t xml:space="preserve"> email enquiries: In 201</w:t>
      </w:r>
      <w:r w:rsidR="008F3663" w:rsidRPr="00CE47ED">
        <w:t>9</w:t>
      </w:r>
      <w:r w:rsidR="00F26A86">
        <w:t>–</w:t>
      </w:r>
      <w:r w:rsidR="008F3663" w:rsidRPr="00CE47ED">
        <w:t>20</w:t>
      </w:r>
      <w:r w:rsidR="004F0824" w:rsidRPr="00CE47ED">
        <w:t>, the</w:t>
      </w:r>
      <w:r w:rsidRPr="00CE47ED">
        <w:t xml:space="preserve"> ATO replied to over</w:t>
      </w:r>
      <w:r w:rsidR="00AC06EF" w:rsidRPr="00CE47ED">
        <w:t xml:space="preserve"> 12,350</w:t>
      </w:r>
      <w:r w:rsidR="00183FEA">
        <w:t> </w:t>
      </w:r>
      <w:r w:rsidR="00FA2F8C" w:rsidRPr="00CE47ED">
        <w:t>email</w:t>
      </w:r>
      <w:r w:rsidR="005B5ED3" w:rsidRPr="00CE47ED">
        <w:t xml:space="preserve"> enquiries </w:t>
      </w:r>
      <w:r w:rsidRPr="00CE47ED">
        <w:t xml:space="preserve">on foreign investment matters and Treasury responded to over </w:t>
      </w:r>
      <w:r w:rsidR="00AC06EF" w:rsidRPr="00CE47ED">
        <w:t>827</w:t>
      </w:r>
      <w:r w:rsidR="004F0824" w:rsidRPr="00CE47ED">
        <w:t>. Enquiries ranged from general queries about the foreign investment framework</w:t>
      </w:r>
      <w:r w:rsidR="00546663" w:rsidRPr="00CE47ED">
        <w:t xml:space="preserve"> or sectoral trends</w:t>
      </w:r>
      <w:r w:rsidR="004F0824" w:rsidRPr="00CE47ED">
        <w:t xml:space="preserve">, </w:t>
      </w:r>
      <w:r w:rsidR="00546663" w:rsidRPr="00CE47ED">
        <w:t>to specific queries about past, prospective and current applications</w:t>
      </w:r>
      <w:r w:rsidR="00B83EDE">
        <w:t xml:space="preserve"> and developments in the foreign investment framework. For both Treasury and the ATO the number of email enquiries was significantly higher than in previous year</w:t>
      </w:r>
      <w:r w:rsidR="00F62849">
        <w:t>s</w:t>
      </w:r>
      <w:r w:rsidR="00455855">
        <w:t>,</w:t>
      </w:r>
      <w:r w:rsidR="0050490A">
        <w:t xml:space="preserve"> </w:t>
      </w:r>
      <w:r w:rsidR="00455855">
        <w:t>i</w:t>
      </w:r>
      <w:r w:rsidR="004D0166">
        <w:t>ncluding a spike in enquiries f</w:t>
      </w:r>
      <w:r w:rsidR="0050490A">
        <w:t xml:space="preserve">ollowing the introduction of the </w:t>
      </w:r>
      <w:r w:rsidR="00B85A1C">
        <w:rPr>
          <w:rFonts w:cstheme="minorHAnsi"/>
        </w:rPr>
        <w:t>zero dollar threshold </w:t>
      </w:r>
      <w:r w:rsidR="004D0166">
        <w:t>on 29 March 2020</w:t>
      </w:r>
      <w:r w:rsidR="00546663" w:rsidRPr="00CE47ED">
        <w:t>;</w:t>
      </w:r>
    </w:p>
    <w:p w14:paraId="75CBFBA3" w14:textId="00B00438" w:rsidR="00A84283" w:rsidRPr="00CE47ED" w:rsidRDefault="0091397D" w:rsidP="00AC06EF">
      <w:pPr>
        <w:pStyle w:val="Bullet"/>
      </w:pPr>
      <w:r w:rsidRPr="00CE47ED">
        <w:t xml:space="preserve">the </w:t>
      </w:r>
      <w:r w:rsidR="00A84283" w:rsidRPr="00CE47ED">
        <w:t>foreign investment enquiries hotline: In 201</w:t>
      </w:r>
      <w:r w:rsidR="008F3663" w:rsidRPr="00CE47ED">
        <w:t>9</w:t>
      </w:r>
      <w:r w:rsidR="00F26A86">
        <w:t>–</w:t>
      </w:r>
      <w:r w:rsidR="008F3663" w:rsidRPr="00CE47ED">
        <w:t>20</w:t>
      </w:r>
      <w:r w:rsidR="00A84283" w:rsidRPr="00CE47ED">
        <w:t>, the ATO handled over</w:t>
      </w:r>
      <w:r w:rsidR="00AC06EF" w:rsidRPr="00CE47ED">
        <w:t xml:space="preserve"> 16,887</w:t>
      </w:r>
      <w:r w:rsidR="00183FEA">
        <w:t> </w:t>
      </w:r>
      <w:r w:rsidR="00A84283" w:rsidRPr="00CE47ED">
        <w:t>calls on its foreign investment enquiry line</w:t>
      </w:r>
      <w:r w:rsidR="00AC06EF" w:rsidRPr="00CE47ED">
        <w:t xml:space="preserve"> and 1,805</w:t>
      </w:r>
      <w:r w:rsidR="00183FEA">
        <w:t> </w:t>
      </w:r>
      <w:r w:rsidR="00AC06EF" w:rsidRPr="00CE47ED">
        <w:t xml:space="preserve">website enquiries via its ato.gov.au </w:t>
      </w:r>
      <w:r w:rsidR="00BD4D19">
        <w:t>‘</w:t>
      </w:r>
      <w:r w:rsidR="00AC06EF" w:rsidRPr="00CE47ED">
        <w:t xml:space="preserve">Ask Alex </w:t>
      </w:r>
      <w:r w:rsidR="00BD4D19">
        <w:t>‘</w:t>
      </w:r>
      <w:r w:rsidR="006225EA">
        <w:t xml:space="preserve"> — </w:t>
      </w:r>
      <w:r w:rsidR="00AC06EF" w:rsidRPr="00CE47ED">
        <w:t>ATO virtual assistant.</w:t>
      </w:r>
      <w:r w:rsidR="00A84283" w:rsidRPr="00CE47ED">
        <w:t xml:space="preserve"> Treasury handled over</w:t>
      </w:r>
      <w:r w:rsidR="00AC06EF" w:rsidRPr="00CE47ED">
        <w:t xml:space="preserve"> 3,830</w:t>
      </w:r>
      <w:r w:rsidR="00183FEA">
        <w:t> </w:t>
      </w:r>
      <w:r w:rsidR="00A84283" w:rsidRPr="00CE47ED">
        <w:t xml:space="preserve">calls. </w:t>
      </w:r>
      <w:r w:rsidR="00B83EDE">
        <w:t xml:space="preserve">For Treasury this was a significant increase, </w:t>
      </w:r>
      <w:r w:rsidR="0050490A">
        <w:t>and as with email enquiries,</w:t>
      </w:r>
      <w:r w:rsidR="00B83EDE">
        <w:t xml:space="preserve"> a spike </w:t>
      </w:r>
      <w:r w:rsidR="0050490A">
        <w:t>in phone enquiries occurred</w:t>
      </w:r>
      <w:r w:rsidR="00B83EDE">
        <w:t xml:space="preserve"> following the introduction of the </w:t>
      </w:r>
      <w:r w:rsidR="004D0166">
        <w:rPr>
          <w:rFonts w:cstheme="minorHAnsi"/>
        </w:rPr>
        <w:t>zero dollar threshold </w:t>
      </w:r>
      <w:r w:rsidR="008D0039">
        <w:t xml:space="preserve">on 29 March 2020 </w:t>
      </w:r>
      <w:r w:rsidR="0050426B">
        <w:t xml:space="preserve">in response to </w:t>
      </w:r>
      <w:r w:rsidR="0067412E">
        <w:t xml:space="preserve">the </w:t>
      </w:r>
      <w:r w:rsidR="0050426B">
        <w:t>COVID</w:t>
      </w:r>
      <w:r w:rsidR="00BD4D19">
        <w:noBreakHyphen/>
      </w:r>
      <w:r w:rsidR="0050426B">
        <w:t>19</w:t>
      </w:r>
      <w:r w:rsidR="0067412E">
        <w:t xml:space="preserve"> pandemic</w:t>
      </w:r>
      <w:r w:rsidR="00A84283" w:rsidRPr="00CE47ED">
        <w:t>; and</w:t>
      </w:r>
    </w:p>
    <w:p w14:paraId="2D81869D" w14:textId="48597487" w:rsidR="00A84283" w:rsidRPr="0074386D" w:rsidRDefault="00A84283" w:rsidP="00252661">
      <w:pPr>
        <w:pStyle w:val="Bullet"/>
      </w:pPr>
      <w:r w:rsidRPr="0074386D">
        <w:t>face</w:t>
      </w:r>
      <w:r w:rsidR="00BD4D19">
        <w:noBreakHyphen/>
      </w:r>
      <w:r w:rsidR="0091397D" w:rsidRPr="0074386D">
        <w:t>to</w:t>
      </w:r>
      <w:r w:rsidR="00BD4D19">
        <w:noBreakHyphen/>
      </w:r>
      <w:r w:rsidR="0091397D" w:rsidRPr="0074386D">
        <w:t xml:space="preserve">face </w:t>
      </w:r>
      <w:r w:rsidR="00DE44EC">
        <w:t>meetings</w:t>
      </w:r>
      <w:r w:rsidR="00DE44EC" w:rsidRPr="0074386D">
        <w:t xml:space="preserve"> </w:t>
      </w:r>
      <w:r w:rsidR="0091397D" w:rsidRPr="0074386D">
        <w:t xml:space="preserve">and webinars </w:t>
      </w:r>
      <w:r w:rsidRPr="0074386D">
        <w:t xml:space="preserve">with stakeholders: </w:t>
      </w:r>
      <w:r w:rsidR="0050490A">
        <w:t>For the bulk of the financial year, a range of meetings</w:t>
      </w:r>
      <w:r w:rsidR="008D0039">
        <w:t xml:space="preserve"> on varying topics</w:t>
      </w:r>
      <w:r w:rsidR="0050490A">
        <w:t xml:space="preserve"> were held face</w:t>
      </w:r>
      <w:r w:rsidR="00BD4D19">
        <w:noBreakHyphen/>
      </w:r>
      <w:r w:rsidR="0050490A">
        <w:t>to</w:t>
      </w:r>
      <w:r w:rsidR="00BD4D19">
        <w:noBreakHyphen/>
      </w:r>
      <w:r w:rsidR="0050490A">
        <w:t xml:space="preserve">face. The onset of </w:t>
      </w:r>
      <w:r w:rsidR="00BD04C6">
        <w:t xml:space="preserve">the </w:t>
      </w:r>
      <w:r w:rsidR="003E1512" w:rsidRPr="0074386D">
        <w:t>COVID</w:t>
      </w:r>
      <w:r w:rsidR="00BD4D19">
        <w:noBreakHyphen/>
      </w:r>
      <w:r w:rsidR="00C71978">
        <w:t>19</w:t>
      </w:r>
      <w:r w:rsidR="00BD04C6">
        <w:t xml:space="preserve"> pandemic</w:t>
      </w:r>
      <w:r w:rsidR="0050490A">
        <w:t>, however,</w:t>
      </w:r>
      <w:r w:rsidR="00C71978" w:rsidRPr="0074386D">
        <w:t xml:space="preserve"> </w:t>
      </w:r>
      <w:r w:rsidR="009E6469">
        <w:t xml:space="preserve">led to a rapid shift in </w:t>
      </w:r>
      <w:r w:rsidR="00DE26DB">
        <w:t xml:space="preserve">how </w:t>
      </w:r>
      <w:r w:rsidR="009E6469">
        <w:t xml:space="preserve">meetings were </w:t>
      </w:r>
      <w:r w:rsidR="00DE26DB">
        <w:t xml:space="preserve">convened </w:t>
      </w:r>
      <w:r w:rsidR="00DE44EC">
        <w:t xml:space="preserve">with stakeholders. Webinars, </w:t>
      </w:r>
      <w:r w:rsidR="009E6469">
        <w:t xml:space="preserve">online forums </w:t>
      </w:r>
      <w:r w:rsidR="00DE44EC">
        <w:t xml:space="preserve">and telephone conferences became the norm and </w:t>
      </w:r>
      <w:r w:rsidR="009E6469">
        <w:t xml:space="preserve">provided </w:t>
      </w:r>
      <w:r w:rsidR="00DE26DB">
        <w:t xml:space="preserve">platforms </w:t>
      </w:r>
      <w:r w:rsidR="00AB0C54" w:rsidRPr="0074386D">
        <w:t xml:space="preserve">to communicate with </w:t>
      </w:r>
      <w:r w:rsidRPr="0074386D">
        <w:t>stakeholder</w:t>
      </w:r>
      <w:r w:rsidR="001F031F">
        <w:t>s,</w:t>
      </w:r>
      <w:r w:rsidR="00DE26DB">
        <w:t xml:space="preserve"> ensur</w:t>
      </w:r>
      <w:r w:rsidR="001F031F">
        <w:t>ing</w:t>
      </w:r>
      <w:r w:rsidR="00DE26DB">
        <w:t xml:space="preserve"> that </w:t>
      </w:r>
      <w:r w:rsidR="0074386D" w:rsidRPr="0074386D">
        <w:t xml:space="preserve">communication lines </w:t>
      </w:r>
      <w:r w:rsidR="00DE26DB">
        <w:t xml:space="preserve">remained </w:t>
      </w:r>
      <w:r w:rsidR="0074386D" w:rsidRPr="0074386D">
        <w:t>open, even when communities were in lock</w:t>
      </w:r>
      <w:r w:rsidR="00BD4D19">
        <w:noBreakHyphen/>
      </w:r>
      <w:r w:rsidR="0074386D" w:rsidRPr="0074386D">
        <w:t>down</w:t>
      </w:r>
      <w:r w:rsidRPr="0074386D">
        <w:t>.</w:t>
      </w:r>
    </w:p>
    <w:p w14:paraId="5D160C2D" w14:textId="77777777" w:rsidR="00A84283" w:rsidRPr="008342B9" w:rsidRDefault="00A84283">
      <w:pPr>
        <w:pStyle w:val="Heading3"/>
      </w:pPr>
      <w:r w:rsidRPr="008342B9">
        <w:t>Engagement with consult</w:t>
      </w:r>
      <w:r w:rsidR="00226D8B" w:rsidRPr="008342B9">
        <w:t>ation</w:t>
      </w:r>
      <w:r w:rsidRPr="008342B9">
        <w:t xml:space="preserve"> partners</w:t>
      </w:r>
      <w:r w:rsidR="00F768C1">
        <w:t xml:space="preserve"> and other government agencies</w:t>
      </w:r>
    </w:p>
    <w:p w14:paraId="31DDFDB4" w14:textId="77777777" w:rsidR="00A84283" w:rsidRPr="008342B9" w:rsidRDefault="00A84283" w:rsidP="002E2EFE">
      <w:r w:rsidRPr="008342B9">
        <w:t xml:space="preserve">Given the breadth of industries and transactions subject to the foreign investment framework, </w:t>
      </w:r>
      <w:r w:rsidR="00DE44EC">
        <w:t>Treasury and the ATO rel</w:t>
      </w:r>
      <w:r w:rsidR="008D0039">
        <w:t>y</w:t>
      </w:r>
      <w:r w:rsidR="00DE44EC" w:rsidRPr="008342B9">
        <w:t xml:space="preserve"> </w:t>
      </w:r>
      <w:r w:rsidRPr="008342B9">
        <w:t>on strong relationships with key consult</w:t>
      </w:r>
      <w:r w:rsidR="00226D8B" w:rsidRPr="008342B9">
        <w:t>ation</w:t>
      </w:r>
      <w:r w:rsidRPr="008342B9">
        <w:t xml:space="preserve"> partners.</w:t>
      </w:r>
    </w:p>
    <w:p w14:paraId="2C5AB6B0" w14:textId="68B1D49F" w:rsidR="00CB1B6A" w:rsidRPr="008342B9" w:rsidRDefault="00DE44EC" w:rsidP="002E2EFE">
      <w:r>
        <w:t xml:space="preserve">During the reporting period, </w:t>
      </w:r>
      <w:r w:rsidR="00CB1B6A" w:rsidRPr="008342B9">
        <w:t xml:space="preserve">Treasury </w:t>
      </w:r>
      <w:r>
        <w:t xml:space="preserve">continued to meet with </w:t>
      </w:r>
      <w:r w:rsidR="00CB1B6A" w:rsidRPr="008342B9">
        <w:t>consult</w:t>
      </w:r>
      <w:r>
        <w:t>ation</w:t>
      </w:r>
      <w:r w:rsidR="00CB1B6A" w:rsidRPr="008342B9">
        <w:t xml:space="preserve"> partner</w:t>
      </w:r>
      <w:r>
        <w:t>s</w:t>
      </w:r>
      <w:r w:rsidR="00CB1B6A" w:rsidRPr="008342B9">
        <w:t xml:space="preserve"> </w:t>
      </w:r>
      <w:r>
        <w:t>at both senior and operational levels. S</w:t>
      </w:r>
      <w:r w:rsidR="00CB1B6A" w:rsidRPr="008342B9">
        <w:t>econdment arrangements</w:t>
      </w:r>
      <w:r>
        <w:t xml:space="preserve"> with</w:t>
      </w:r>
      <w:r w:rsidR="00CB1B6A" w:rsidRPr="008342B9">
        <w:t xml:space="preserve"> </w:t>
      </w:r>
      <w:r w:rsidR="004A3092">
        <w:t>consultation partners</w:t>
      </w:r>
      <w:r w:rsidR="002F6157">
        <w:t>,</w:t>
      </w:r>
      <w:r w:rsidR="004A3092">
        <w:t xml:space="preserve"> </w:t>
      </w:r>
      <w:r w:rsidR="00CB1B6A" w:rsidRPr="008342B9">
        <w:t>including the ATO, the Inspector</w:t>
      </w:r>
      <w:r w:rsidR="00BD4D19">
        <w:noBreakHyphen/>
      </w:r>
      <w:r w:rsidR="00CB1B6A" w:rsidRPr="008342B9">
        <w:t>General of Taxation</w:t>
      </w:r>
      <w:r w:rsidR="00F768C1">
        <w:t>,</w:t>
      </w:r>
      <w:r w:rsidR="00CB1B6A" w:rsidRPr="008342B9">
        <w:t xml:space="preserve"> the Critical Infrastructure Centre</w:t>
      </w:r>
      <w:r>
        <w:t xml:space="preserve"> </w:t>
      </w:r>
      <w:r w:rsidR="00F768C1">
        <w:t xml:space="preserve">and the Department of Defence </w:t>
      </w:r>
      <w:r w:rsidR="002F6157">
        <w:t>continued and</w:t>
      </w:r>
      <w:r>
        <w:t xml:space="preserve"> provid</w:t>
      </w:r>
      <w:r w:rsidR="002F6157">
        <w:t>ed</w:t>
      </w:r>
      <w:r>
        <w:t xml:space="preserve"> an </w:t>
      </w:r>
      <w:r w:rsidR="002F6157">
        <w:t xml:space="preserve">important </w:t>
      </w:r>
      <w:r>
        <w:t>avenue for cross</w:t>
      </w:r>
      <w:r w:rsidR="00BD4D19">
        <w:noBreakHyphen/>
      </w:r>
      <w:r>
        <w:t>fertilisation of views and practices</w:t>
      </w:r>
      <w:r w:rsidR="00CB1B6A" w:rsidRPr="008342B9">
        <w:t xml:space="preserve">. </w:t>
      </w:r>
    </w:p>
    <w:p w14:paraId="2F1F3EAD" w14:textId="77777777" w:rsidR="00F768C1" w:rsidRDefault="00F768C1" w:rsidP="002E2EFE">
      <w:r>
        <w:t xml:space="preserve">The benefit of these arrangements was particularly evident in </w:t>
      </w:r>
      <w:r w:rsidR="008342B9" w:rsidRPr="008342B9">
        <w:t xml:space="preserve">the second half of </w:t>
      </w:r>
      <w:r w:rsidR="00D20D14" w:rsidRPr="008342B9">
        <w:t>2019</w:t>
      </w:r>
      <w:r w:rsidR="00F26A86">
        <w:t>–</w:t>
      </w:r>
      <w:r w:rsidR="00D20D14" w:rsidRPr="008342B9">
        <w:t>20</w:t>
      </w:r>
      <w:r>
        <w:t xml:space="preserve">, following the introduction of </w:t>
      </w:r>
      <w:r w:rsidR="0054452F">
        <w:t xml:space="preserve">the </w:t>
      </w:r>
      <w:r w:rsidR="0054452F" w:rsidRPr="008D0039">
        <w:rPr>
          <w:rFonts w:cstheme="minorHAnsi"/>
        </w:rPr>
        <w:t>zero</w:t>
      </w:r>
      <w:r w:rsidR="008D0039">
        <w:rPr>
          <w:rFonts w:cstheme="minorHAnsi"/>
        </w:rPr>
        <w:t xml:space="preserve"> dollar threshold</w:t>
      </w:r>
      <w:r w:rsidR="0054452F">
        <w:rPr>
          <w:rFonts w:cstheme="minorHAnsi"/>
        </w:rPr>
        <w:t> </w:t>
      </w:r>
      <w:r w:rsidR="0054452F">
        <w:t>when</w:t>
      </w:r>
      <w:r>
        <w:t xml:space="preserve"> consultation partners were called on in a variety of ways to help with the elevated case load and the need to streamline processes to facilitate timely consideration of applications.</w:t>
      </w:r>
      <w:r w:rsidR="00D20D14" w:rsidRPr="008342B9">
        <w:t xml:space="preserve"> </w:t>
      </w:r>
    </w:p>
    <w:p w14:paraId="5CB44A4A" w14:textId="0DFC16BB" w:rsidR="00C550DA" w:rsidRPr="008342B9" w:rsidRDefault="00F768C1" w:rsidP="002E2EFE">
      <w:r>
        <w:t xml:space="preserve">In addition, with the introduction of </w:t>
      </w:r>
      <w:r w:rsidR="0054452F">
        <w:t xml:space="preserve">the </w:t>
      </w:r>
      <w:r w:rsidR="0054452F" w:rsidRPr="008D0039">
        <w:rPr>
          <w:rFonts w:cstheme="minorHAnsi"/>
        </w:rPr>
        <w:t>zero</w:t>
      </w:r>
      <w:r w:rsidR="008D0039">
        <w:rPr>
          <w:rFonts w:cstheme="minorHAnsi"/>
        </w:rPr>
        <w:t xml:space="preserve"> dollar threshold</w:t>
      </w:r>
      <w:r>
        <w:t>, around 26</w:t>
      </w:r>
      <w:r w:rsidR="004455E9">
        <w:t> </w:t>
      </w:r>
      <w:r>
        <w:t>officers from Australian Government agencies</w:t>
      </w:r>
      <w:r w:rsidR="004A3092">
        <w:t xml:space="preserve">, including the </w:t>
      </w:r>
      <w:r w:rsidR="004A3092" w:rsidRPr="008342B9">
        <w:t>Australian Competition and Consumer Commission</w:t>
      </w:r>
      <w:r w:rsidR="004A3092">
        <w:t>, Attorney</w:t>
      </w:r>
      <w:r w:rsidR="00BD4D19">
        <w:noBreakHyphen/>
      </w:r>
      <w:r w:rsidR="004A3092">
        <w:t>General</w:t>
      </w:r>
      <w:r w:rsidR="00BD4D19">
        <w:t>’</w:t>
      </w:r>
      <w:r w:rsidR="004A3092">
        <w:t>s Department, the Productivity Commission, the Australian Securities and Investments Commission and the Australian Bureau of Statistics</w:t>
      </w:r>
      <w:r>
        <w:t xml:space="preserve"> were </w:t>
      </w:r>
      <w:r w:rsidR="004A3092">
        <w:t xml:space="preserve">deployed </w:t>
      </w:r>
      <w:r>
        <w:t xml:space="preserve">to Treasury to assist with </w:t>
      </w:r>
      <w:r w:rsidR="004A3092">
        <w:t xml:space="preserve">administration of the </w:t>
      </w:r>
      <w:r w:rsidR="00461148">
        <w:t xml:space="preserve">foreign investment </w:t>
      </w:r>
      <w:r w:rsidR="004A3092">
        <w:t xml:space="preserve">regime. </w:t>
      </w:r>
      <w:r w:rsidR="0050426B">
        <w:t xml:space="preserve">This was to better meet </w:t>
      </w:r>
      <w:r w:rsidR="00C061DB">
        <w:t>the increased demand</w:t>
      </w:r>
      <w:r w:rsidR="0050426B">
        <w:t xml:space="preserve"> arising as a result of </w:t>
      </w:r>
      <w:r w:rsidR="0067412E">
        <w:t xml:space="preserve">the </w:t>
      </w:r>
      <w:r w:rsidR="0050426B">
        <w:t>COVID</w:t>
      </w:r>
      <w:r w:rsidR="00BD4D19">
        <w:noBreakHyphen/>
      </w:r>
      <w:r w:rsidR="0050426B">
        <w:t>19</w:t>
      </w:r>
      <w:r w:rsidR="0067412E">
        <w:t xml:space="preserve"> pandemic</w:t>
      </w:r>
      <w:r w:rsidR="0050426B">
        <w:t>.</w:t>
      </w:r>
    </w:p>
    <w:p w14:paraId="2013F7C7" w14:textId="77777777" w:rsidR="005018DD" w:rsidRDefault="005018DD">
      <w:pPr>
        <w:spacing w:after="0" w:line="240" w:lineRule="auto"/>
        <w:jc w:val="left"/>
        <w:rPr>
          <w:rFonts w:ascii="Calibri" w:hAnsi="Calibri" w:cs="Arial"/>
          <w:b/>
          <w:bCs/>
          <w:iCs/>
          <w:color w:val="477B59" w:themeColor="accent1"/>
          <w:sz w:val="28"/>
          <w:szCs w:val="28"/>
        </w:rPr>
      </w:pPr>
      <w:bookmarkStart w:id="53" w:name="_Toc31296898"/>
      <w:bookmarkStart w:id="54" w:name="_Toc31636016"/>
      <w:bookmarkStart w:id="55" w:name="_Toc31642785"/>
      <w:bookmarkStart w:id="56" w:name="_Toc32247794"/>
      <w:bookmarkStart w:id="57" w:name="_Toc63782925"/>
      <w:r>
        <w:br w:type="page"/>
      </w:r>
    </w:p>
    <w:p w14:paraId="0B92D1C0" w14:textId="0AEC2354" w:rsidR="00A84283" w:rsidRPr="00820C89" w:rsidRDefault="00A84283" w:rsidP="00406C1F">
      <w:pPr>
        <w:pStyle w:val="Heading2"/>
      </w:pPr>
      <w:bookmarkStart w:id="58" w:name="_Toc75244054"/>
      <w:r w:rsidRPr="00F01C22">
        <w:t>Operational costs</w:t>
      </w:r>
      <w:bookmarkEnd w:id="53"/>
      <w:bookmarkEnd w:id="54"/>
      <w:bookmarkEnd w:id="55"/>
      <w:bookmarkEnd w:id="56"/>
      <w:bookmarkEnd w:id="57"/>
      <w:bookmarkEnd w:id="58"/>
    </w:p>
    <w:p w14:paraId="1A857690" w14:textId="77777777" w:rsidR="006F54CA" w:rsidRPr="00F01C22" w:rsidRDefault="005C2467" w:rsidP="00820C89">
      <w:r w:rsidRPr="00820C89">
        <w:t xml:space="preserve">The operational costs reported here only represent a proportion of the costs associated with the operation of the foreign investment system. </w:t>
      </w:r>
      <w:r w:rsidR="0044089C" w:rsidRPr="00820C89">
        <w:t xml:space="preserve">Broader operational </w:t>
      </w:r>
      <w:r w:rsidR="00A007B6" w:rsidRPr="00820C89">
        <w:t xml:space="preserve">costs not reported here include the costs associated with the operations of consultation partners assisting Treasury and the ATO in </w:t>
      </w:r>
      <w:r w:rsidR="001F031F">
        <w:t>providing advice to decision ma</w:t>
      </w:r>
      <w:r w:rsidR="00A007B6" w:rsidRPr="00820C89">
        <w:t xml:space="preserve">kers. </w:t>
      </w:r>
    </w:p>
    <w:p w14:paraId="0D22348D" w14:textId="77777777" w:rsidR="00A84283" w:rsidRPr="00820C89" w:rsidRDefault="00A84283" w:rsidP="00814EFB">
      <w:pPr>
        <w:keepNext/>
        <w:tabs>
          <w:tab w:val="right" w:pos="7513"/>
        </w:tabs>
        <w:rPr>
          <w:b/>
          <w:color w:val="auto"/>
        </w:rPr>
      </w:pPr>
      <w:r w:rsidRPr="00F01C22">
        <w:rPr>
          <w:b/>
        </w:rPr>
        <w:t xml:space="preserve">The </w:t>
      </w:r>
      <w:r w:rsidR="0091397D" w:rsidRPr="00F01C22">
        <w:rPr>
          <w:b/>
        </w:rPr>
        <w:t>Board</w:t>
      </w:r>
      <w:r w:rsidR="00E11320" w:rsidRPr="00820C89">
        <w:rPr>
          <w:b/>
        </w:rPr>
        <w:tab/>
      </w:r>
      <w:r w:rsidRPr="00820C89">
        <w:rPr>
          <w:b/>
        </w:rPr>
        <w:t>$0.</w:t>
      </w:r>
      <w:r w:rsidR="009516B6" w:rsidRPr="00820C89">
        <w:rPr>
          <w:b/>
        </w:rPr>
        <w:t>6</w:t>
      </w:r>
      <w:r w:rsidRPr="00820C89">
        <w:rPr>
          <w:b/>
        </w:rPr>
        <w:t xml:space="preserve"> million</w:t>
      </w:r>
    </w:p>
    <w:p w14:paraId="7446CE93" w14:textId="065DBF40" w:rsidR="00A84283" w:rsidRPr="00820C89" w:rsidRDefault="00A84283" w:rsidP="002E2EFE">
      <w:r w:rsidRPr="00820C89">
        <w:t>Remuneration of Board members in 201</w:t>
      </w:r>
      <w:r w:rsidR="008F3663" w:rsidRPr="00820C89">
        <w:t>9</w:t>
      </w:r>
      <w:r w:rsidR="00F26A86">
        <w:t>–</w:t>
      </w:r>
      <w:r w:rsidR="008F3663" w:rsidRPr="00820C89">
        <w:t>20</w:t>
      </w:r>
      <w:r w:rsidR="00AD3A26" w:rsidRPr="00820C89">
        <w:t xml:space="preserve"> was around </w:t>
      </w:r>
      <w:r w:rsidR="00703C73" w:rsidRPr="00820C89">
        <w:t>83</w:t>
      </w:r>
      <w:r w:rsidR="003A0CD8">
        <w:t> </w:t>
      </w:r>
      <w:r w:rsidRPr="00820C89">
        <w:t>per</w:t>
      </w:r>
      <w:r w:rsidR="003A0CD8">
        <w:t> </w:t>
      </w:r>
      <w:r w:rsidRPr="00820C89">
        <w:t>cent of total Board expenses, with the remainder expended on travel, car hire and incidentals. Board members</w:t>
      </w:r>
      <w:r w:rsidR="00BD4D19">
        <w:t>’</w:t>
      </w:r>
      <w:r w:rsidRPr="00820C89">
        <w:t xml:space="preserve"> fees are determined by the Remuneration Tribunal.</w:t>
      </w:r>
    </w:p>
    <w:p w14:paraId="5B6FD6EF" w14:textId="77777777" w:rsidR="00A84283" w:rsidRPr="00820C89" w:rsidRDefault="00A84283" w:rsidP="00E238D0">
      <w:pPr>
        <w:keepNext/>
        <w:tabs>
          <w:tab w:val="right" w:pos="7513"/>
        </w:tabs>
        <w:rPr>
          <w:b/>
        </w:rPr>
      </w:pPr>
      <w:r w:rsidRPr="00820C89">
        <w:rPr>
          <w:b/>
        </w:rPr>
        <w:t>Treasury</w:t>
      </w:r>
      <w:r w:rsidR="00470342" w:rsidRPr="00820C89">
        <w:rPr>
          <w:b/>
        </w:rPr>
        <w:tab/>
      </w:r>
      <w:r w:rsidRPr="00820C89">
        <w:rPr>
          <w:b/>
        </w:rPr>
        <w:t>$</w:t>
      </w:r>
      <w:r w:rsidR="009516B6" w:rsidRPr="00820C89">
        <w:rPr>
          <w:b/>
        </w:rPr>
        <w:t>11</w:t>
      </w:r>
      <w:r w:rsidRPr="00820C89">
        <w:rPr>
          <w:b/>
        </w:rPr>
        <w:t>.</w:t>
      </w:r>
      <w:r w:rsidR="009516B6" w:rsidRPr="00820C89">
        <w:rPr>
          <w:b/>
        </w:rPr>
        <w:t>5</w:t>
      </w:r>
      <w:r w:rsidRPr="00820C89">
        <w:rPr>
          <w:b/>
        </w:rPr>
        <w:t xml:space="preserve"> million</w:t>
      </w:r>
    </w:p>
    <w:p w14:paraId="6C9580A3" w14:textId="781507A7" w:rsidR="00A84283" w:rsidRPr="00820C89" w:rsidRDefault="00AD3A26" w:rsidP="002E2EFE">
      <w:r w:rsidRPr="00820C89">
        <w:t>Expenses for Treasury</w:t>
      </w:r>
      <w:r w:rsidR="00BD4D19">
        <w:t>’</w:t>
      </w:r>
      <w:r w:rsidR="00A84283" w:rsidRPr="00820C89">
        <w:t>s Foreign Investment Division mainly reflect employee salary and administrati</w:t>
      </w:r>
      <w:r w:rsidR="008F3663" w:rsidRPr="00820C89">
        <w:t>ve costs. Over the course of 2019</w:t>
      </w:r>
      <w:r w:rsidR="00F26A86">
        <w:t>–</w:t>
      </w:r>
      <w:r w:rsidR="008F3663" w:rsidRPr="00820C89">
        <w:t>20</w:t>
      </w:r>
      <w:r w:rsidR="00A84283" w:rsidRPr="00820C89">
        <w:t xml:space="preserve">, </w:t>
      </w:r>
      <w:r w:rsidR="00687DE7" w:rsidRPr="00820C89">
        <w:t xml:space="preserve">the Division </w:t>
      </w:r>
      <w:r w:rsidR="00A84283" w:rsidRPr="00820C89">
        <w:t>employed</w:t>
      </w:r>
      <w:r w:rsidRPr="00820C89">
        <w:t xml:space="preserve"> an average of </w:t>
      </w:r>
      <w:r w:rsidR="00703C73" w:rsidRPr="00820C89">
        <w:t>67.5</w:t>
      </w:r>
      <w:r w:rsidR="009C0C48" w:rsidRPr="00820C89">
        <w:t> </w:t>
      </w:r>
      <w:r w:rsidR="00A84283" w:rsidRPr="00820C89">
        <w:t>full</w:t>
      </w:r>
      <w:r w:rsidR="00BD4D19">
        <w:noBreakHyphen/>
      </w:r>
      <w:r w:rsidR="00A84283" w:rsidRPr="00820C89">
        <w:t>time equivalent Treasury staff, and a number of external contractors and consultants</w:t>
      </w:r>
      <w:r w:rsidR="00C023EB" w:rsidRPr="00820C89">
        <w:t>,</w:t>
      </w:r>
      <w:r w:rsidR="00A84283" w:rsidRPr="00820C89">
        <w:t xml:space="preserve"> including lawyers from the Australian Government Solicitor</w:t>
      </w:r>
      <w:r w:rsidR="007471D8" w:rsidRPr="00820C89">
        <w:t xml:space="preserve">, and seconded staff from </w:t>
      </w:r>
      <w:r w:rsidR="002B3C03">
        <w:t>its</w:t>
      </w:r>
      <w:r w:rsidR="007471D8" w:rsidRPr="00820C89">
        <w:t xml:space="preserve"> consultation partners</w:t>
      </w:r>
      <w:r w:rsidR="00A84283" w:rsidRPr="00820C89">
        <w:t xml:space="preserve">. </w:t>
      </w:r>
      <w:r w:rsidR="00FB6A8C" w:rsidRPr="00820C89">
        <w:t>In 2019</w:t>
      </w:r>
      <w:r w:rsidR="00F26A86">
        <w:t>–</w:t>
      </w:r>
      <w:r w:rsidR="00FB6A8C" w:rsidRPr="00820C89">
        <w:t>20</w:t>
      </w:r>
      <w:r w:rsidR="00DD68A4">
        <w:t>,</w:t>
      </w:r>
      <w:r w:rsidR="00FB6A8C" w:rsidRPr="00820C89">
        <w:t xml:space="preserve"> the Foreign Investment Division established a presence in the Treasury Melbourne Office. This is in </w:t>
      </w:r>
      <w:r w:rsidR="007471D8" w:rsidRPr="00820C89">
        <w:t xml:space="preserve">addition to staff located in </w:t>
      </w:r>
      <w:r w:rsidR="00422C1D" w:rsidRPr="00820C89">
        <w:t>Canberra</w:t>
      </w:r>
      <w:r w:rsidR="007471D8" w:rsidRPr="00820C89">
        <w:t xml:space="preserve"> and</w:t>
      </w:r>
      <w:r w:rsidR="00422C1D" w:rsidRPr="00820C89">
        <w:t> </w:t>
      </w:r>
      <w:r w:rsidR="00A84283" w:rsidRPr="00820C89">
        <w:t>Sydney.</w:t>
      </w:r>
    </w:p>
    <w:p w14:paraId="3E74EA0C" w14:textId="77777777" w:rsidR="00A84283" w:rsidRPr="00820C89" w:rsidRDefault="00A84283" w:rsidP="00F649A4">
      <w:pPr>
        <w:keepNext/>
        <w:tabs>
          <w:tab w:val="right" w:pos="7513"/>
        </w:tabs>
        <w:rPr>
          <w:b/>
        </w:rPr>
      </w:pPr>
      <w:r w:rsidRPr="00820C89">
        <w:rPr>
          <w:b/>
        </w:rPr>
        <w:t>The Australian Taxation Office</w:t>
      </w:r>
      <w:r w:rsidRPr="00820C89">
        <w:rPr>
          <w:b/>
        </w:rPr>
        <w:tab/>
        <w:t>$</w:t>
      </w:r>
      <w:r w:rsidR="00BC2CDA" w:rsidRPr="00820C89">
        <w:rPr>
          <w:b/>
        </w:rPr>
        <w:t>7.6</w:t>
      </w:r>
      <w:r w:rsidRPr="00820C89">
        <w:rPr>
          <w:b/>
        </w:rPr>
        <w:t xml:space="preserve"> million </w:t>
      </w:r>
    </w:p>
    <w:p w14:paraId="26439984" w14:textId="23A4345E" w:rsidR="00A84283" w:rsidRDefault="00AD3A26" w:rsidP="002E2EFE">
      <w:r w:rsidRPr="00820C89">
        <w:t>In 201</w:t>
      </w:r>
      <w:r w:rsidR="009516B6" w:rsidRPr="00820C89">
        <w:t>9</w:t>
      </w:r>
      <w:r w:rsidR="00F26A86">
        <w:t>–</w:t>
      </w:r>
      <w:r w:rsidR="009516B6" w:rsidRPr="00820C89">
        <w:t>20</w:t>
      </w:r>
      <w:r w:rsidR="00A84283" w:rsidRPr="00820C89">
        <w:t xml:space="preserve">, the ATO employed </w:t>
      </w:r>
      <w:r w:rsidR="00BC2CDA" w:rsidRPr="00820C89">
        <w:t>62.2</w:t>
      </w:r>
      <w:r w:rsidR="003A0CD8">
        <w:t> </w:t>
      </w:r>
      <w:r w:rsidR="00A84283" w:rsidRPr="00820C89">
        <w:t>full</w:t>
      </w:r>
      <w:r w:rsidR="00BD4D19">
        <w:noBreakHyphen/>
      </w:r>
      <w:r w:rsidR="00A84283" w:rsidRPr="00820C89">
        <w:t>time equivalent staff, employed across the residential real estate application screening process, data matching and compliance activities, application screening of non</w:t>
      </w:r>
      <w:r w:rsidR="00BD4D19">
        <w:noBreakHyphen/>
      </w:r>
      <w:r w:rsidR="00A84283" w:rsidRPr="00820C89">
        <w:t>sensitive commercial land (vacant and non</w:t>
      </w:r>
      <w:r w:rsidR="00BD4D19">
        <w:noBreakHyphen/>
      </w:r>
      <w:r w:rsidR="00A84283" w:rsidRPr="00820C89">
        <w:t>vacant) and corporate reorganisations, the development and maintenance of foreign ownership registers, and the development of systems and administration of the annual vacancy fee measure. The ATO</w:t>
      </w:r>
      <w:r w:rsidR="00BD4D19">
        <w:t>’</w:t>
      </w:r>
      <w:r w:rsidR="00A84283" w:rsidRPr="00820C89">
        <w:t>s teams are located across a number of sites including Sydney, Canberra, Newcastle and</w:t>
      </w:r>
      <w:r w:rsidR="00422C1D" w:rsidRPr="00820C89">
        <w:t> </w:t>
      </w:r>
      <w:r w:rsidR="00A84283" w:rsidRPr="00820C89">
        <w:t>Melbourne.</w:t>
      </w:r>
    </w:p>
    <w:p w14:paraId="192D9B6D" w14:textId="77777777" w:rsidR="000376F1" w:rsidRDefault="000376F1" w:rsidP="002E2EFE">
      <w:pPr>
        <w:sectPr w:rsidR="000376F1" w:rsidSect="00C53B92">
          <w:footerReference w:type="even" r:id="rId50"/>
          <w:footerReference w:type="default" r:id="rId51"/>
          <w:footerReference w:type="first" r:id="rId52"/>
          <w:type w:val="oddPage"/>
          <w:pgSz w:w="11906" w:h="16838" w:code="9"/>
          <w:pgMar w:top="2466" w:right="2098" w:bottom="2466" w:left="2098" w:header="1899" w:footer="1899" w:gutter="0"/>
          <w:pgNumType w:start="1"/>
          <w:cols w:space="708"/>
          <w:titlePg/>
          <w:docGrid w:linePitch="360"/>
        </w:sectPr>
      </w:pPr>
    </w:p>
    <w:p w14:paraId="05B05E39" w14:textId="77777777" w:rsidR="00A84283" w:rsidRPr="00D60D30" w:rsidRDefault="0047072A" w:rsidP="007674AA">
      <w:pPr>
        <w:pStyle w:val="Heading1"/>
        <w:rPr>
          <w:noProof/>
        </w:rPr>
      </w:pPr>
      <w:bookmarkStart w:id="59" w:name="_Toc31296899"/>
      <w:bookmarkStart w:id="60" w:name="_Toc31636017"/>
      <w:bookmarkStart w:id="61" w:name="_Toc31642786"/>
      <w:bookmarkStart w:id="62" w:name="_Toc32247795"/>
      <w:bookmarkStart w:id="63" w:name="_Toc63782926"/>
      <w:bookmarkStart w:id="64" w:name="_Toc75244055"/>
      <w:r>
        <w:rPr>
          <w:noProof/>
        </w:rPr>
        <w:drawing>
          <wp:anchor distT="0" distB="0" distL="114300" distR="114300" simplePos="0" relativeHeight="251648000" behindDoc="0" locked="0" layoutInCell="1" allowOverlap="1" wp14:anchorId="71ED7DB7" wp14:editId="78D6F4FA">
            <wp:simplePos x="0" y="0"/>
            <wp:positionH relativeFrom="margin">
              <wp:align>right</wp:align>
            </wp:positionH>
            <wp:positionV relativeFrom="paragraph">
              <wp:posOffset>-4469</wp:posOffset>
            </wp:positionV>
            <wp:extent cx="4895088" cy="2161032"/>
            <wp:effectExtent l="0" t="0" r="1270" b="0"/>
            <wp:wrapNone/>
            <wp:docPr id="11" name="Picture 11" descr="Chapter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pter header graphic"/>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088" cy="2161032"/>
                    </a:xfrm>
                    <a:prstGeom prst="rect">
                      <a:avLst/>
                    </a:prstGeom>
                  </pic:spPr>
                </pic:pic>
              </a:graphicData>
            </a:graphic>
          </wp:anchor>
        </w:drawing>
      </w:r>
      <w:r w:rsidR="00A84283" w:rsidRPr="00D60D30">
        <w:rPr>
          <w:noProof/>
        </w:rPr>
        <w:t>Chapter Two: The Foreign Investment Framework</w:t>
      </w:r>
      <w:bookmarkEnd w:id="59"/>
      <w:bookmarkEnd w:id="60"/>
      <w:bookmarkEnd w:id="61"/>
      <w:bookmarkEnd w:id="62"/>
      <w:bookmarkEnd w:id="63"/>
      <w:bookmarkEnd w:id="64"/>
    </w:p>
    <w:p w14:paraId="5A1B57F8" w14:textId="77777777" w:rsidR="0004056B" w:rsidRDefault="0004056B" w:rsidP="00406C1F"/>
    <w:p w14:paraId="660AA5D3" w14:textId="77777777" w:rsidR="0004056B" w:rsidRDefault="0004056B" w:rsidP="00406C1F"/>
    <w:p w14:paraId="41887C99" w14:textId="77777777" w:rsidR="0004056B" w:rsidRDefault="0004056B" w:rsidP="00406C1F"/>
    <w:p w14:paraId="2C20D778" w14:textId="77777777" w:rsidR="0004056B" w:rsidRDefault="0004056B" w:rsidP="00406C1F"/>
    <w:p w14:paraId="02F6E0ED" w14:textId="77777777" w:rsidR="0004056B" w:rsidRDefault="0004056B" w:rsidP="00406C1F"/>
    <w:p w14:paraId="541F9EC4" w14:textId="77777777" w:rsidR="0004056B" w:rsidRDefault="0004056B" w:rsidP="001C7EE6">
      <w:pPr>
        <w:spacing w:after="360"/>
      </w:pPr>
    </w:p>
    <w:p w14:paraId="5C1AA7A9" w14:textId="0A710C68" w:rsidR="0065385B" w:rsidRDefault="0065385B" w:rsidP="0065385B">
      <w:r>
        <w:t>This chapter provides an overview of the main changes to Australia</w:t>
      </w:r>
      <w:r w:rsidR="00BD4D19">
        <w:t>’</w:t>
      </w:r>
      <w:r>
        <w:t>s foreign investment policy during 2019</w:t>
      </w:r>
      <w:r w:rsidR="00F26A86">
        <w:t>–</w:t>
      </w:r>
      <w:r>
        <w:t xml:space="preserve">20, including the domestic and global backdrop for these developments. </w:t>
      </w:r>
    </w:p>
    <w:p w14:paraId="059EE2CD" w14:textId="77777777" w:rsidR="0065385B" w:rsidRDefault="0065385B" w:rsidP="0065385B">
      <w:pPr>
        <w:pStyle w:val="Heading2"/>
      </w:pPr>
      <w:bookmarkStart w:id="65" w:name="_Toc63782927"/>
      <w:bookmarkStart w:id="66" w:name="_Toc75244056"/>
      <w:r>
        <w:t>Foreign investment policies and priorities</w:t>
      </w:r>
      <w:bookmarkEnd w:id="65"/>
      <w:bookmarkEnd w:id="66"/>
    </w:p>
    <w:p w14:paraId="3B6F953C" w14:textId="43674B6F" w:rsidR="0065385B" w:rsidRDefault="0065385B" w:rsidP="0065385B">
      <w:r>
        <w:t>In the reporting period, significant foreign investment policy responses were implemented or announced to safeguard Australia</w:t>
      </w:r>
      <w:r w:rsidR="00BD4D19">
        <w:t>’</w:t>
      </w:r>
      <w:r>
        <w:t xml:space="preserve">s national interest. These include </w:t>
      </w:r>
      <w:r w:rsidR="004455E9">
        <w:t xml:space="preserve">the </w:t>
      </w:r>
      <w:r>
        <w:t xml:space="preserve">temporary </w:t>
      </w:r>
      <w:r w:rsidR="008D0039">
        <w:rPr>
          <w:rFonts w:cstheme="minorHAnsi"/>
        </w:rPr>
        <w:t>zero dollar threshold</w:t>
      </w:r>
      <w:r w:rsidR="0054452F">
        <w:rPr>
          <w:rFonts w:cstheme="minorHAnsi"/>
        </w:rPr>
        <w:t> </w:t>
      </w:r>
      <w:r w:rsidR="0054452F">
        <w:t>changes</w:t>
      </w:r>
      <w:r>
        <w:t xml:space="preserve"> to the foreign investment review framework in response to the health and economic disruptions caused by </w:t>
      </w:r>
      <w:r w:rsidR="001014F0">
        <w:t xml:space="preserve">the </w:t>
      </w:r>
      <w:r>
        <w:t>COVID</w:t>
      </w:r>
      <w:r w:rsidR="00BD4D19">
        <w:noBreakHyphen/>
      </w:r>
      <w:r>
        <w:t xml:space="preserve">19 </w:t>
      </w:r>
      <w:r w:rsidR="001014F0">
        <w:t>pandemic</w:t>
      </w:r>
      <w:r w:rsidR="00BD04C6">
        <w:t xml:space="preserve"> </w:t>
      </w:r>
      <w:r>
        <w:t>and the announcement of major reforms to the foreign investment framework on 5 June 2020.</w:t>
      </w:r>
    </w:p>
    <w:p w14:paraId="42BCF291" w14:textId="77777777" w:rsidR="0065385B" w:rsidRDefault="0065385B" w:rsidP="0065385B">
      <w:pPr>
        <w:pStyle w:val="Heading3"/>
      </w:pPr>
      <w:r>
        <w:t>Policy background</w:t>
      </w:r>
    </w:p>
    <w:p w14:paraId="65B2815C" w14:textId="3867B5B4" w:rsidR="0065385B" w:rsidRDefault="0065385B" w:rsidP="0065385B">
      <w:r>
        <w:t>Foreign investment is critical to Australia</w:t>
      </w:r>
      <w:r w:rsidR="00BD4D19">
        <w:t>’</w:t>
      </w:r>
      <w:r>
        <w:t>s economy and prosperity. For much of its history, Australia has relied on foreign investment as an additional source of capital to facilitate greater investment than domestic savings alone could finance. Foreign investment also promotes competition among Australia</w:t>
      </w:r>
      <w:r w:rsidR="00BD4D19">
        <w:t>’</w:t>
      </w:r>
      <w:r>
        <w:t>s industries, encourages greater innovation and productivity, and facilitates the transfer of international skills and knowledge and Australian businesses</w:t>
      </w:r>
      <w:r w:rsidR="00BD4D19">
        <w:t>’</w:t>
      </w:r>
      <w:r>
        <w:t xml:space="preserve"> access to overseas markets. </w:t>
      </w:r>
    </w:p>
    <w:p w14:paraId="0C199AB7" w14:textId="485A7CAE" w:rsidR="0065385B" w:rsidRDefault="0065385B" w:rsidP="0065385B">
      <w:r>
        <w:t>Australia is an attractive destination for foreign investment. In the three years to 2019, F</w:t>
      </w:r>
      <w:r w:rsidR="008D0039">
        <w:t xml:space="preserve">oreign </w:t>
      </w:r>
      <w:r>
        <w:t>D</w:t>
      </w:r>
      <w:r w:rsidR="008D0039">
        <w:t xml:space="preserve">irect </w:t>
      </w:r>
      <w:r>
        <w:t>I</w:t>
      </w:r>
      <w:r w:rsidR="008D0039">
        <w:t>nvestment</w:t>
      </w:r>
      <w:r w:rsidR="008D6B9C">
        <w:t xml:space="preserve"> (FDI) </w:t>
      </w:r>
      <w:r>
        <w:t>inflows into Australia averaged 3.3</w:t>
      </w:r>
      <w:r w:rsidR="00F77CD2">
        <w:t> </w:t>
      </w:r>
      <w:r>
        <w:t>per</w:t>
      </w:r>
      <w:r w:rsidR="00F77CD2">
        <w:t> </w:t>
      </w:r>
      <w:r>
        <w:t>cent of gross domestic product</w:t>
      </w:r>
      <w:r w:rsidR="00F77CD2">
        <w:t> </w:t>
      </w:r>
      <w:r>
        <w:t>(GDP)</w:t>
      </w:r>
      <w:r w:rsidR="006225EA">
        <w:t xml:space="preserve"> — </w:t>
      </w:r>
      <w:r>
        <w:t>compared with 1.7</w:t>
      </w:r>
      <w:r w:rsidR="00F77CD2">
        <w:t> </w:t>
      </w:r>
      <w:r>
        <w:t>per</w:t>
      </w:r>
      <w:r w:rsidR="00F77CD2">
        <w:t> </w:t>
      </w:r>
      <w:r>
        <w:t>cent for the</w:t>
      </w:r>
      <w:r w:rsidR="004C30F4">
        <w:t xml:space="preserve"> Organisation for Economic Co</w:t>
      </w:r>
      <w:r w:rsidR="00BD4D19">
        <w:noBreakHyphen/>
      </w:r>
      <w:r w:rsidR="004C30F4">
        <w:t>operation and Development</w:t>
      </w:r>
      <w:r>
        <w:t xml:space="preserve"> </w:t>
      </w:r>
      <w:r w:rsidR="004C30F4">
        <w:t>(</w:t>
      </w:r>
      <w:r>
        <w:t>OECD</w:t>
      </w:r>
      <w:r w:rsidR="004C30F4">
        <w:t>)</w:t>
      </w:r>
      <w:r>
        <w:t xml:space="preserve"> and 1.5</w:t>
      </w:r>
      <w:r w:rsidR="00F77CD2">
        <w:t> </w:t>
      </w:r>
      <w:r>
        <w:t>per</w:t>
      </w:r>
      <w:r w:rsidR="00F77CD2">
        <w:t> </w:t>
      </w:r>
      <w:r>
        <w:t>cent for the G20</w:t>
      </w:r>
      <w:r w:rsidRPr="00F06433">
        <w:t>. Australia</w:t>
      </w:r>
      <w:r w:rsidR="00BD4D19">
        <w:t>’</w:t>
      </w:r>
      <w:r w:rsidRPr="00F06433">
        <w:t xml:space="preserve">s inward stock of </w:t>
      </w:r>
      <w:r w:rsidR="00376A37">
        <w:t>FDI</w:t>
      </w:r>
      <w:r w:rsidRPr="00F06433">
        <w:t xml:space="preserve"> totalled $1,019.5</w:t>
      </w:r>
      <w:r w:rsidR="00F77CD2">
        <w:t> </w:t>
      </w:r>
      <w:r w:rsidRPr="00F06433">
        <w:t>billion as at 31</w:t>
      </w:r>
      <w:r w:rsidR="00F77CD2">
        <w:t> </w:t>
      </w:r>
      <w:r w:rsidRPr="00F06433">
        <w:t>December</w:t>
      </w:r>
      <w:r w:rsidR="00F77CD2">
        <w:t> </w:t>
      </w:r>
      <w:r w:rsidRPr="00F06433">
        <w:t>2019, a $25.2</w:t>
      </w:r>
      <w:r w:rsidR="00F77CD2">
        <w:t> </w:t>
      </w:r>
      <w:r w:rsidRPr="00F06433">
        <w:t>billion (2.5</w:t>
      </w:r>
      <w:r w:rsidR="00F77CD2">
        <w:t> </w:t>
      </w:r>
      <w:r w:rsidRPr="00F06433">
        <w:t>per</w:t>
      </w:r>
      <w:r w:rsidR="00F77CD2">
        <w:t> </w:t>
      </w:r>
      <w:r w:rsidRPr="00F06433">
        <w:t>cent) increase from 31</w:t>
      </w:r>
      <w:r>
        <w:t> </w:t>
      </w:r>
      <w:r w:rsidRPr="00F06433">
        <w:t>December</w:t>
      </w:r>
      <w:r>
        <w:t> </w:t>
      </w:r>
      <w:r w:rsidRPr="00F06433">
        <w:t>2018.</w:t>
      </w:r>
      <w:r w:rsidRPr="00205CA7">
        <w:t xml:space="preserve"> </w:t>
      </w:r>
    </w:p>
    <w:p w14:paraId="4D510E5C" w14:textId="61F7E25F" w:rsidR="0065385B" w:rsidRDefault="0065385B" w:rsidP="0065385B">
      <w:r>
        <w:t>At the same time, successive governments have recognised that some proposed foreign investment may not be in Australia</w:t>
      </w:r>
      <w:r w:rsidR="00BD4D19">
        <w:t>’</w:t>
      </w:r>
      <w:r>
        <w:t>s national interest. It is for this reason that Australia has had a foreign investment review fr</w:t>
      </w:r>
      <w:r w:rsidR="008B6E76">
        <w:t>amework in place since the 1970</w:t>
      </w:r>
      <w:r>
        <w:t>s.</w:t>
      </w:r>
    </w:p>
    <w:p w14:paraId="39A0BBE2" w14:textId="77777777" w:rsidR="0065385B" w:rsidRDefault="0065385B" w:rsidP="0065385B">
      <w:pPr>
        <w:pStyle w:val="Heading4"/>
      </w:pPr>
      <w:r>
        <w:t>The foreign investment review framework</w:t>
      </w:r>
    </w:p>
    <w:p w14:paraId="6654AC7C" w14:textId="5FCF7B30" w:rsidR="0065385B" w:rsidRPr="004C30F4" w:rsidRDefault="0065385B" w:rsidP="0065385B">
      <w:r w:rsidRPr="004C30F4">
        <w:t>The foreign investment framework</w:t>
      </w:r>
      <w:r w:rsidR="007674AA" w:rsidRPr="004C30F4">
        <w:t xml:space="preserve"> (the framework)</w:t>
      </w:r>
      <w:r w:rsidRPr="004C30F4">
        <w:t xml:space="preserve"> is designed to facilitate investment, while still enabling the Government to protect the national interest. Australia</w:t>
      </w:r>
      <w:r w:rsidR="00BD4D19">
        <w:t>’</w:t>
      </w:r>
      <w:r w:rsidRPr="004C30F4">
        <w:t xml:space="preserve">s framework operates according to a </w:t>
      </w:r>
      <w:r w:rsidR="00BD4D19">
        <w:t>‘</w:t>
      </w:r>
      <w:r w:rsidRPr="004C30F4">
        <w:t>negative test</w:t>
      </w:r>
      <w:r w:rsidR="00BD4D19">
        <w:t>’</w:t>
      </w:r>
      <w:r w:rsidRPr="004C30F4">
        <w:t>, whereby foreign investment proposals will proceed unless found to be contrary to the national interest. National interest considerations are assessed on a case</w:t>
      </w:r>
      <w:r w:rsidR="00BD4D19">
        <w:noBreakHyphen/>
      </w:r>
      <w:r w:rsidRPr="004C30F4">
        <w:t>by</w:t>
      </w:r>
      <w:r w:rsidR="00BD4D19">
        <w:noBreakHyphen/>
      </w:r>
      <w:r w:rsidRPr="004C30F4">
        <w:t xml:space="preserve">case basis and Treasury will seek to manage risks to the national interest according to the individual facts of the case. </w:t>
      </w:r>
    </w:p>
    <w:p w14:paraId="5969F3A7" w14:textId="77777777" w:rsidR="0065385B" w:rsidRDefault="0065385B" w:rsidP="0065385B">
      <w:r w:rsidRPr="004C30F4">
        <w:t>The balance that the framework achieves helps promote public confidence and ensures Australia is able to realise the many benefits that foreign investment provides.</w:t>
      </w:r>
    </w:p>
    <w:p w14:paraId="50B52901" w14:textId="77777777" w:rsidR="0065385B" w:rsidRPr="008D019E" w:rsidRDefault="0065385B" w:rsidP="0065385B">
      <w:pPr>
        <w:pStyle w:val="Heading3"/>
      </w:pPr>
      <w:r>
        <w:t>The changing foreign investment landscape</w:t>
      </w:r>
    </w:p>
    <w:p w14:paraId="50F2F550" w14:textId="77777777" w:rsidR="0065385B" w:rsidRDefault="0065385B" w:rsidP="0065385B">
      <w:r>
        <w:t>In recent years, t</w:t>
      </w:r>
      <w:r w:rsidRPr="00205CA7">
        <w:t xml:space="preserve">he risks associated with foreign investment have </w:t>
      </w:r>
      <w:r>
        <w:t xml:space="preserve">significantly </w:t>
      </w:r>
      <w:r w:rsidRPr="00205CA7">
        <w:t xml:space="preserve">evolved </w:t>
      </w:r>
      <w:r>
        <w:t xml:space="preserve">as a result of </w:t>
      </w:r>
      <w:r w:rsidRPr="00205CA7">
        <w:t xml:space="preserve">rapid changes in technology and </w:t>
      </w:r>
      <w:r>
        <w:t xml:space="preserve">shifts in the </w:t>
      </w:r>
      <w:r w:rsidRPr="00205CA7">
        <w:t>geopolitical landscape.</w:t>
      </w:r>
      <w:r>
        <w:t xml:space="preserve"> Concerns about growing national security risks have been recognised and discussed in previous annual reports, including in relation to critical infrastructure.</w:t>
      </w:r>
    </w:p>
    <w:p w14:paraId="13B9D1C3" w14:textId="77777777" w:rsidR="0065385B" w:rsidRDefault="0065385B" w:rsidP="0065385B">
      <w:r>
        <w:t>One outcome of these changes is that s</w:t>
      </w:r>
      <w:r w:rsidRPr="00EA22F2">
        <w:t>ecurity agencies are increasingly consulted as part of the for</w:t>
      </w:r>
      <w:r w:rsidR="00212D07">
        <w:t>eign investment review process.</w:t>
      </w:r>
    </w:p>
    <w:p w14:paraId="5AB0D531" w14:textId="77777777" w:rsidR="0065385B" w:rsidRDefault="0065385B" w:rsidP="0065385B">
      <w:r>
        <w:t xml:space="preserve">Australia is not alone in recognising these risks. The changing foreign investment landscape has led many countries and jurisdictions to review </w:t>
      </w:r>
      <w:r w:rsidR="00423801">
        <w:t xml:space="preserve">and update </w:t>
      </w:r>
      <w:r>
        <w:t xml:space="preserve">their foreign investment screening regimes in recent years, including </w:t>
      </w:r>
      <w:r w:rsidRPr="00EA22F2">
        <w:t>Canada, China, the E</w:t>
      </w:r>
      <w:r>
        <w:t xml:space="preserve">uropean </w:t>
      </w:r>
      <w:r w:rsidRPr="00EA22F2">
        <w:t>U</w:t>
      </w:r>
      <w:r>
        <w:t>nion</w:t>
      </w:r>
      <w:r w:rsidRPr="00EA22F2">
        <w:t>, India</w:t>
      </w:r>
      <w:r>
        <w:t>,</w:t>
      </w:r>
      <w:r w:rsidRPr="00EA22F2">
        <w:t xml:space="preserve"> Japan, New Zealand, the U</w:t>
      </w:r>
      <w:r>
        <w:t xml:space="preserve">nited </w:t>
      </w:r>
      <w:r w:rsidRPr="00EA22F2">
        <w:t>K</w:t>
      </w:r>
      <w:r>
        <w:t>ingdom</w:t>
      </w:r>
      <w:r w:rsidRPr="00EA22F2">
        <w:t xml:space="preserve"> and the U</w:t>
      </w:r>
      <w:r>
        <w:t xml:space="preserve">nited </w:t>
      </w:r>
      <w:r w:rsidRPr="00EA22F2">
        <w:t>S</w:t>
      </w:r>
      <w:r>
        <w:t xml:space="preserve">tates. </w:t>
      </w:r>
    </w:p>
    <w:p w14:paraId="4CEFB136" w14:textId="3441A0CE" w:rsidR="0065385B" w:rsidRDefault="00072B2D" w:rsidP="0065385B">
      <w:pPr>
        <w:pStyle w:val="Heading3"/>
      </w:pPr>
      <w:r>
        <w:t xml:space="preserve">The impact of </w:t>
      </w:r>
      <w:r w:rsidR="00212D07">
        <w:t xml:space="preserve">the </w:t>
      </w:r>
      <w:r>
        <w:t>COVID</w:t>
      </w:r>
      <w:r w:rsidR="00BD4D19">
        <w:noBreakHyphen/>
      </w:r>
      <w:r>
        <w:t>19</w:t>
      </w:r>
      <w:r w:rsidR="00212D07">
        <w:t xml:space="preserve"> pandemic</w:t>
      </w:r>
    </w:p>
    <w:p w14:paraId="226E3A7D" w14:textId="50BD4501" w:rsidR="00F4354E" w:rsidRDefault="0065385B" w:rsidP="0065385B">
      <w:r>
        <w:t>While these developments had been underway for some time, 2019</w:t>
      </w:r>
      <w:r w:rsidR="00F26A86">
        <w:t>–</w:t>
      </w:r>
      <w:r>
        <w:t>20 introduced a new and unexpected challenge to the foreign investment landscape: the COVID</w:t>
      </w:r>
      <w:r w:rsidR="00BD4D19">
        <w:noBreakHyphen/>
      </w:r>
      <w:r>
        <w:t xml:space="preserve">19 pandemic (Box 1). </w:t>
      </w:r>
    </w:p>
    <w:p w14:paraId="79C68707" w14:textId="77777777" w:rsidR="00F4354E" w:rsidRDefault="00F4354E">
      <w:pPr>
        <w:spacing w:after="0" w:line="240" w:lineRule="auto"/>
        <w:jc w:val="left"/>
      </w:pPr>
      <w:r>
        <w:br w:type="page"/>
      </w:r>
    </w:p>
    <w:tbl>
      <w:tblPr>
        <w:tblStyle w:val="TableGrid"/>
        <w:tblW w:w="0" w:type="auto"/>
        <w:tblBorders>
          <w:top w:val="single" w:sz="18" w:space="0" w:color="477B59" w:themeColor="accent1"/>
          <w:left w:val="single" w:sz="18" w:space="0" w:color="477B59" w:themeColor="accent1"/>
          <w:bottom w:val="single" w:sz="18" w:space="0" w:color="477B59" w:themeColor="accent1"/>
          <w:right w:val="single" w:sz="18" w:space="0" w:color="477B59" w:themeColor="accent1"/>
          <w:insideH w:val="single" w:sz="18" w:space="0" w:color="477B59" w:themeColor="accent1"/>
          <w:insideV w:val="single" w:sz="18" w:space="0" w:color="477B59" w:themeColor="accent1"/>
        </w:tblBorders>
        <w:tblLook w:val="04A0" w:firstRow="1" w:lastRow="0" w:firstColumn="1" w:lastColumn="0" w:noHBand="0" w:noVBand="1"/>
      </w:tblPr>
      <w:tblGrid>
        <w:gridCol w:w="7664"/>
      </w:tblGrid>
      <w:tr w:rsidR="00707130" w14:paraId="3BBF4872" w14:textId="77777777" w:rsidTr="007C6A66">
        <w:trPr>
          <w:trHeight w:val="721"/>
        </w:trPr>
        <w:tc>
          <w:tcPr>
            <w:tcW w:w="7700" w:type="dxa"/>
            <w:tcMar>
              <w:top w:w="227" w:type="dxa"/>
              <w:left w:w="227" w:type="dxa"/>
              <w:bottom w:w="227" w:type="dxa"/>
              <w:right w:w="227" w:type="dxa"/>
            </w:tcMar>
          </w:tcPr>
          <w:p w14:paraId="50370B88" w14:textId="78768844" w:rsidR="00707130" w:rsidRPr="00AB6FFE" w:rsidRDefault="00707130" w:rsidP="00707130">
            <w:pPr>
              <w:pStyle w:val="BoxHeading"/>
              <w:spacing w:before="240"/>
              <w:rPr>
                <w:color w:val="auto"/>
              </w:rPr>
            </w:pPr>
            <w:bookmarkStart w:id="67" w:name="_Toc68697697"/>
            <w:bookmarkStart w:id="68" w:name="_Toc33521371"/>
            <w:r w:rsidRPr="00AB6FFE">
              <w:rPr>
                <w:color w:val="auto"/>
              </w:rPr>
              <w:t>Box 1: COVID</w:t>
            </w:r>
            <w:r w:rsidR="00BD4D19">
              <w:rPr>
                <w:color w:val="auto"/>
              </w:rPr>
              <w:noBreakHyphen/>
            </w:r>
            <w:r w:rsidRPr="00AB6FFE">
              <w:rPr>
                <w:color w:val="auto"/>
              </w:rPr>
              <w:t>19 pandemic and implications for foreign investment</w:t>
            </w:r>
            <w:bookmarkEnd w:id="67"/>
          </w:p>
          <w:p w14:paraId="6AC24123" w14:textId="4C70B633" w:rsidR="00707130" w:rsidRDefault="00707130" w:rsidP="00707130">
            <w:r>
              <w:t xml:space="preserve">The </w:t>
            </w:r>
            <w:r w:rsidRPr="00C07890">
              <w:t>COVID</w:t>
            </w:r>
            <w:r w:rsidR="00BD4D19">
              <w:noBreakHyphen/>
            </w:r>
            <w:r w:rsidRPr="00C07890">
              <w:t xml:space="preserve">19 </w:t>
            </w:r>
            <w:r>
              <w:t xml:space="preserve">pandemic — </w:t>
            </w:r>
            <w:r w:rsidRPr="00C07890">
              <w:t>a once</w:t>
            </w:r>
            <w:r w:rsidR="00BD4D19">
              <w:noBreakHyphen/>
            </w:r>
            <w:r w:rsidRPr="00C07890">
              <w:t>in</w:t>
            </w:r>
            <w:r w:rsidR="00BD4D19">
              <w:noBreakHyphen/>
            </w:r>
            <w:r w:rsidRPr="00C07890">
              <w:t>a</w:t>
            </w:r>
            <w:r w:rsidR="00BD4D19">
              <w:noBreakHyphen/>
            </w:r>
            <w:r w:rsidRPr="00C07890">
              <w:t>century pandemic</w:t>
            </w:r>
            <w:r>
              <w:t xml:space="preserve"> — </w:t>
            </w:r>
            <w:r w:rsidRPr="00C07890">
              <w:t xml:space="preserve">delivered an enormous shock to </w:t>
            </w:r>
            <w:r>
              <w:t>economies and businesses across the world, with significant effects on F</w:t>
            </w:r>
            <w:r w:rsidR="007E5EF1">
              <w:t xml:space="preserve">oreign </w:t>
            </w:r>
            <w:r>
              <w:t>D</w:t>
            </w:r>
            <w:r w:rsidR="007E5EF1">
              <w:t xml:space="preserve">irect </w:t>
            </w:r>
            <w:r>
              <w:t>I</w:t>
            </w:r>
            <w:r w:rsidR="007E5EF1">
              <w:t>nvestment</w:t>
            </w:r>
            <w:r>
              <w:t xml:space="preserve"> </w:t>
            </w:r>
            <w:r w:rsidR="00376A37">
              <w:t xml:space="preserve">(FDI) </w:t>
            </w:r>
            <w:r>
              <w:t>flows and policy. It</w:t>
            </w:r>
            <w:r w:rsidRPr="00734F26">
              <w:t xml:space="preserve"> struck at a time when </w:t>
            </w:r>
            <w:r w:rsidRPr="00322919">
              <w:t xml:space="preserve">global </w:t>
            </w:r>
            <w:r w:rsidR="00376A37">
              <w:t>FDI</w:t>
            </w:r>
            <w:r w:rsidR="00617FE1" w:rsidRPr="00322919">
              <w:t xml:space="preserve"> flows</w:t>
            </w:r>
            <w:r w:rsidRPr="00322919">
              <w:t xml:space="preserve"> were already relatively weak</w:t>
            </w:r>
            <w:r>
              <w:t>,</w:t>
            </w:r>
            <w:r>
              <w:rPr>
                <w:rStyle w:val="FootnoteReference"/>
              </w:rPr>
              <w:footnoteReference w:id="5"/>
            </w:r>
            <w:r w:rsidRPr="00322919">
              <w:t xml:space="preserve"> and had</w:t>
            </w:r>
            <w:r>
              <w:t xml:space="preserve"> been in steady decline in the past five years</w:t>
            </w:r>
            <w:r w:rsidRPr="00734F26">
              <w:t xml:space="preserve">. </w:t>
            </w:r>
            <w:r>
              <w:t xml:space="preserve">The </w:t>
            </w:r>
            <w:r w:rsidR="00CD52B3">
              <w:t>Organisation for Economic Co</w:t>
            </w:r>
            <w:r w:rsidR="00BD4D19">
              <w:noBreakHyphen/>
            </w:r>
            <w:r w:rsidR="00CD52B3">
              <w:t>operation and Development</w:t>
            </w:r>
            <w:r>
              <w:rPr>
                <w:rStyle w:val="FootnoteReference"/>
              </w:rPr>
              <w:footnoteReference w:id="6"/>
            </w:r>
            <w:r w:rsidDel="00404528">
              <w:rPr>
                <w:rStyle w:val="CommentReference"/>
              </w:rPr>
              <w:t xml:space="preserve"> </w:t>
            </w:r>
            <w:r w:rsidR="00CD52B3" w:rsidRPr="00CD52B3">
              <w:rPr>
                <w:rStyle w:val="CommentReference"/>
                <w:sz w:val="20"/>
                <w:szCs w:val="20"/>
              </w:rPr>
              <w:t>(OECD)</w:t>
            </w:r>
            <w:r w:rsidR="00CD52B3">
              <w:rPr>
                <w:rStyle w:val="CommentReference"/>
              </w:rPr>
              <w:t xml:space="preserve"> </w:t>
            </w:r>
            <w:r>
              <w:t>estimated the COVID</w:t>
            </w:r>
            <w:r w:rsidR="00BD4D19">
              <w:noBreakHyphen/>
            </w:r>
            <w:r>
              <w:t>19 pandemic disruptions led to a 50 per cent</w:t>
            </w:r>
            <w:r w:rsidRPr="00AD77CA">
              <w:t xml:space="preserve"> </w:t>
            </w:r>
            <w:r>
              <w:t xml:space="preserve">decrease in global </w:t>
            </w:r>
            <w:r w:rsidR="00376A37">
              <w:t>FDI</w:t>
            </w:r>
            <w:r>
              <w:t xml:space="preserve"> flows </w:t>
            </w:r>
            <w:r w:rsidRPr="00AD77CA">
              <w:t>in the first half of 2020 compared to the second half of 2019</w:t>
            </w:r>
            <w:r>
              <w:t>.</w:t>
            </w:r>
          </w:p>
          <w:p w14:paraId="4ED3697C" w14:textId="04790D28" w:rsidR="00707130" w:rsidRDefault="00707130" w:rsidP="00707130">
            <w:r>
              <w:t xml:space="preserve">In Australia, it was recognised that foreign capital could support distressed Australian businesses, sustain Australian jobs and contribute to the economic recovery. At the same time, the economic </w:t>
            </w:r>
            <w:r w:rsidR="00423801">
              <w:t xml:space="preserve">shock </w:t>
            </w:r>
            <w:r>
              <w:t>caused by the COVID</w:t>
            </w:r>
            <w:r w:rsidR="00BD4D19">
              <w:noBreakHyphen/>
            </w:r>
            <w:r>
              <w:t>19 pandemic raised the risk that many normally viable businesses could be sold to foreign interests without government oversight, particularly for acquisitions that fe</w:t>
            </w:r>
            <w:r w:rsidR="007C6A66">
              <w:t xml:space="preserve">ll below screening thresholds. </w:t>
            </w:r>
          </w:p>
          <w:p w14:paraId="1F829B15" w14:textId="77777777" w:rsidR="00707130" w:rsidRPr="00707130" w:rsidRDefault="00707130" w:rsidP="00707130">
            <w:pPr>
              <w:spacing w:before="240" w:after="120"/>
              <w:rPr>
                <w:b/>
                <w:color w:val="477B59" w:themeColor="accent1"/>
              </w:rPr>
            </w:pPr>
            <w:r w:rsidRPr="00707130">
              <w:rPr>
                <w:b/>
                <w:color w:val="477B59" w:themeColor="accent1"/>
              </w:rPr>
              <w:t>Selected international responses</w:t>
            </w:r>
            <w:r w:rsidRPr="00707130">
              <w:rPr>
                <w:rStyle w:val="FootnoteReference"/>
                <w:b/>
                <w:color w:val="477B59" w:themeColor="accent1"/>
              </w:rPr>
              <w:footnoteReference w:id="7"/>
            </w:r>
          </w:p>
          <w:p w14:paraId="1A4DF69C" w14:textId="62236F78" w:rsidR="00707130" w:rsidRDefault="00707130" w:rsidP="00707130">
            <w:r>
              <w:t>The OECD described the COVID</w:t>
            </w:r>
            <w:r w:rsidR="00BD4D19">
              <w:noBreakHyphen/>
            </w:r>
            <w:r>
              <w:t xml:space="preserve">19 pandemic as an </w:t>
            </w:r>
            <w:r w:rsidR="00BD4D19">
              <w:t>‘</w:t>
            </w:r>
            <w:r>
              <w:t>accelerator</w:t>
            </w:r>
            <w:r w:rsidR="00BD4D19">
              <w:t>’</w:t>
            </w:r>
            <w:r>
              <w:t xml:space="preserve"> rather than </w:t>
            </w:r>
            <w:r w:rsidR="00BD4D19">
              <w:t>‘</w:t>
            </w:r>
            <w:r>
              <w:t>trigger</w:t>
            </w:r>
            <w:r w:rsidR="00BD4D19">
              <w:t>’</w:t>
            </w:r>
            <w:r>
              <w:t xml:space="preserve"> for developments in investment screening practices that were already underway, particularly in relation to essential security interests</w:t>
            </w:r>
            <w:r>
              <w:rPr>
                <w:rStyle w:val="FootnoteReference"/>
              </w:rPr>
              <w:footnoteReference w:id="8"/>
            </w:r>
            <w:r>
              <w:t>.</w:t>
            </w:r>
          </w:p>
          <w:p w14:paraId="15A30352" w14:textId="405EFB20" w:rsidR="00707130" w:rsidRDefault="00707130" w:rsidP="00707130">
            <w:r>
              <w:t>In the first half of 2020, a number of governments enhanced their foreign investment screening frameworks or accelerated the introduction of new measures as a response to the COVID</w:t>
            </w:r>
            <w:r w:rsidR="00BD4D19">
              <w:noBreakHyphen/>
            </w:r>
            <w:r>
              <w:t xml:space="preserve">19 pandemic. </w:t>
            </w:r>
            <w:r w:rsidRPr="00C1516A">
              <w:rPr>
                <w:b/>
              </w:rPr>
              <w:t>Canada</w:t>
            </w:r>
            <w:r w:rsidRPr="00B731EE">
              <w:rPr>
                <w:b/>
              </w:rPr>
              <w:t>, France, Hungary, Italy</w:t>
            </w:r>
            <w:r>
              <w:rPr>
                <w:b/>
              </w:rPr>
              <w:t xml:space="preserve"> </w:t>
            </w:r>
            <w:r w:rsidRPr="00C1516A">
              <w:t>and</w:t>
            </w:r>
            <w:r>
              <w:rPr>
                <w:b/>
              </w:rPr>
              <w:t xml:space="preserve"> New Zealand</w:t>
            </w:r>
            <w:r>
              <w:t xml:space="preserve"> made temporary adjustments to lower screening thresholds or applied more stringent rules to a broader range of transactions. </w:t>
            </w:r>
            <w:r w:rsidRPr="009C3900">
              <w:rPr>
                <w:b/>
              </w:rPr>
              <w:t>France</w:t>
            </w:r>
            <w:r>
              <w:t xml:space="preserve">, </w:t>
            </w:r>
            <w:r w:rsidRPr="009C3900">
              <w:rPr>
                <w:b/>
              </w:rPr>
              <w:t>Germany</w:t>
            </w:r>
            <w:r>
              <w:t xml:space="preserve">, </w:t>
            </w:r>
            <w:r w:rsidRPr="009C3900">
              <w:rPr>
                <w:b/>
              </w:rPr>
              <w:t>Japan</w:t>
            </w:r>
            <w:r>
              <w:t xml:space="preserve"> and </w:t>
            </w:r>
            <w:r w:rsidRPr="009C3900">
              <w:rPr>
                <w:b/>
              </w:rPr>
              <w:t>Spain</w:t>
            </w:r>
            <w:r>
              <w:t xml:space="preserve"> made permanent changes to their investment screening frameworks. Additionally, </w:t>
            </w:r>
            <w:r w:rsidRPr="00B845E5">
              <w:rPr>
                <w:b/>
              </w:rPr>
              <w:t>India</w:t>
            </w:r>
            <w:r>
              <w:t xml:space="preserve"> and </w:t>
            </w:r>
            <w:r w:rsidRPr="00B845E5">
              <w:rPr>
                <w:b/>
              </w:rPr>
              <w:t>Romania</w:t>
            </w:r>
            <w:r>
              <w:t xml:space="preserve"> introduced new rules directly linked to the COVID</w:t>
            </w:r>
            <w:r w:rsidR="00BD4D19">
              <w:noBreakHyphen/>
            </w:r>
            <w:r>
              <w:t xml:space="preserve">19 pandemic, while </w:t>
            </w:r>
            <w:r w:rsidRPr="00B845E5">
              <w:rPr>
                <w:b/>
              </w:rPr>
              <w:t>China</w:t>
            </w:r>
            <w:r>
              <w:t xml:space="preserve"> and </w:t>
            </w:r>
            <w:r w:rsidRPr="00B845E5">
              <w:rPr>
                <w:b/>
              </w:rPr>
              <w:t>Russia</w:t>
            </w:r>
            <w:r>
              <w:t xml:space="preserve"> passed more comprehensive foreign investment reforms.</w:t>
            </w:r>
          </w:p>
          <w:p w14:paraId="29C31311" w14:textId="707D1F05" w:rsidR="00707130" w:rsidRDefault="00707130" w:rsidP="00E6535D">
            <w:pPr>
              <w:spacing w:after="120"/>
            </w:pPr>
            <w:r w:rsidRPr="00402DFE">
              <w:t>On 25 March 2020</w:t>
            </w:r>
            <w:r>
              <w:t>, the</w:t>
            </w:r>
            <w:r w:rsidRPr="00402DFE">
              <w:t xml:space="preserve"> </w:t>
            </w:r>
            <w:r w:rsidRPr="00402DFE">
              <w:rPr>
                <w:b/>
              </w:rPr>
              <w:t>European</w:t>
            </w:r>
            <w:r w:rsidRPr="00402DFE">
              <w:t xml:space="preserve"> </w:t>
            </w:r>
            <w:r w:rsidRPr="0068315A">
              <w:rPr>
                <w:b/>
              </w:rPr>
              <w:t>Commission</w:t>
            </w:r>
            <w:r w:rsidRPr="00402DFE">
              <w:t xml:space="preserve"> issued Guidelines calling on </w:t>
            </w:r>
            <w:r>
              <w:t xml:space="preserve">European Union </w:t>
            </w:r>
            <w:r w:rsidRPr="00402DFE">
              <w:t>Member States to implement rigi</w:t>
            </w:r>
            <w:r>
              <w:t xml:space="preserve">d foreign investment screening </w:t>
            </w:r>
            <w:r w:rsidR="00BD4D19">
              <w:t>‘</w:t>
            </w:r>
            <w:r w:rsidRPr="00402DFE">
              <w:t>in a time of public health crisis and</w:t>
            </w:r>
            <w:r>
              <w:t xml:space="preserve"> related economic vulnerability</w:t>
            </w:r>
            <w:r w:rsidR="00BD4D19">
              <w:t>’</w:t>
            </w:r>
            <w:r w:rsidRPr="00402DFE">
              <w:t xml:space="preserve"> </w:t>
            </w:r>
            <w:r>
              <w:t xml:space="preserve">to safeguard </w:t>
            </w:r>
            <w:r w:rsidRPr="00402DFE">
              <w:t>E</w:t>
            </w:r>
            <w:r>
              <w:t xml:space="preserve">uropean </w:t>
            </w:r>
            <w:r w:rsidRPr="00402DFE">
              <w:t>U</w:t>
            </w:r>
            <w:r>
              <w:t>nion</w:t>
            </w:r>
            <w:r w:rsidRPr="00402DFE">
              <w:t xml:space="preserve"> critical companies and assets from foreign acquisitions. This applie</w:t>
            </w:r>
            <w:r>
              <w:t>d</w:t>
            </w:r>
            <w:r w:rsidRPr="00402DFE">
              <w:t xml:space="preserve"> particularly to the public health, pharmaceutical, medical research, infrastructure and biotechnology sectors.</w:t>
            </w:r>
          </w:p>
        </w:tc>
      </w:tr>
    </w:tbl>
    <w:bookmarkEnd w:id="68"/>
    <w:p w14:paraId="3E18BDAF" w14:textId="2A3722BC" w:rsidR="0065385B" w:rsidRDefault="0065385B" w:rsidP="0065385B">
      <w:r>
        <w:t xml:space="preserve">In response to </w:t>
      </w:r>
      <w:r w:rsidR="001014F0">
        <w:t xml:space="preserve">the </w:t>
      </w:r>
      <w:r>
        <w:t>COVID</w:t>
      </w:r>
      <w:r w:rsidR="00BD4D19">
        <w:noBreakHyphen/>
      </w:r>
      <w:r>
        <w:t>19</w:t>
      </w:r>
      <w:r w:rsidR="001014F0">
        <w:t xml:space="preserve"> pandemic</w:t>
      </w:r>
      <w:r>
        <w:t>, significant changes to Australia</w:t>
      </w:r>
      <w:r w:rsidR="00BD4D19">
        <w:t>’</w:t>
      </w:r>
      <w:r>
        <w:t xml:space="preserve">s foreign investment policy settings were implemented to safeguard the national interest. </w:t>
      </w:r>
      <w:r w:rsidR="00451895">
        <w:t>Usually investments are on</w:t>
      </w:r>
      <w:r w:rsidR="00107BEC">
        <w:t>ly</w:t>
      </w:r>
      <w:r w:rsidR="00451895">
        <w:t xml:space="preserve"> screened if the</w:t>
      </w:r>
      <w:r w:rsidR="009922A5">
        <w:t>y</w:t>
      </w:r>
      <w:r w:rsidR="00451895">
        <w:t xml:space="preserve"> f</w:t>
      </w:r>
      <w:r w:rsidR="009922A5">
        <w:t>all above a</w:t>
      </w:r>
      <w:r w:rsidR="00C6582F">
        <w:t xml:space="preserve"> range </w:t>
      </w:r>
      <w:r w:rsidR="009922A5">
        <w:t>of monetary threshold</w:t>
      </w:r>
      <w:r w:rsidR="00AD42C0">
        <w:t xml:space="preserve">s. </w:t>
      </w:r>
      <w:r w:rsidR="009922A5">
        <w:t>For foreign investors from countries with which Australia has a Free Trade Agreement, this can be as high as $1.2</w:t>
      </w:r>
      <w:r w:rsidR="00744E35">
        <w:t> </w:t>
      </w:r>
      <w:r w:rsidR="009922A5">
        <w:t>billon,</w:t>
      </w:r>
      <w:r w:rsidR="00C6582F">
        <w:t xml:space="preserve"> noting that varying levels of thresholds can apply. A</w:t>
      </w:r>
      <w:r w:rsidR="009922A5">
        <w:t>ll</w:t>
      </w:r>
      <w:r w:rsidR="00C6582F">
        <w:t xml:space="preserve"> investment applications from </w:t>
      </w:r>
      <w:r w:rsidR="009922A5">
        <w:t>Foreign Government Investor</w:t>
      </w:r>
      <w:r w:rsidR="00C6582F">
        <w:t xml:space="preserve">s are </w:t>
      </w:r>
      <w:r w:rsidR="009922A5">
        <w:t>screened.</w:t>
      </w:r>
    </w:p>
    <w:p w14:paraId="5631C04F" w14:textId="0CE2293B" w:rsidR="0065385B" w:rsidRDefault="0065385B" w:rsidP="0065385B">
      <w:r>
        <w:t xml:space="preserve">On 29 March 2020, the Government temporarily reduced all screening thresholds under the Act to $0 to ensure it had appropriate scrutiny of proposed foreign investments during the </w:t>
      </w:r>
      <w:r w:rsidR="004455E9">
        <w:t>COVID</w:t>
      </w:r>
      <w:r w:rsidR="00BD4D19">
        <w:noBreakHyphen/>
      </w:r>
      <w:r w:rsidR="004455E9">
        <w:t xml:space="preserve">19 </w:t>
      </w:r>
      <w:r>
        <w:t>pandemic. The Government emphasised that while the measures were needed to protect the national interest, they were</w:t>
      </w:r>
      <w:r w:rsidRPr="00FD5FC2">
        <w:t xml:space="preserve"> temporary </w:t>
      </w:r>
      <w:r>
        <w:t>and would</w:t>
      </w:r>
      <w:r w:rsidRPr="00FD5FC2">
        <w:t xml:space="preserve"> </w:t>
      </w:r>
      <w:r>
        <w:t>only be in place during the COVID</w:t>
      </w:r>
      <w:r w:rsidR="00BD4D19">
        <w:noBreakHyphen/>
      </w:r>
      <w:r>
        <w:t>19</w:t>
      </w:r>
      <w:r w:rsidRPr="00FD5FC2">
        <w:t xml:space="preserve"> </w:t>
      </w:r>
      <w:r w:rsidR="007A5574">
        <w:t>pandemic</w:t>
      </w:r>
      <w:r w:rsidRPr="00FD5FC2">
        <w:t>.</w:t>
      </w:r>
    </w:p>
    <w:p w14:paraId="4DAB7974" w14:textId="45F93F21" w:rsidR="0065385B" w:rsidRDefault="0065385B" w:rsidP="0065385B">
      <w:r w:rsidRPr="00ED253E">
        <w:t>Recognising this</w:t>
      </w:r>
      <w:r>
        <w:t xml:space="preserve"> change</w:t>
      </w:r>
      <w:r w:rsidRPr="00ED253E">
        <w:t xml:space="preserve"> would increase </w:t>
      </w:r>
      <w:r>
        <w:t xml:space="preserve">the </w:t>
      </w:r>
      <w:r w:rsidRPr="00ED253E">
        <w:t>caseload</w:t>
      </w:r>
      <w:r>
        <w:t xml:space="preserve"> of foreign investment applications</w:t>
      </w:r>
      <w:r w:rsidRPr="00ED253E">
        <w:t xml:space="preserve">, </w:t>
      </w:r>
      <w:r>
        <w:t xml:space="preserve">Treasury </w:t>
      </w:r>
      <w:r w:rsidRPr="00ED253E">
        <w:t>work</w:t>
      </w:r>
      <w:r>
        <w:t>ed</w:t>
      </w:r>
      <w:r w:rsidRPr="00ED253E">
        <w:t xml:space="preserve"> with applicants to extend processing timeframes to </w:t>
      </w:r>
      <w:r>
        <w:t xml:space="preserve">up to </w:t>
      </w:r>
      <w:r w:rsidRPr="00ED253E">
        <w:t>six months to ensure adequate time for screening</w:t>
      </w:r>
      <w:r>
        <w:t>, with the aim of prioritising</w:t>
      </w:r>
      <w:r w:rsidRPr="00D76776">
        <w:t xml:space="preserve"> urgent applications that supported Australian jobs and businesses</w:t>
      </w:r>
      <w:r>
        <w:t>.</w:t>
      </w:r>
      <w:r w:rsidRPr="008D74B2">
        <w:t xml:space="preserve"> </w:t>
      </w:r>
      <w:r>
        <w:t>At the same time, Treasury</w:t>
      </w:r>
      <w:r w:rsidRPr="00ED253E">
        <w:t xml:space="preserve"> took steps </w:t>
      </w:r>
      <w:r>
        <w:t xml:space="preserve">to support a significant increase in the volume of new applications and enquiries. These included reviewing business practices and capability needs, introducing a </w:t>
      </w:r>
      <w:r w:rsidRPr="00ED253E">
        <w:t>risk</w:t>
      </w:r>
      <w:r w:rsidR="00BD4D19">
        <w:noBreakHyphen/>
      </w:r>
      <w:r w:rsidRPr="00ED253E">
        <w:t>based triaging</w:t>
      </w:r>
      <w:r w:rsidRPr="00ED253E" w:rsidDel="00152A9F">
        <w:t xml:space="preserve"> </w:t>
      </w:r>
      <w:r>
        <w:t>process,</w:t>
      </w:r>
      <w:r w:rsidDel="0087119F">
        <w:t xml:space="preserve"> </w:t>
      </w:r>
      <w:r>
        <w:t>increasing staffing numbers to manage the growing caseload, and</w:t>
      </w:r>
      <w:r w:rsidRPr="00ED253E" w:rsidDel="00152A9F">
        <w:t xml:space="preserve"> </w:t>
      </w:r>
      <w:r>
        <w:t>initiatives to improve I</w:t>
      </w:r>
      <w:r w:rsidR="00856D62">
        <w:t>C</w:t>
      </w:r>
      <w:r>
        <w:t>T, staff development and training</w:t>
      </w:r>
      <w:r w:rsidRPr="00ED253E">
        <w:t>.</w:t>
      </w:r>
      <w:r>
        <w:t xml:space="preserve"> Consequently, the great majority of </w:t>
      </w:r>
      <w:r w:rsidR="00DE0ED5">
        <w:t xml:space="preserve">applications </w:t>
      </w:r>
      <w:r>
        <w:t>were processed much faster than six</w:t>
      </w:r>
      <w:r w:rsidR="004C30F4">
        <w:t> </w:t>
      </w:r>
      <w:r>
        <w:t>months</w:t>
      </w:r>
      <w:r w:rsidR="007A5574">
        <w:t>,</w:t>
      </w:r>
      <w:r>
        <w:t xml:space="preserve"> </w:t>
      </w:r>
      <w:r w:rsidR="005A400B">
        <w:t xml:space="preserve">with the </w:t>
      </w:r>
      <w:r w:rsidR="00CA6460">
        <w:t>median</w:t>
      </w:r>
      <w:r w:rsidR="005A400B">
        <w:t xml:space="preserve"> processing times during the last quarter of 2019</w:t>
      </w:r>
      <w:r w:rsidR="00F26A86">
        <w:t>–</w:t>
      </w:r>
      <w:r w:rsidR="005A400B">
        <w:t>20 being less than two months</w:t>
      </w:r>
      <w:r w:rsidR="00D07401">
        <w:t>.</w:t>
      </w:r>
      <w:r w:rsidR="00EC68A4">
        <w:t xml:space="preserve"> </w:t>
      </w:r>
      <w:r w:rsidR="00D07401">
        <w:t>M</w:t>
      </w:r>
      <w:r w:rsidR="00943281">
        <w:t xml:space="preserve">easures were implemented </w:t>
      </w:r>
      <w:r w:rsidR="005D7BBB">
        <w:t>as part of the Government</w:t>
      </w:r>
      <w:r w:rsidR="00BD4D19">
        <w:t>’</w:t>
      </w:r>
      <w:r w:rsidR="005D7BBB">
        <w:t>s commitment to</w:t>
      </w:r>
      <w:r>
        <w:t xml:space="preserve"> </w:t>
      </w:r>
      <w:r w:rsidR="005D7BBB">
        <w:t>me</w:t>
      </w:r>
      <w:r w:rsidR="00231445">
        <w:t>e</w:t>
      </w:r>
      <w:r w:rsidR="005D7BBB">
        <w:t xml:space="preserve">t </w:t>
      </w:r>
      <w:r>
        <w:t>commercial deadlines where</w:t>
      </w:r>
      <w:r w:rsidR="005D7BBB">
        <w:t>ver</w:t>
      </w:r>
      <w:r>
        <w:t xml:space="preserve"> possible.</w:t>
      </w:r>
    </w:p>
    <w:p w14:paraId="465F406A" w14:textId="713EF715" w:rsidR="0065385B" w:rsidRDefault="0065385B" w:rsidP="0065385B">
      <w:r>
        <w:t>Treasury</w:t>
      </w:r>
      <w:r w:rsidRPr="00ED253E">
        <w:t xml:space="preserve"> </w:t>
      </w:r>
      <w:r>
        <w:t>also developed polic</w:t>
      </w:r>
      <w:r w:rsidR="00423801">
        <w:t>ies</w:t>
      </w:r>
      <w:r>
        <w:t xml:space="preserve"> and drafted regulations to implement the temporary measures. Upon announcement, a Questions and Answers sheet and a new Guidance Note were published on the </w:t>
      </w:r>
      <w:r w:rsidR="002F791C" w:rsidRPr="00A84283">
        <w:t>F</w:t>
      </w:r>
      <w:r w:rsidR="002F791C">
        <w:t xml:space="preserve">oreign Investment </w:t>
      </w:r>
      <w:r w:rsidR="002F791C" w:rsidRPr="00A84283">
        <w:t>R</w:t>
      </w:r>
      <w:r w:rsidR="002F791C">
        <w:t xml:space="preserve">eview </w:t>
      </w:r>
      <w:r w:rsidR="002F791C" w:rsidRPr="00A84283">
        <w:t>B</w:t>
      </w:r>
      <w:r w:rsidR="002F791C">
        <w:t>oard</w:t>
      </w:r>
      <w:r>
        <w:t xml:space="preserve"> website to</w:t>
      </w:r>
      <w:r w:rsidRPr="00FD5FC2">
        <w:t xml:space="preserve"> </w:t>
      </w:r>
      <w:r>
        <w:t>provide information on the temporary changes. The new Guidance Note was updated a number of times to address</w:t>
      </w:r>
      <w:r w:rsidR="007A5574">
        <w:t xml:space="preserve"> new</w:t>
      </w:r>
      <w:r>
        <w:t xml:space="preserve"> issues raised by investors and help them understand how the </w:t>
      </w:r>
      <w:r w:rsidR="00D07401">
        <w:rPr>
          <w:rFonts w:cstheme="minorHAnsi"/>
        </w:rPr>
        <w:t>zero dollar threshold </w:t>
      </w:r>
      <w:r>
        <w:t>would apply in various circumstances. Treasury closely engaged with a broad range of stakeholders during this period.</w:t>
      </w:r>
    </w:p>
    <w:p w14:paraId="4F370437" w14:textId="6A2155DF" w:rsidR="00F4354E" w:rsidRDefault="0065385B" w:rsidP="0065385B">
      <w:r>
        <w:t>When announcing reforms to the foreign investment framework on 5</w:t>
      </w:r>
      <w:r w:rsidR="00744E35">
        <w:t> </w:t>
      </w:r>
      <w:r>
        <w:t>June</w:t>
      </w:r>
      <w:r w:rsidR="00744E35">
        <w:t> </w:t>
      </w:r>
      <w:r>
        <w:t xml:space="preserve">2020 (see below), the Treasurer indicated his intention </w:t>
      </w:r>
      <w:r w:rsidR="00DD68A4">
        <w:t xml:space="preserve">that </w:t>
      </w:r>
      <w:r>
        <w:t>there</w:t>
      </w:r>
      <w:r w:rsidR="00CA6460">
        <w:t xml:space="preserve"> would</w:t>
      </w:r>
      <w:r>
        <w:t xml:space="preserve"> be a smooth transition from the </w:t>
      </w:r>
      <w:r w:rsidR="00CA6460">
        <w:rPr>
          <w:rFonts w:cstheme="minorHAnsi"/>
        </w:rPr>
        <w:t>zero</w:t>
      </w:r>
      <w:r w:rsidR="00E6535D">
        <w:rPr>
          <w:rFonts w:cstheme="minorHAnsi"/>
        </w:rPr>
        <w:t> </w:t>
      </w:r>
      <w:r w:rsidR="00CA6460">
        <w:rPr>
          <w:rFonts w:cstheme="minorHAnsi"/>
        </w:rPr>
        <w:t>dollar</w:t>
      </w:r>
      <w:r w:rsidR="00AD42C0">
        <w:rPr>
          <w:rFonts w:cstheme="minorHAnsi"/>
        </w:rPr>
        <w:t xml:space="preserve"> </w:t>
      </w:r>
      <w:r w:rsidR="00CA6460">
        <w:rPr>
          <w:rFonts w:cstheme="minorHAnsi"/>
        </w:rPr>
        <w:t>threshold </w:t>
      </w:r>
      <w:r>
        <w:t xml:space="preserve">measures to </w:t>
      </w:r>
      <w:r w:rsidR="002C2846">
        <w:t>the new legislative framework that commenced on 1</w:t>
      </w:r>
      <w:r w:rsidR="00F4354E">
        <w:t> </w:t>
      </w:r>
      <w:r w:rsidR="002C2846">
        <w:t>January</w:t>
      </w:r>
      <w:r w:rsidR="00F4354E">
        <w:t> </w:t>
      </w:r>
      <w:r w:rsidR="002C2846">
        <w:t>2021</w:t>
      </w:r>
      <w:r>
        <w:t xml:space="preserve">. </w:t>
      </w:r>
    </w:p>
    <w:p w14:paraId="0CA9866E" w14:textId="77777777" w:rsidR="00F4354E" w:rsidRDefault="00F4354E">
      <w:pPr>
        <w:spacing w:after="0" w:line="240" w:lineRule="auto"/>
        <w:jc w:val="left"/>
      </w:pPr>
      <w:r>
        <w:br w:type="page"/>
      </w:r>
    </w:p>
    <w:p w14:paraId="5E96D245" w14:textId="77777777" w:rsidR="008B6E76" w:rsidRDefault="00377D63" w:rsidP="00377D63">
      <w:pPr>
        <w:spacing w:after="0" w:line="240" w:lineRule="auto"/>
        <w:jc w:val="left"/>
      </w:pPr>
      <w:r w:rsidRPr="007C6F91">
        <w:rPr>
          <w:rFonts w:eastAsia="Calibri"/>
          <w:noProof/>
        </w:rPr>
        <mc:AlternateContent>
          <mc:Choice Requires="wps">
            <w:drawing>
              <wp:inline distT="0" distB="0" distL="0" distR="0" wp14:anchorId="6036B62F" wp14:editId="34118B6E">
                <wp:extent cx="4895850" cy="7522234"/>
                <wp:effectExtent l="0" t="0" r="0" b="2540"/>
                <wp:docPr id="20" name="Snip and Round Single Corner Rectangle 1"/>
                <wp:cNvGraphicFramePr/>
                <a:graphic xmlns:a="http://schemas.openxmlformats.org/drawingml/2006/main">
                  <a:graphicData uri="http://schemas.microsoft.com/office/word/2010/wordprocessingShape">
                    <wps:wsp>
                      <wps:cNvSpPr/>
                      <wps:spPr>
                        <a:xfrm>
                          <a:off x="0" y="0"/>
                          <a:ext cx="4895850" cy="7522234"/>
                        </a:xfrm>
                        <a:prstGeom prst="snipRoundRect">
                          <a:avLst>
                            <a:gd name="adj1" fmla="val 5531"/>
                            <a:gd name="adj2" fmla="val 10817"/>
                          </a:avLst>
                        </a:prstGeom>
                        <a:solidFill>
                          <a:schemeClr val="accent1"/>
                        </a:solidFill>
                        <a:ln w="25400" cap="flat" cmpd="sng" algn="ctr">
                          <a:noFill/>
                          <a:prstDash val="solid"/>
                        </a:ln>
                        <a:effectLst/>
                      </wps:spPr>
                      <wps:txbx>
                        <w:txbxContent>
                          <w:p w14:paraId="16F9CD28" w14:textId="77777777" w:rsidR="00454210" w:rsidRPr="00820C89" w:rsidRDefault="00454210" w:rsidP="00377D63">
                            <w:pPr>
                              <w:pStyle w:val="CaseStudyHeading"/>
                            </w:pPr>
                            <w:bookmarkStart w:id="69" w:name="_Toc63782882"/>
                            <w:bookmarkStart w:id="70" w:name="_Toc73984755"/>
                            <w:r w:rsidRPr="00820C89">
                              <w:t>Virgin</w:t>
                            </w:r>
                            <w:r>
                              <w:t xml:space="preserve"> </w:t>
                            </w:r>
                            <w:r w:rsidRPr="00377D63">
                              <w:t>Australia</w:t>
                            </w:r>
                            <w:bookmarkEnd w:id="69"/>
                            <w:bookmarkEnd w:id="70"/>
                          </w:p>
                          <w:p w14:paraId="084044A3" w14:textId="5107C528" w:rsidR="00454210" w:rsidRDefault="00454210" w:rsidP="00377D63">
                            <w:pPr>
                              <w:pStyle w:val="CaseStudyText"/>
                            </w:pPr>
                            <w:r>
                              <w:t>Foreign investment has played an important part in helping businesses get through the downturn caused by the COVID</w:t>
                            </w:r>
                            <w:r>
                              <w:noBreakHyphen/>
                              <w:t>19 pandemic by securing jobs and supporting Australia’s economic recovery.</w:t>
                            </w:r>
                          </w:p>
                          <w:p w14:paraId="2495D12C" w14:textId="1911036E" w:rsidR="00454210" w:rsidRDefault="00454210" w:rsidP="00377D63">
                            <w:pPr>
                              <w:pStyle w:val="CaseStudyText"/>
                            </w:pPr>
                            <w:r>
                              <w:t>In November 2020, investment vehicles advised by the Boston</w:t>
                            </w:r>
                            <w:r>
                              <w:noBreakHyphen/>
                              <w:t>headquartered investment firm Bain Capital completed their acquisition of Virgin Australia Holdings Limited (Virgin Australia) following a competitive sale process.</w:t>
                            </w:r>
                          </w:p>
                          <w:p w14:paraId="2286420E" w14:textId="16F24C21" w:rsidR="00454210" w:rsidRDefault="00454210" w:rsidP="00377D63">
                            <w:pPr>
                              <w:pStyle w:val="CaseStudyText"/>
                            </w:pPr>
                            <w:r>
                              <w:t>Australia’s second largest airline, Virgin Australia, and many of its subsidiaries, had entered into voluntary administration in April 2020. Prior to the COVID</w:t>
                            </w:r>
                            <w:r>
                              <w:noBreakHyphen/>
                              <w:t>19 pandemic, Virgin Australia had employed around 10,000 people and a further 6,000 indirectly, flew to 15 international and 39 domestic destinations and had more than 10 million members of its Velocity loyalty program.</w:t>
                            </w:r>
                          </w:p>
                          <w:p w14:paraId="13A0C7FD" w14:textId="6FBB33B2" w:rsidR="00454210" w:rsidRDefault="00454210" w:rsidP="00377D63">
                            <w:pPr>
                              <w:pStyle w:val="CaseStudyText"/>
                            </w:pPr>
                            <w:r>
                              <w:t xml:space="preserve">Facing significant liquidity concerns around the airline, Virgin Australia’s administrator ran a compressed recapitalisation and sale process. The Foreign Investment Review Board worked closely with </w:t>
                            </w:r>
                            <w:r w:rsidRPr="00DC7356">
                              <w:t>Commonwealth and state and territory regulators</w:t>
                            </w:r>
                            <w:r>
                              <w:t>, Virgin Australia’s administrator and potential investors to protect the national interest and ensure a sale could be completed in a timely manner.</w:t>
                            </w:r>
                          </w:p>
                          <w:p w14:paraId="1A24F188" w14:textId="77777777" w:rsidR="00454210" w:rsidRDefault="00454210" w:rsidP="00377D63">
                            <w:pPr>
                              <w:pStyle w:val="CaseStudyText"/>
                            </w:pPr>
                            <w:r>
                              <w:t xml:space="preserve">This successful investment in Virgin Australia supported Australian jobs and allowed the airline to continue to operate. A commercially viable second domestic airline group is vital to ensuring Australia has a competitive and sustainable aviation sector. </w:t>
                            </w:r>
                          </w:p>
                          <w:p w14:paraId="16529FDD" w14:textId="77777777" w:rsidR="00454210" w:rsidRDefault="00454210" w:rsidP="00873AA9">
                            <w:pPr>
                              <w:pStyle w:val="ChartGraphic"/>
                              <w:spacing w:before="240"/>
                              <w:ind w:left="227"/>
                            </w:pPr>
                            <w:r>
                              <w:rPr>
                                <w:noProof/>
                              </w:rPr>
                              <w:drawing>
                                <wp:inline distT="0" distB="0" distL="0" distR="0" wp14:anchorId="7F6F7679" wp14:editId="560967DF">
                                  <wp:extent cx="3989312" cy="29181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3400" cy="2928498"/>
                                          </a:xfrm>
                                          <a:prstGeom prst="rect">
                                            <a:avLst/>
                                          </a:prstGeom>
                                          <a:noFill/>
                                        </pic:spPr>
                                      </pic:pic>
                                    </a:graphicData>
                                  </a:graphic>
                                </wp:inline>
                              </w:drawing>
                            </w:r>
                          </w:p>
                          <w:p w14:paraId="7ACB9043" w14:textId="77777777" w:rsidR="00454210" w:rsidRPr="00377D63" w:rsidRDefault="00454210" w:rsidP="00377D63">
                            <w:pPr>
                              <w:pStyle w:val="ChartGraphic"/>
                            </w:pP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inline>
            </w:drawing>
          </mc:Choice>
          <mc:Fallback>
            <w:pict>
              <v:shape w14:anchorId="6036B62F" id="Snip and Round Single Corner Rectangle 1" o:spid="_x0000_s1026" style="width:385.5pt;height:592.3pt;visibility:visible;mso-wrap-style:square;mso-left-percent:-10001;mso-top-percent:-10001;mso-position-horizontal:absolute;mso-position-horizontal-relative:char;mso-position-vertical:absolute;mso-position-vertical-relative:line;mso-left-percent:-10001;mso-top-percent:-10001;v-text-anchor:top" coordsize="4895850,75222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" adj="-11796480,,5400" path="m270789,l4366266,r529584,529584l4895850,7522234,,7522234,,270789c,121236,121236,,270789,xe" fillcolor="#477b59 [3204]" stroked="f" strokeweight="2pt">
                <v:stroke joinstyle="miter"/>
                <v:formulas/>
                <v:path arrowok="t" o:connecttype="custom" o:connectlocs="270789,0;4366266,0;4895850,529584;4895850,7522234;0,7522234;0,270789;270789,0" o:connectangles="0,0,0,0,0,0,0" textboxrect="0,0,4895850,7522234"/>
                <v:textbox inset=".5mm,0,.5mm,0">
                  <w:txbxContent>
                    <w:p w14:paraId="16F9CD28" w14:textId="77777777" w:rsidR="00454210" w:rsidRPr="00820C89" w:rsidRDefault="00454210" w:rsidP="00377D63">
                      <w:pPr>
                        <w:pStyle w:val="CaseStudyHeading"/>
                      </w:pPr>
                      <w:bookmarkStart w:id="71" w:name="_Toc63782882"/>
                      <w:bookmarkStart w:id="72" w:name="_Toc73984755"/>
                      <w:r w:rsidRPr="00820C89">
                        <w:t>Virgin</w:t>
                      </w:r>
                      <w:r>
                        <w:t xml:space="preserve"> </w:t>
                      </w:r>
                      <w:r w:rsidRPr="00377D63">
                        <w:t>Australia</w:t>
                      </w:r>
                      <w:bookmarkEnd w:id="71"/>
                      <w:bookmarkEnd w:id="72"/>
                    </w:p>
                    <w:p w14:paraId="084044A3" w14:textId="5107C528" w:rsidR="00454210" w:rsidRDefault="00454210" w:rsidP="00377D63">
                      <w:pPr>
                        <w:pStyle w:val="CaseStudyText"/>
                      </w:pPr>
                      <w:r>
                        <w:t>Foreign investment has played an important part in helping businesses get through the downturn caused by the COVID</w:t>
                      </w:r>
                      <w:r>
                        <w:noBreakHyphen/>
                        <w:t>19 pandemic by securing jobs and supporting Australia’s economic recovery.</w:t>
                      </w:r>
                    </w:p>
                    <w:p w14:paraId="2495D12C" w14:textId="1911036E" w:rsidR="00454210" w:rsidRDefault="00454210" w:rsidP="00377D63">
                      <w:pPr>
                        <w:pStyle w:val="CaseStudyText"/>
                      </w:pPr>
                      <w:r>
                        <w:t>In November 2020, investment vehicles advised by the Boston</w:t>
                      </w:r>
                      <w:r>
                        <w:noBreakHyphen/>
                        <w:t>headquartered investment firm Bain Capital completed their acquisition of Virgin Australia Holdings Limited (Virgin Australia) following a competitive sale process.</w:t>
                      </w:r>
                    </w:p>
                    <w:p w14:paraId="2286420E" w14:textId="16F24C21" w:rsidR="00454210" w:rsidRDefault="00454210" w:rsidP="00377D63">
                      <w:pPr>
                        <w:pStyle w:val="CaseStudyText"/>
                      </w:pPr>
                      <w:r>
                        <w:t xml:space="preserve">Australia’s second largest airline, Virgin Australia, and many of its subsidiaries, had </w:t>
                      </w:r>
                      <w:proofErr w:type="gramStart"/>
                      <w:r>
                        <w:t>entered into</w:t>
                      </w:r>
                      <w:proofErr w:type="gramEnd"/>
                      <w:r>
                        <w:t xml:space="preserve"> voluntary administration in April 2020. Prior to the COVID</w:t>
                      </w:r>
                      <w:r>
                        <w:noBreakHyphen/>
                        <w:t>19 pandemic, Virgin Australia had employed around 10,000 people and a further 6,000 indirectly, flew to 15 international and 39 domestic destinations and had more than 10 million members of its Velocity loyalty program.</w:t>
                      </w:r>
                    </w:p>
                    <w:p w14:paraId="13A0C7FD" w14:textId="6FBB33B2" w:rsidR="00454210" w:rsidRDefault="00454210" w:rsidP="00377D63">
                      <w:pPr>
                        <w:pStyle w:val="CaseStudyText"/>
                      </w:pPr>
                      <w:r>
                        <w:t xml:space="preserve">Facing significant liquidity concerns around the airline, Virgin Australia’s administrator ran a compressed recapitalisation and sale process. The Foreign Investment Review Board worked closely with </w:t>
                      </w:r>
                      <w:r w:rsidRPr="00DC7356">
                        <w:t>Commonwealth and state and territory regulators</w:t>
                      </w:r>
                      <w:r>
                        <w:t>, Virgin Australia’s administrator and potential investors to protect the national interest and ensure a sale could be completed in a timely manner.</w:t>
                      </w:r>
                    </w:p>
                    <w:p w14:paraId="1A24F188" w14:textId="77777777" w:rsidR="00454210" w:rsidRDefault="00454210" w:rsidP="00377D63">
                      <w:pPr>
                        <w:pStyle w:val="CaseStudyText"/>
                      </w:pPr>
                      <w:r>
                        <w:t xml:space="preserve">This successful investment in Virgin Australia supported Australian jobs and allowed the airline to continue to operate. A commercially viable second domestic airline group is vital to ensuring Australia has a competitive and sustainable aviation sector. </w:t>
                      </w:r>
                    </w:p>
                    <w:p w14:paraId="16529FDD" w14:textId="77777777" w:rsidR="00454210" w:rsidRDefault="00454210" w:rsidP="00873AA9">
                      <w:pPr>
                        <w:pStyle w:val="ChartGraphic"/>
                        <w:spacing w:before="240"/>
                        <w:ind w:left="227"/>
                      </w:pPr>
                      <w:r>
                        <w:rPr>
                          <w:noProof/>
                        </w:rPr>
                        <w:drawing>
                          <wp:inline distT="0" distB="0" distL="0" distR="0" wp14:anchorId="7F6F7679" wp14:editId="560967DF">
                            <wp:extent cx="3989312" cy="29181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3400" cy="2928498"/>
                                    </a:xfrm>
                                    <a:prstGeom prst="rect">
                                      <a:avLst/>
                                    </a:prstGeom>
                                    <a:noFill/>
                                  </pic:spPr>
                                </pic:pic>
                              </a:graphicData>
                            </a:graphic>
                          </wp:inline>
                        </w:drawing>
                      </w:r>
                    </w:p>
                    <w:p w14:paraId="7ACB9043" w14:textId="77777777" w:rsidR="00454210" w:rsidRPr="00377D63" w:rsidRDefault="00454210" w:rsidP="00377D63">
                      <w:pPr>
                        <w:pStyle w:val="ChartGraphic"/>
                      </w:pPr>
                    </w:p>
                  </w:txbxContent>
                </v:textbox>
                <w10:anchorlock/>
              </v:shape>
            </w:pict>
          </mc:Fallback>
        </mc:AlternateContent>
      </w:r>
    </w:p>
    <w:p w14:paraId="6E6A5645" w14:textId="77777777" w:rsidR="0065385B" w:rsidRDefault="0065385B" w:rsidP="0065385B">
      <w:pPr>
        <w:pStyle w:val="Heading3"/>
      </w:pPr>
      <w:r>
        <w:t>Foreign Investment Reforms</w:t>
      </w:r>
    </w:p>
    <w:p w14:paraId="007C7FB2" w14:textId="0B53BD2C" w:rsidR="0065385B" w:rsidRDefault="0065385B" w:rsidP="0065385B">
      <w:r>
        <w:t>On 5</w:t>
      </w:r>
      <w:r w:rsidR="00D82759">
        <w:t> </w:t>
      </w:r>
      <w:r>
        <w:t>June</w:t>
      </w:r>
      <w:r w:rsidR="00D82759">
        <w:t> </w:t>
      </w:r>
      <w:r>
        <w:t xml:space="preserve">2020, the Treasurer announced major reforms to the foreign investment framework. Though announced in the midst of </w:t>
      </w:r>
      <w:r w:rsidR="007A5574">
        <w:t xml:space="preserve">the </w:t>
      </w:r>
      <w:r>
        <w:t>COVID</w:t>
      </w:r>
      <w:r w:rsidR="00BD4D19">
        <w:noBreakHyphen/>
      </w:r>
      <w:r>
        <w:t>19</w:t>
      </w:r>
      <w:r w:rsidR="007A5574">
        <w:t xml:space="preserve"> pandemic</w:t>
      </w:r>
      <w:r>
        <w:t>, the reforms had been in development well before the pandemic</w:t>
      </w:r>
      <w:r w:rsidR="0054452F">
        <w:t>.</w:t>
      </w:r>
      <w:r>
        <w:t xml:space="preserve"> The reforms ensure Australia</w:t>
      </w:r>
      <w:r w:rsidR="00BD4D19">
        <w:t>’</w:t>
      </w:r>
      <w:r>
        <w:t xml:space="preserve">s </w:t>
      </w:r>
      <w:r w:rsidRPr="003717AD">
        <w:t>foreign investment framework keeps pace with global</w:t>
      </w:r>
      <w:r>
        <w:t xml:space="preserve"> </w:t>
      </w:r>
      <w:r w:rsidRPr="003717AD">
        <w:t xml:space="preserve">developments </w:t>
      </w:r>
      <w:r>
        <w:t>and emerging risks, particularly risks to national security</w:t>
      </w:r>
      <w:r w:rsidRPr="003717AD">
        <w:t>.</w:t>
      </w:r>
      <w:r>
        <w:t xml:space="preserve"> </w:t>
      </w:r>
      <w:r w:rsidRPr="00DC3613">
        <w:t>Key elements of the reforms include:</w:t>
      </w:r>
    </w:p>
    <w:p w14:paraId="433B6F0F" w14:textId="1ADB8D43" w:rsidR="0065385B" w:rsidRPr="00377D63" w:rsidRDefault="0065385B" w:rsidP="00377D63">
      <w:pPr>
        <w:pStyle w:val="Bullet"/>
      </w:pPr>
      <w:r w:rsidRPr="00377D63">
        <w:t>powers to protect national security, including through zero dollar screening of sensitive investments, the ability to call</w:t>
      </w:r>
      <w:r w:rsidR="00BD4D19">
        <w:noBreakHyphen/>
      </w:r>
      <w:r w:rsidRPr="00377D63">
        <w:t>in other investments that raise national security concerns, and a last resort power to be used only in exceptional circumstances</w:t>
      </w:r>
    </w:p>
    <w:p w14:paraId="5A207069" w14:textId="77777777" w:rsidR="0065385B" w:rsidRPr="00377D63" w:rsidRDefault="0065385B" w:rsidP="00377D63">
      <w:pPr>
        <w:pStyle w:val="Bullet"/>
      </w:pPr>
      <w:r w:rsidRPr="00377D63">
        <w:t>stronger compliance and enforcement powers, including expanding infringement notices and higher civil and criminal penalties. This will bring foreign investment regulation in line with comparable regulators</w:t>
      </w:r>
    </w:p>
    <w:p w14:paraId="298548E8" w14:textId="34A0EE75" w:rsidR="0065385B" w:rsidRPr="00377D63" w:rsidRDefault="0065385B" w:rsidP="00377D63">
      <w:pPr>
        <w:pStyle w:val="Bullet"/>
      </w:pPr>
      <w:r w:rsidRPr="00377D63">
        <w:t>measures to streamline certain non</w:t>
      </w:r>
      <w:r w:rsidR="00BD4D19">
        <w:noBreakHyphen/>
      </w:r>
      <w:r w:rsidRPr="00377D63">
        <w:t>sensitive investments, particularly by investment funds with passive foreign government investors</w:t>
      </w:r>
    </w:p>
    <w:p w14:paraId="794AC12C" w14:textId="77777777" w:rsidR="0065385B" w:rsidRPr="00377D63" w:rsidRDefault="0065385B" w:rsidP="00377D63">
      <w:pPr>
        <w:pStyle w:val="Bullet"/>
      </w:pPr>
      <w:r w:rsidRPr="00377D63">
        <w:t>a new register of foreign owned assets, including land, water entitlements and businesses</w:t>
      </w:r>
    </w:p>
    <w:p w14:paraId="43E1AD78" w14:textId="77777777" w:rsidR="0065385B" w:rsidRPr="00377D63" w:rsidRDefault="0065385B" w:rsidP="00377D63">
      <w:pPr>
        <w:pStyle w:val="Bullet"/>
      </w:pPr>
      <w:r w:rsidRPr="00377D63">
        <w:t>new fees that ensure the cost of administering the framework continues to be borne by foreign investors, not Australian taxpayers.</w:t>
      </w:r>
    </w:p>
    <w:p w14:paraId="43C8B16E" w14:textId="091ADE14" w:rsidR="005D7BBB" w:rsidRDefault="00BE1451" w:rsidP="00095160">
      <w:r>
        <w:t>The package was passed by the Parliament in December 2020 and commenced on 1 January 2021</w:t>
      </w:r>
      <w:r w:rsidR="00AD42C0">
        <w:t>. I</w:t>
      </w:r>
      <w:r w:rsidR="0054452F">
        <w:t>t</w:t>
      </w:r>
      <w:r w:rsidR="005D7BBB">
        <w:t xml:space="preserve"> is not expected that the reforms will detract from Australia</w:t>
      </w:r>
      <w:r w:rsidR="00BD4D19">
        <w:t>’</w:t>
      </w:r>
      <w:r w:rsidR="005D7BBB">
        <w:t>s attractiveness as a destination for foreign investment given its growing and well</w:t>
      </w:r>
      <w:r w:rsidR="00BD4D19">
        <w:noBreakHyphen/>
      </w:r>
      <w:r w:rsidR="005D7BBB">
        <w:t xml:space="preserve">educated population, rich natural resource base, </w:t>
      </w:r>
      <w:r w:rsidR="005D7BBB" w:rsidRPr="007938F5">
        <w:t>proximity to dynamic and fast</w:t>
      </w:r>
      <w:r w:rsidR="00BD4D19">
        <w:noBreakHyphen/>
      </w:r>
      <w:r w:rsidR="005D7BBB" w:rsidRPr="007938F5">
        <w:t xml:space="preserve">growing markets, </w:t>
      </w:r>
      <w:r w:rsidR="005D7BBB">
        <w:t>strong rule of law and well</w:t>
      </w:r>
      <w:r w:rsidR="00BD4D19">
        <w:noBreakHyphen/>
      </w:r>
      <w:r w:rsidR="005D7BBB">
        <w:t>managed economy.</w:t>
      </w:r>
    </w:p>
    <w:p w14:paraId="054BA4D4" w14:textId="77777777" w:rsidR="0065385B" w:rsidRDefault="0065385B" w:rsidP="0065385B">
      <w:pPr>
        <w:pStyle w:val="Heading2"/>
      </w:pPr>
      <w:bookmarkStart w:id="71" w:name="_Toc63782928"/>
      <w:bookmarkStart w:id="72" w:name="_Toc75244057"/>
      <w:r>
        <w:t>Key reports and inquiries</w:t>
      </w:r>
      <w:bookmarkEnd w:id="71"/>
      <w:bookmarkEnd w:id="72"/>
    </w:p>
    <w:p w14:paraId="41FF00A7" w14:textId="77777777" w:rsidR="0065385B" w:rsidRDefault="0065385B" w:rsidP="0065385B">
      <w:r>
        <w:t>Foreign investment has been the subject of public debate and scrutiny in 2019</w:t>
      </w:r>
      <w:r w:rsidR="00F26A86">
        <w:t>–</w:t>
      </w:r>
      <w:r>
        <w:t xml:space="preserve">20. There were a number of forums in which aspects of the foreign investment framework were considered, providing </w:t>
      </w:r>
      <w:r w:rsidRPr="00065E9E">
        <w:t xml:space="preserve">a valuable opportunity to reflect on the strengths and areas </w:t>
      </w:r>
      <w:r>
        <w:t>for</w:t>
      </w:r>
      <w:r w:rsidRPr="00065E9E">
        <w:t xml:space="preserve"> improvement in the framework.</w:t>
      </w:r>
      <w:r>
        <w:t xml:space="preserve"> </w:t>
      </w:r>
    </w:p>
    <w:p w14:paraId="6EC8E3E0" w14:textId="77777777" w:rsidR="0065385B" w:rsidRDefault="0065385B" w:rsidP="0065385B">
      <w:pPr>
        <w:pStyle w:val="Heading3"/>
      </w:pPr>
      <w:r>
        <w:t>Senate Inquiry into Foreign Investment Proposals</w:t>
      </w:r>
    </w:p>
    <w:p w14:paraId="2BDB0715" w14:textId="1DC1CD97" w:rsidR="0065385B" w:rsidRDefault="0065385B" w:rsidP="0065385B">
      <w:r w:rsidRPr="00DD06E3">
        <w:t>On 4</w:t>
      </w:r>
      <w:r w:rsidR="00D82759">
        <w:t> </w:t>
      </w:r>
      <w:r w:rsidRPr="00DD06E3">
        <w:t>December</w:t>
      </w:r>
      <w:r w:rsidR="00D82759">
        <w:t> </w:t>
      </w:r>
      <w:r w:rsidRPr="00DD06E3">
        <w:t>2019, the Senate referred an inquiry into foreign investment proposals to the Senate Economics References Committee</w:t>
      </w:r>
      <w:r>
        <w:t xml:space="preserve"> for inquiry and report</w:t>
      </w:r>
      <w:r w:rsidRPr="00DD06E3">
        <w:t>.</w:t>
      </w:r>
      <w:r>
        <w:t xml:space="preserve"> </w:t>
      </w:r>
      <w:r w:rsidR="00CE43E9" w:rsidRPr="00CE43E9">
        <w:t>The inquiry</w:t>
      </w:r>
      <w:r w:rsidR="00BD4D19">
        <w:t>’</w:t>
      </w:r>
      <w:r w:rsidR="00CE43E9" w:rsidRPr="00CE43E9">
        <w:t>s terms of reference asked for the review of foreign investment proposals against the national interest test, including some specific aspects such as: the protection of Australia</w:t>
      </w:r>
      <w:r w:rsidR="00BD4D19">
        <w:t>’</w:t>
      </w:r>
      <w:r w:rsidR="00CE43E9" w:rsidRPr="00CE43E9">
        <w:t>s market</w:t>
      </w:r>
      <w:r w:rsidR="00BD4D19">
        <w:noBreakHyphen/>
      </w:r>
      <w:r w:rsidR="00CE43E9" w:rsidRPr="00CE43E9">
        <w:t>based system, the impact of proposed foreign investment on competition, conditions, and the role of the</w:t>
      </w:r>
      <w:r w:rsidR="00F26BED">
        <w:t> </w:t>
      </w:r>
      <w:r w:rsidR="002F791C">
        <w:t>Board</w:t>
      </w:r>
      <w:r>
        <w:t>.</w:t>
      </w:r>
    </w:p>
    <w:p w14:paraId="0CAB6A1A" w14:textId="4D006B3D" w:rsidR="0065385B" w:rsidRDefault="0065385B" w:rsidP="0065385B">
      <w:r>
        <w:t>Treasury made a submission to the inquiry on 10</w:t>
      </w:r>
      <w:r w:rsidR="002F791C">
        <w:t> </w:t>
      </w:r>
      <w:r>
        <w:t>March</w:t>
      </w:r>
      <w:r w:rsidR="002F791C">
        <w:t> </w:t>
      </w:r>
      <w:r>
        <w:t>2020 and, in the reporting period, attended one public hearing (15 May</w:t>
      </w:r>
      <w:r w:rsidR="002F791C">
        <w:t> </w:t>
      </w:r>
      <w:r>
        <w:t>2020). Treasury</w:t>
      </w:r>
      <w:r w:rsidR="00BD4D19">
        <w:t>’</w:t>
      </w:r>
      <w:r>
        <w:t xml:space="preserve">s submission focused on the foreign investment framework, including its architecture and administration, the protection of confidential information, and the operation of conditions and compliance. </w:t>
      </w:r>
    </w:p>
    <w:p w14:paraId="27122723" w14:textId="77777777" w:rsidR="0065385B" w:rsidRDefault="0065385B" w:rsidP="0065385B">
      <w:pPr>
        <w:pStyle w:val="Heading3"/>
      </w:pPr>
      <w:r>
        <w:t>Productivity Commission Report</w:t>
      </w:r>
    </w:p>
    <w:p w14:paraId="7E742C53" w14:textId="4D4774D8" w:rsidR="0065385B" w:rsidRPr="004641FB" w:rsidRDefault="0065385B" w:rsidP="0065385B">
      <w:r w:rsidRPr="004641FB">
        <w:t>In June</w:t>
      </w:r>
      <w:r w:rsidR="002F791C">
        <w:t> </w:t>
      </w:r>
      <w:r w:rsidRPr="004641FB">
        <w:t>2020, the Productivity Commission released a research report on foreign investment and the Government</w:t>
      </w:r>
      <w:r w:rsidR="00BD4D19">
        <w:t>’</w:t>
      </w:r>
      <w:r w:rsidRPr="004641FB">
        <w:t>s policy</w:t>
      </w:r>
      <w:r>
        <w:t xml:space="preserve"> in that area</w:t>
      </w:r>
      <w:r w:rsidRPr="004641FB">
        <w:t>.</w:t>
      </w:r>
      <w:r>
        <w:t xml:space="preserve"> The report identifies a number of strengths in the current framework that should be retained, including that the Treasurer should remain the decision</w:t>
      </w:r>
      <w:r w:rsidR="00BD4D19">
        <w:noBreakHyphen/>
      </w:r>
      <w:r>
        <w:t xml:space="preserve">maker, </w:t>
      </w:r>
      <w:r w:rsidR="00BD4D19">
        <w:t>‘</w:t>
      </w:r>
      <w:r>
        <w:t>national interest</w:t>
      </w:r>
      <w:r w:rsidR="00BD4D19">
        <w:t>’</w:t>
      </w:r>
      <w:r>
        <w:t xml:space="preserve"> should not be strictly defined in legislation and the </w:t>
      </w:r>
      <w:r w:rsidR="00BD4D19">
        <w:t>‘</w:t>
      </w:r>
      <w:r>
        <w:t>negative test</w:t>
      </w:r>
      <w:r w:rsidR="00BD4D19">
        <w:t>’</w:t>
      </w:r>
      <w:r>
        <w:t xml:space="preserve"> should continue. </w:t>
      </w:r>
    </w:p>
    <w:p w14:paraId="49D55859" w14:textId="77777777" w:rsidR="0065385B" w:rsidRDefault="0065385B" w:rsidP="0065385B">
      <w:pPr>
        <w:pStyle w:val="Bullet"/>
        <w:numPr>
          <w:ilvl w:val="0"/>
          <w:numId w:val="0"/>
        </w:numPr>
      </w:pPr>
      <w:r>
        <w:t xml:space="preserve">The report also identified areas for improvement. For example, the Productivity Commission </w:t>
      </w:r>
      <w:r w:rsidR="005D7BBB">
        <w:t xml:space="preserve">observed </w:t>
      </w:r>
      <w:r>
        <w:t xml:space="preserve">that conditions are a limited means to address increasing national security risks, and recommended these risks would be better mitigated through national regulation. The report also called for stronger regulatory powers to address compliance, lower fees and greater transparency from the </w:t>
      </w:r>
      <w:r w:rsidR="002F791C">
        <w:t>Board</w:t>
      </w:r>
      <w:r>
        <w:t>. Some of these issues are addressed in the foreign investment reforms which commenced on 1</w:t>
      </w:r>
      <w:r w:rsidR="00317248">
        <w:t> </w:t>
      </w:r>
      <w:r>
        <w:t>January</w:t>
      </w:r>
      <w:r w:rsidR="00317248">
        <w:t> </w:t>
      </w:r>
      <w:r>
        <w:t xml:space="preserve">2021. </w:t>
      </w:r>
    </w:p>
    <w:p w14:paraId="18AB3343" w14:textId="77777777" w:rsidR="0065385B" w:rsidRDefault="0065385B" w:rsidP="0065385B">
      <w:pPr>
        <w:pStyle w:val="Heading3"/>
      </w:pPr>
      <w:r>
        <w:t>ACCC Water Report</w:t>
      </w:r>
    </w:p>
    <w:p w14:paraId="7ADA5E83" w14:textId="4E66764D" w:rsidR="0065385B" w:rsidRDefault="0065385B" w:rsidP="0065385B">
      <w:r>
        <w:t>As directed by the Government, on 7</w:t>
      </w:r>
      <w:r w:rsidR="00317248">
        <w:t> </w:t>
      </w:r>
      <w:r>
        <w:t>August</w:t>
      </w:r>
      <w:r w:rsidR="00317248">
        <w:t> </w:t>
      </w:r>
      <w:r>
        <w:t>2019 the Australian Competition and Consumer Commission (ACCC) commenced an inquiry into markets for tradeable water rights in the Murray</w:t>
      </w:r>
      <w:r w:rsidR="00BD4D19">
        <w:noBreakHyphen/>
      </w:r>
      <w:r>
        <w:t xml:space="preserve">Darling Basin. The scope of the inquiry includes the role and practices of market participants, including foreign investors, and their obligations for providing public information on water market activities and tradeable water right holdings. </w:t>
      </w:r>
    </w:p>
    <w:p w14:paraId="1D49C28C" w14:textId="77777777" w:rsidR="000376F1" w:rsidRDefault="000376F1" w:rsidP="00406C1F"/>
    <w:p w14:paraId="31B9311A" w14:textId="77777777" w:rsidR="000376F1" w:rsidRDefault="000376F1" w:rsidP="00406C1F">
      <w:pPr>
        <w:sectPr w:rsidR="000376F1" w:rsidSect="000376F1">
          <w:type w:val="oddPage"/>
          <w:pgSz w:w="11906" w:h="16838" w:code="9"/>
          <w:pgMar w:top="2466" w:right="2098" w:bottom="2466" w:left="2098" w:header="1899" w:footer="1899" w:gutter="0"/>
          <w:cols w:space="708"/>
          <w:titlePg/>
          <w:docGrid w:linePitch="360"/>
        </w:sectPr>
      </w:pPr>
    </w:p>
    <w:p w14:paraId="289D8DC9" w14:textId="77777777" w:rsidR="00A84283" w:rsidRPr="00D60D30" w:rsidRDefault="0047072A" w:rsidP="007674AA">
      <w:pPr>
        <w:pStyle w:val="Heading1"/>
      </w:pPr>
      <w:bookmarkStart w:id="73" w:name="_Toc31296901"/>
      <w:bookmarkStart w:id="74" w:name="_Toc31636019"/>
      <w:bookmarkStart w:id="75" w:name="_Toc31642788"/>
      <w:bookmarkStart w:id="76" w:name="_Toc32247797"/>
      <w:bookmarkStart w:id="77" w:name="_Toc63782929"/>
      <w:bookmarkStart w:id="78" w:name="_Toc75244058"/>
      <w:r>
        <w:rPr>
          <w:noProof/>
        </w:rPr>
        <w:drawing>
          <wp:anchor distT="0" distB="0" distL="114300" distR="114300" simplePos="0" relativeHeight="251652096" behindDoc="0" locked="0" layoutInCell="1" allowOverlap="1" wp14:anchorId="2B4C18B7" wp14:editId="1E1FEF1D">
            <wp:simplePos x="0" y="0"/>
            <wp:positionH relativeFrom="margin">
              <wp:align>right</wp:align>
            </wp:positionH>
            <wp:positionV relativeFrom="paragraph">
              <wp:posOffset>12784</wp:posOffset>
            </wp:positionV>
            <wp:extent cx="4895088" cy="2161032"/>
            <wp:effectExtent l="0" t="0" r="1270" b="0"/>
            <wp:wrapNone/>
            <wp:docPr id="14" name="Picture 14" descr="Chapter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pter header graphic"/>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088" cy="2161032"/>
                    </a:xfrm>
                    <a:prstGeom prst="rect">
                      <a:avLst/>
                    </a:prstGeom>
                  </pic:spPr>
                </pic:pic>
              </a:graphicData>
            </a:graphic>
          </wp:anchor>
        </w:drawing>
      </w:r>
      <w:r w:rsidR="00A84283" w:rsidRPr="00D60D30">
        <w:t>Chapter Three: Applications Data</w:t>
      </w:r>
      <w:bookmarkEnd w:id="73"/>
      <w:bookmarkEnd w:id="74"/>
      <w:bookmarkEnd w:id="75"/>
      <w:bookmarkEnd w:id="76"/>
      <w:bookmarkEnd w:id="77"/>
      <w:bookmarkEnd w:id="78"/>
    </w:p>
    <w:p w14:paraId="3F551B9B" w14:textId="77777777" w:rsidR="00065FB2" w:rsidRDefault="00065FB2" w:rsidP="00065FB2"/>
    <w:p w14:paraId="3F10DD01" w14:textId="77777777" w:rsidR="00065FB2" w:rsidRDefault="00065FB2" w:rsidP="00065FB2"/>
    <w:p w14:paraId="04FB4516" w14:textId="77777777" w:rsidR="00065FB2" w:rsidRDefault="00065FB2" w:rsidP="00065FB2"/>
    <w:p w14:paraId="369608AD" w14:textId="77777777" w:rsidR="00065FB2" w:rsidRDefault="00065FB2" w:rsidP="00065FB2"/>
    <w:p w14:paraId="34D7AAB7" w14:textId="77777777" w:rsidR="00065FB2" w:rsidRDefault="00065FB2" w:rsidP="00065FB2"/>
    <w:p w14:paraId="50BD0E77" w14:textId="77777777" w:rsidR="00065FB2" w:rsidRDefault="00065FB2" w:rsidP="00065FB2">
      <w:pPr>
        <w:spacing w:after="360"/>
      </w:pPr>
    </w:p>
    <w:p w14:paraId="7FE0B8DA" w14:textId="57793B85" w:rsidR="009E4E83" w:rsidRPr="002C48D7" w:rsidRDefault="009E4E83" w:rsidP="009E4E83">
      <w:pPr>
        <w:rPr>
          <w:color w:val="auto"/>
        </w:rPr>
      </w:pPr>
      <w:r w:rsidRPr="002C48D7">
        <w:rPr>
          <w:color w:val="auto"/>
        </w:rPr>
        <w:t>This chapter provides an overview of all applications that were finalised during 2019</w:t>
      </w:r>
      <w:r w:rsidR="00F26A86">
        <w:rPr>
          <w:color w:val="auto"/>
        </w:rPr>
        <w:t>–</w:t>
      </w:r>
      <w:r w:rsidRPr="002C48D7">
        <w:rPr>
          <w:color w:val="auto"/>
        </w:rPr>
        <w:t xml:space="preserve">20, irrespective of the date the application was submitted. This report refers to </w:t>
      </w:r>
      <w:r w:rsidR="00BD4D19">
        <w:rPr>
          <w:color w:val="auto"/>
        </w:rPr>
        <w:t>‘</w:t>
      </w:r>
      <w:r w:rsidRPr="002C48D7">
        <w:rPr>
          <w:color w:val="auto"/>
        </w:rPr>
        <w:t>proposed investment</w:t>
      </w:r>
      <w:r w:rsidR="00BD4D19">
        <w:rPr>
          <w:color w:val="auto"/>
        </w:rPr>
        <w:t>’</w:t>
      </w:r>
      <w:r w:rsidRPr="002C48D7">
        <w:rPr>
          <w:color w:val="auto"/>
        </w:rPr>
        <w:t xml:space="preserve">, the value of which for acquisitions (including securities, real estate or other assets) is the </w:t>
      </w:r>
      <w:r w:rsidR="00B32308">
        <w:rPr>
          <w:color w:val="auto"/>
        </w:rPr>
        <w:t>value</w:t>
      </w:r>
      <w:r w:rsidRPr="002C48D7">
        <w:rPr>
          <w:color w:val="auto"/>
        </w:rPr>
        <w:t xml:space="preserve"> agreed between the</w:t>
      </w:r>
      <w:r w:rsidR="00B32308">
        <w:rPr>
          <w:color w:val="auto"/>
        </w:rPr>
        <w:t xml:space="preserve"> transaction</w:t>
      </w:r>
      <w:r w:rsidRPr="002C48D7">
        <w:rPr>
          <w:color w:val="auto"/>
        </w:rPr>
        <w:t xml:space="preserve"> parties or, if not yet agreed, a reasonable estimate at the time the application</w:t>
      </w:r>
      <w:r w:rsidR="00B32308">
        <w:rPr>
          <w:color w:val="auto"/>
        </w:rPr>
        <w:t xml:space="preserve"> is submitted</w:t>
      </w:r>
      <w:r w:rsidRPr="002C48D7">
        <w:rPr>
          <w:color w:val="auto"/>
        </w:rPr>
        <w:t xml:space="preserve">. Data on the value of expected investment for new businesses is not collected. </w:t>
      </w:r>
    </w:p>
    <w:p w14:paraId="6B208A4A" w14:textId="74A86834" w:rsidR="00DE56DC" w:rsidRPr="002C48D7" w:rsidRDefault="00DE56DC" w:rsidP="00DE56DC">
      <w:pPr>
        <w:rPr>
          <w:b/>
          <w:color w:val="auto"/>
        </w:rPr>
      </w:pPr>
      <w:r w:rsidRPr="002C48D7">
        <w:rPr>
          <w:color w:val="auto"/>
        </w:rPr>
        <w:t xml:space="preserve">The </w:t>
      </w:r>
      <w:r w:rsidR="009E4E83">
        <w:rPr>
          <w:color w:val="auto"/>
        </w:rPr>
        <w:t>information</w:t>
      </w:r>
      <w:r w:rsidRPr="002C48D7">
        <w:rPr>
          <w:color w:val="auto"/>
        </w:rPr>
        <w:t xml:space="preserve"> contained in the </w:t>
      </w:r>
      <w:r w:rsidR="002F791C" w:rsidRPr="00A84283">
        <w:t>F</w:t>
      </w:r>
      <w:r w:rsidR="002F791C">
        <w:t xml:space="preserve">oreign Investment </w:t>
      </w:r>
      <w:r w:rsidR="002F791C" w:rsidRPr="00A84283">
        <w:t>R</w:t>
      </w:r>
      <w:r w:rsidR="002F791C">
        <w:t xml:space="preserve">eview </w:t>
      </w:r>
      <w:r w:rsidR="002F791C" w:rsidRPr="00A84283">
        <w:t>B</w:t>
      </w:r>
      <w:r w:rsidR="002F791C">
        <w:t>oard</w:t>
      </w:r>
      <w:r w:rsidRPr="002C48D7">
        <w:rPr>
          <w:color w:val="auto"/>
        </w:rPr>
        <w:t xml:space="preserve"> Annual Report provides a useful source of data on </w:t>
      </w:r>
      <w:r w:rsidR="00D060F6">
        <w:rPr>
          <w:color w:val="auto"/>
        </w:rPr>
        <w:t>F</w:t>
      </w:r>
      <w:r w:rsidR="00BE1451">
        <w:rPr>
          <w:color w:val="auto"/>
        </w:rPr>
        <w:t xml:space="preserve">oreign </w:t>
      </w:r>
      <w:r w:rsidR="00D060F6">
        <w:rPr>
          <w:color w:val="auto"/>
        </w:rPr>
        <w:t>D</w:t>
      </w:r>
      <w:r w:rsidR="00BE1451">
        <w:rPr>
          <w:color w:val="auto"/>
        </w:rPr>
        <w:t xml:space="preserve">irect </w:t>
      </w:r>
      <w:r w:rsidR="00D060F6">
        <w:rPr>
          <w:color w:val="auto"/>
        </w:rPr>
        <w:t>I</w:t>
      </w:r>
      <w:r w:rsidR="00BE1451">
        <w:rPr>
          <w:color w:val="auto"/>
        </w:rPr>
        <w:t>nvestment</w:t>
      </w:r>
      <w:r w:rsidR="00B4128F">
        <w:rPr>
          <w:color w:val="auto"/>
        </w:rPr>
        <w:t xml:space="preserve"> </w:t>
      </w:r>
      <w:r w:rsidR="00691C9B">
        <w:rPr>
          <w:color w:val="auto"/>
        </w:rPr>
        <w:t xml:space="preserve">(FDI) </w:t>
      </w:r>
      <w:r w:rsidRPr="002C48D7">
        <w:rPr>
          <w:color w:val="auto"/>
        </w:rPr>
        <w:t>in Australia. It provides information on proposed investments that fall within the scope of the</w:t>
      </w:r>
      <w:r w:rsidR="00D060F6">
        <w:rPr>
          <w:color w:val="auto"/>
        </w:rPr>
        <w:t xml:space="preserve"> Act</w:t>
      </w:r>
      <w:r w:rsidRPr="002C48D7">
        <w:rPr>
          <w:color w:val="auto"/>
        </w:rPr>
        <w:t>. The data in this report reflects the proposed investment flows during the period. Policy or legislative changes, and changes to reporting methodologies over time, can limit the comparability of data year</w:t>
      </w:r>
      <w:r w:rsidR="00BD4D19">
        <w:rPr>
          <w:color w:val="auto"/>
        </w:rPr>
        <w:noBreakHyphen/>
      </w:r>
      <w:r w:rsidRPr="002C48D7">
        <w:rPr>
          <w:color w:val="auto"/>
        </w:rPr>
        <w:t>to</w:t>
      </w:r>
      <w:r w:rsidR="00BD4D19">
        <w:rPr>
          <w:color w:val="auto"/>
        </w:rPr>
        <w:noBreakHyphen/>
      </w:r>
      <w:r w:rsidRPr="002C48D7">
        <w:rPr>
          <w:color w:val="auto"/>
        </w:rPr>
        <w:t>year. Approvals data can also be impacted by one or more large one</w:t>
      </w:r>
      <w:r w:rsidR="00BD4D19">
        <w:rPr>
          <w:color w:val="auto"/>
        </w:rPr>
        <w:noBreakHyphen/>
      </w:r>
      <w:r w:rsidRPr="002C48D7">
        <w:rPr>
          <w:color w:val="auto"/>
        </w:rPr>
        <w:t>off proposed transactions, affecting the comparability of industry data across years.</w:t>
      </w:r>
    </w:p>
    <w:p w14:paraId="5A6625E7" w14:textId="77777777" w:rsidR="00DE56DC" w:rsidRDefault="00DE56DC" w:rsidP="00DE56DC">
      <w:pPr>
        <w:pStyle w:val="Bullet"/>
        <w:numPr>
          <w:ilvl w:val="0"/>
          <w:numId w:val="0"/>
        </w:numPr>
        <w:rPr>
          <w:color w:val="auto"/>
        </w:rPr>
      </w:pPr>
      <w:r w:rsidRPr="002C48D7">
        <w:rPr>
          <w:color w:val="auto"/>
        </w:rPr>
        <w:t>However</w:t>
      </w:r>
      <w:r w:rsidR="00B32308">
        <w:rPr>
          <w:color w:val="auto"/>
        </w:rPr>
        <w:t>,</w:t>
      </w:r>
      <w:r w:rsidRPr="002C48D7">
        <w:rPr>
          <w:color w:val="auto"/>
        </w:rPr>
        <w:t xml:space="preserve"> the </w:t>
      </w:r>
      <w:r w:rsidR="002F791C" w:rsidRPr="00A84283">
        <w:t>F</w:t>
      </w:r>
      <w:r w:rsidR="002F791C">
        <w:t xml:space="preserve">oreign Investment </w:t>
      </w:r>
      <w:r w:rsidR="002F791C" w:rsidRPr="00A84283">
        <w:t>R</w:t>
      </w:r>
      <w:r w:rsidR="002F791C">
        <w:t xml:space="preserve">eview </w:t>
      </w:r>
      <w:r w:rsidR="002F791C" w:rsidRPr="00A84283">
        <w:t>B</w:t>
      </w:r>
      <w:r w:rsidR="002F791C">
        <w:t>oard</w:t>
      </w:r>
      <w:r w:rsidRPr="002C48D7">
        <w:rPr>
          <w:color w:val="auto"/>
        </w:rPr>
        <w:t xml:space="preserve"> Annual Report do</w:t>
      </w:r>
      <w:r w:rsidR="009E4E83">
        <w:rPr>
          <w:color w:val="auto"/>
        </w:rPr>
        <w:t>es</w:t>
      </w:r>
      <w:r w:rsidRPr="002C48D7">
        <w:rPr>
          <w:color w:val="auto"/>
        </w:rPr>
        <w:t xml:space="preserve"> not measure total foreign investment made in any year, nor do</w:t>
      </w:r>
      <w:r w:rsidR="009E4E83">
        <w:rPr>
          <w:color w:val="auto"/>
        </w:rPr>
        <w:t>es it</w:t>
      </w:r>
      <w:r w:rsidRPr="002C48D7">
        <w:rPr>
          <w:color w:val="auto"/>
        </w:rPr>
        <w:t xml:space="preserve"> measure changes in net foreign ownership levels in Australia. There are a number of caveats to be applied in interpreting the data. They reflect investor intentions (not actual purchases) to acquire Australian assets. This is because, while a foreign person may be approved to make an acquisition, the acquisition may not proceed. Further, notification requirements by investors are subject to screening thresholds, and therefore not all potential investments are captured. The outputs in this report can also be skewed by very large investment proposals and multiple competing proposals for the same target.</w:t>
      </w:r>
    </w:p>
    <w:p w14:paraId="1BC8F3D9" w14:textId="09E7B251" w:rsidR="002710E9" w:rsidRDefault="00B32308" w:rsidP="00DE56DC">
      <w:pPr>
        <w:pStyle w:val="Bullet"/>
        <w:numPr>
          <w:ilvl w:val="0"/>
          <w:numId w:val="0"/>
        </w:numPr>
      </w:pPr>
      <w:r>
        <w:t xml:space="preserve">During the </w:t>
      </w:r>
      <w:r w:rsidR="002710E9">
        <w:t>COVID</w:t>
      </w:r>
      <w:r w:rsidR="00BD4D19">
        <w:noBreakHyphen/>
      </w:r>
      <w:r w:rsidR="002710E9">
        <w:t xml:space="preserve">19 pandemic, temporary measures to reduce the impact of the pandemic on business and the economy were made by the Government to the thresholds for screening foreign investment proposals. The numbers and value of proposed investments that were required to apply for approval from the Treasurer because of the temporary measures are </w:t>
      </w:r>
      <w:r w:rsidR="005D7BBB">
        <w:t xml:space="preserve">identified </w:t>
      </w:r>
      <w:r w:rsidR="006647F9">
        <w:t>in this report.</w:t>
      </w:r>
    </w:p>
    <w:p w14:paraId="073F9903" w14:textId="77777777" w:rsidR="009E4E83" w:rsidRPr="002C48D7" w:rsidRDefault="00737A7F" w:rsidP="00DE56DC">
      <w:pPr>
        <w:pStyle w:val="Bullet"/>
        <w:numPr>
          <w:ilvl w:val="0"/>
          <w:numId w:val="0"/>
        </w:numPr>
        <w:rPr>
          <w:color w:val="auto"/>
        </w:rPr>
      </w:pPr>
      <w:r w:rsidRPr="00820C89">
        <w:t xml:space="preserve">Further details on the methodology and </w:t>
      </w:r>
      <w:r w:rsidR="009E4E83" w:rsidRPr="00820C89">
        <w:t>caveats applied in interpreting the data</w:t>
      </w:r>
      <w:r w:rsidRPr="00820C89">
        <w:t xml:space="preserve"> in this report</w:t>
      </w:r>
      <w:r w:rsidR="009E4E83" w:rsidRPr="00820C89">
        <w:t xml:space="preserve"> are set out in Appendix</w:t>
      </w:r>
      <w:r w:rsidR="00AA0DD7">
        <w:t> </w:t>
      </w:r>
      <w:r w:rsidR="009E4E83" w:rsidRPr="00820C89">
        <w:t>B</w:t>
      </w:r>
      <w:r w:rsidRPr="00737A7F">
        <w:t>.</w:t>
      </w:r>
    </w:p>
    <w:p w14:paraId="2DDDBF04" w14:textId="48EE9154" w:rsidR="00DE56DC" w:rsidRPr="002C48D7" w:rsidRDefault="00DE56DC" w:rsidP="00E90EFF">
      <w:pPr>
        <w:pStyle w:val="Bullet"/>
        <w:numPr>
          <w:ilvl w:val="0"/>
          <w:numId w:val="0"/>
        </w:numPr>
        <w:rPr>
          <w:color w:val="auto"/>
        </w:rPr>
      </w:pPr>
      <w:r w:rsidRPr="002C48D7">
        <w:rPr>
          <w:color w:val="auto"/>
        </w:rPr>
        <w:t>Trends in actual investment are measured by the Australian Bureau of Statistics (ABS</w:t>
      </w:r>
      <w:r w:rsidR="00C5391D">
        <w:rPr>
          <w:color w:val="auto"/>
        </w:rPr>
        <w:t>)</w:t>
      </w:r>
      <w:r w:rsidR="00EC72AC">
        <w:rPr>
          <w:color w:val="auto"/>
        </w:rPr>
        <w:t>.</w:t>
      </w:r>
      <w:r w:rsidRPr="002C48D7">
        <w:rPr>
          <w:rStyle w:val="FootnoteReference"/>
          <w:color w:val="auto"/>
        </w:rPr>
        <w:footnoteReference w:id="9"/>
      </w:r>
      <w:r w:rsidRPr="002C48D7">
        <w:rPr>
          <w:color w:val="auto"/>
        </w:rPr>
        <w:t xml:space="preserve"> ABS data provides an overview of the stock of </w:t>
      </w:r>
      <w:r w:rsidR="00691C9B">
        <w:rPr>
          <w:color w:val="auto"/>
        </w:rPr>
        <w:t>FDI</w:t>
      </w:r>
      <w:r w:rsidRPr="002C48D7">
        <w:rPr>
          <w:color w:val="auto"/>
        </w:rPr>
        <w:t xml:space="preserve"> in Australia. However, unlike </w:t>
      </w:r>
      <w:r w:rsidR="002F791C" w:rsidRPr="00A84283">
        <w:t>F</w:t>
      </w:r>
      <w:r w:rsidR="002F791C">
        <w:t xml:space="preserve">oreign Investment </w:t>
      </w:r>
      <w:r w:rsidR="002F791C" w:rsidRPr="00A84283">
        <w:t>R</w:t>
      </w:r>
      <w:r w:rsidR="002F791C">
        <w:t xml:space="preserve">eview </w:t>
      </w:r>
      <w:r w:rsidR="002F791C" w:rsidRPr="00A84283">
        <w:t>B</w:t>
      </w:r>
      <w:r w:rsidR="002F791C">
        <w:t>oard</w:t>
      </w:r>
      <w:r w:rsidRPr="002C48D7">
        <w:rPr>
          <w:color w:val="auto"/>
        </w:rPr>
        <w:t xml:space="preserve"> data, ABS statistics are based on the immediate origin of investment. The ultimate investor is not identified where investments pass through third</w:t>
      </w:r>
      <w:r w:rsidR="00BD4D19">
        <w:rPr>
          <w:color w:val="auto"/>
        </w:rPr>
        <w:noBreakHyphen/>
      </w:r>
      <w:r w:rsidRPr="002C48D7">
        <w:rPr>
          <w:color w:val="auto"/>
        </w:rPr>
        <w:t xml:space="preserve">party countries used as international investment hubs, because it does not trace the investment back to its original source. </w:t>
      </w:r>
    </w:p>
    <w:p w14:paraId="233CE5B2" w14:textId="77777777" w:rsidR="00483D26" w:rsidRPr="00820C89" w:rsidRDefault="00635BD7" w:rsidP="00483D26">
      <w:pPr>
        <w:pStyle w:val="Heading2"/>
      </w:pPr>
      <w:bookmarkStart w:id="79" w:name="_Toc63782930"/>
      <w:bookmarkStart w:id="80" w:name="_Toc75244059"/>
      <w:r>
        <w:t>Approvals Overview</w:t>
      </w:r>
      <w:bookmarkEnd w:id="79"/>
      <w:bookmarkEnd w:id="80"/>
    </w:p>
    <w:p w14:paraId="724496C2" w14:textId="77777777" w:rsidR="00635BD7" w:rsidRDefault="00635BD7" w:rsidP="00635BD7">
      <w:r w:rsidRPr="002C48D7">
        <w:t>In 2019</w:t>
      </w:r>
      <w:r w:rsidR="00F26A86">
        <w:t>–</w:t>
      </w:r>
      <w:r w:rsidRPr="002C48D7">
        <w:t xml:space="preserve">20, </w:t>
      </w:r>
      <w:r>
        <w:t>excluding variations,</w:t>
      </w:r>
      <w:r w:rsidRPr="002C48D7">
        <w:t xml:space="preserve"> the total number of applications considered</w:t>
      </w:r>
      <w:r>
        <w:t xml:space="preserve"> was 9,004</w:t>
      </w:r>
      <w:r w:rsidRPr="002C48D7">
        <w:t>. Of the 8,224 on which a decision was made (not withdrawn or exempt)</w:t>
      </w:r>
      <w:r>
        <w:t>, 8,221</w:t>
      </w:r>
      <w:r w:rsidR="001B655F">
        <w:t> </w:t>
      </w:r>
      <w:r>
        <w:t xml:space="preserve">applications for </w:t>
      </w:r>
      <w:r w:rsidRPr="002C48D7">
        <w:t>proposed investment</w:t>
      </w:r>
      <w:r>
        <w:t xml:space="preserve"> were approved with a value of $19</w:t>
      </w:r>
      <w:r w:rsidR="00B65A8F">
        <w:t>5</w:t>
      </w:r>
      <w:r>
        <w:t>.</w:t>
      </w:r>
      <w:r w:rsidR="00B65A8F">
        <w:t>5</w:t>
      </w:r>
      <w:r w:rsidR="001B655F">
        <w:t> </w:t>
      </w:r>
      <w:r w:rsidRPr="002C48D7">
        <w:t>billion. This represents a decline of 503</w:t>
      </w:r>
      <w:r w:rsidR="001B655F">
        <w:t> </w:t>
      </w:r>
      <w:r w:rsidR="00DE0ED5">
        <w:t>proposal</w:t>
      </w:r>
      <w:r w:rsidR="00DE0ED5" w:rsidRPr="002C48D7">
        <w:t xml:space="preserve">s </w:t>
      </w:r>
      <w:r w:rsidRPr="002C48D7">
        <w:t xml:space="preserve">approved compared to 8,724 approvals </w:t>
      </w:r>
      <w:r>
        <w:t xml:space="preserve">in </w:t>
      </w:r>
      <w:r w:rsidRPr="002C48D7">
        <w:t>2018</w:t>
      </w:r>
      <w:r w:rsidR="00F26A86">
        <w:t>–</w:t>
      </w:r>
      <w:r w:rsidRPr="002C48D7">
        <w:t>19</w:t>
      </w:r>
      <w:r w:rsidRPr="002C48D7">
        <w:rPr>
          <w:rStyle w:val="CommentReference"/>
          <w:b/>
        </w:rPr>
        <w:t>.</w:t>
      </w:r>
      <w:r w:rsidRPr="002C48D7">
        <w:t xml:space="preserve"> </w:t>
      </w:r>
      <w:r>
        <w:t>T</w:t>
      </w:r>
      <w:r w:rsidRPr="002C48D7">
        <w:t xml:space="preserve">he value of proposed investment </w:t>
      </w:r>
      <w:r>
        <w:t>approvals also decreased by $35.</w:t>
      </w:r>
      <w:r w:rsidR="00B65A8F">
        <w:t>5</w:t>
      </w:r>
      <w:r w:rsidR="001B655F">
        <w:t> </w:t>
      </w:r>
      <w:r w:rsidRPr="002C48D7">
        <w:t>billion, down from $231.0</w:t>
      </w:r>
      <w:r w:rsidR="001B655F">
        <w:t> </w:t>
      </w:r>
      <w:r w:rsidRPr="002C48D7">
        <w:t>billion in 2018</w:t>
      </w:r>
      <w:r w:rsidR="00F26A86">
        <w:t>–</w:t>
      </w:r>
      <w:r w:rsidRPr="002C48D7">
        <w:t xml:space="preserve">19 (see </w:t>
      </w:r>
      <w:r w:rsidR="0038383A" w:rsidRPr="002C48D7">
        <w:t>Tables</w:t>
      </w:r>
      <w:r w:rsidR="0038383A">
        <w:t> </w:t>
      </w:r>
      <w:r w:rsidRPr="002C48D7">
        <w:t>3.1 and 3.</w:t>
      </w:r>
      <w:r>
        <w:t>3</w:t>
      </w:r>
      <w:r w:rsidRPr="002C48D7">
        <w:t xml:space="preserve">). </w:t>
      </w:r>
    </w:p>
    <w:p w14:paraId="4C587A0D" w14:textId="257715CC" w:rsidR="00635BD7" w:rsidRDefault="00635BD7" w:rsidP="00635BD7">
      <w:r>
        <w:t>Of the 8,221</w:t>
      </w:r>
      <w:r w:rsidR="001B655F">
        <w:t> </w:t>
      </w:r>
      <w:r>
        <w:t>applications approved, 8,08</w:t>
      </w:r>
      <w:r w:rsidR="00F43E62">
        <w:t>4</w:t>
      </w:r>
      <w:r>
        <w:t xml:space="preserve"> were n</w:t>
      </w:r>
      <w:r w:rsidRPr="002C48D7">
        <w:t>on</w:t>
      </w:r>
      <w:r w:rsidR="00BD4D19">
        <w:noBreakHyphen/>
      </w:r>
      <w:r w:rsidR="00292E5C">
        <w:t xml:space="preserve">zero dollar threshold </w:t>
      </w:r>
      <w:r w:rsidR="00DE0ED5">
        <w:t>proposal</w:t>
      </w:r>
      <w:r w:rsidR="00DE0ED5" w:rsidRPr="002C48D7">
        <w:t xml:space="preserve">s </w:t>
      </w:r>
      <w:r>
        <w:t>representing a total value of $19</w:t>
      </w:r>
      <w:r w:rsidR="00B65A8F">
        <w:t>2</w:t>
      </w:r>
      <w:r>
        <w:t>.</w:t>
      </w:r>
      <w:r w:rsidR="00B65A8F">
        <w:t>8</w:t>
      </w:r>
      <w:r w:rsidR="001B655F">
        <w:t> </w:t>
      </w:r>
      <w:r w:rsidRPr="002C48D7">
        <w:t>billion</w:t>
      </w:r>
      <w:r>
        <w:t xml:space="preserve"> </w:t>
      </w:r>
      <w:r w:rsidRPr="002C48D7">
        <w:t>(see Tables 3.</w:t>
      </w:r>
      <w:r>
        <w:t>2</w:t>
      </w:r>
      <w:r w:rsidRPr="002C48D7">
        <w:t xml:space="preserve"> and 3.</w:t>
      </w:r>
      <w:r>
        <w:t>4</w:t>
      </w:r>
      <w:r w:rsidRPr="002C48D7">
        <w:t xml:space="preserve">). </w:t>
      </w:r>
      <w:r>
        <w:t xml:space="preserve">This is a </w:t>
      </w:r>
      <w:r w:rsidRPr="002C48D7">
        <w:t>7.</w:t>
      </w:r>
      <w:r w:rsidR="00F43E62">
        <w:t>3</w:t>
      </w:r>
      <w:r w:rsidRPr="002C48D7">
        <w:t xml:space="preserve"> per cent</w:t>
      </w:r>
      <w:r>
        <w:t xml:space="preserve"> decrease in the number of non</w:t>
      </w:r>
      <w:r w:rsidR="00BD4D19">
        <w:noBreakHyphen/>
      </w:r>
      <w:r w:rsidR="00292E5C">
        <w:t xml:space="preserve">zero dollar threshold </w:t>
      </w:r>
      <w:r>
        <w:t xml:space="preserve">cases approved and a </w:t>
      </w:r>
      <w:r w:rsidR="008B69FD">
        <w:t>16.5</w:t>
      </w:r>
      <w:r w:rsidRPr="002C48D7">
        <w:t xml:space="preserve"> per cent</w:t>
      </w:r>
      <w:r>
        <w:t xml:space="preserve"> decrease by value compared to 2018</w:t>
      </w:r>
      <w:r w:rsidR="00F26A86">
        <w:t>–</w:t>
      </w:r>
      <w:r>
        <w:t>19</w:t>
      </w:r>
      <w:r w:rsidRPr="002C48D7">
        <w:t xml:space="preserve">. </w:t>
      </w:r>
      <w:r w:rsidR="009654F3">
        <w:rPr>
          <w:color w:val="auto"/>
        </w:rPr>
        <w:t>Tables</w:t>
      </w:r>
      <w:r w:rsidR="001B655F">
        <w:rPr>
          <w:color w:val="auto"/>
        </w:rPr>
        <w:t> </w:t>
      </w:r>
      <w:r w:rsidR="009654F3">
        <w:rPr>
          <w:color w:val="auto"/>
        </w:rPr>
        <w:t xml:space="preserve">3.2, 3.4 and 3.6 separating </w:t>
      </w:r>
      <w:r w:rsidR="00292E5C">
        <w:rPr>
          <w:color w:val="auto"/>
        </w:rPr>
        <w:t>zero dollar threshold</w:t>
      </w:r>
      <w:r w:rsidR="009654F3">
        <w:rPr>
          <w:color w:val="auto"/>
        </w:rPr>
        <w:t xml:space="preserve"> and non</w:t>
      </w:r>
      <w:r w:rsidR="00BD4D19">
        <w:rPr>
          <w:color w:val="auto"/>
        </w:rPr>
        <w:noBreakHyphen/>
      </w:r>
      <w:r w:rsidR="00292E5C">
        <w:rPr>
          <w:color w:val="auto"/>
        </w:rPr>
        <w:t>zero dollar threshold</w:t>
      </w:r>
      <w:r w:rsidR="009654F3">
        <w:rPr>
          <w:color w:val="auto"/>
        </w:rPr>
        <w:t xml:space="preserve"> </w:t>
      </w:r>
      <w:r w:rsidR="004455E9">
        <w:rPr>
          <w:color w:val="auto"/>
        </w:rPr>
        <w:t xml:space="preserve">proposals </w:t>
      </w:r>
      <w:r w:rsidR="009654F3">
        <w:rPr>
          <w:color w:val="auto"/>
        </w:rPr>
        <w:t>have been included so that comparisons can be made between 2018</w:t>
      </w:r>
      <w:r w:rsidR="00F26A86">
        <w:rPr>
          <w:color w:val="auto"/>
        </w:rPr>
        <w:t>–</w:t>
      </w:r>
      <w:r w:rsidR="009654F3">
        <w:rPr>
          <w:color w:val="auto"/>
        </w:rPr>
        <w:t>19 and 2019</w:t>
      </w:r>
      <w:r w:rsidR="00F26A86">
        <w:rPr>
          <w:color w:val="auto"/>
        </w:rPr>
        <w:t>–</w:t>
      </w:r>
      <w:r w:rsidR="009654F3">
        <w:rPr>
          <w:color w:val="auto"/>
        </w:rPr>
        <w:t>20 excluding the effect of the temporary thresholds.</w:t>
      </w:r>
    </w:p>
    <w:p w14:paraId="794F1C03" w14:textId="77777777" w:rsidR="00635BD7" w:rsidRDefault="00635BD7" w:rsidP="00635BD7">
      <w:r>
        <w:t xml:space="preserve">In the period, </w:t>
      </w:r>
      <w:r w:rsidRPr="002C48D7">
        <w:t>1</w:t>
      </w:r>
      <w:r w:rsidR="00F43E62">
        <w:t>37</w:t>
      </w:r>
      <w:r w:rsidR="001B655F">
        <w:t> </w:t>
      </w:r>
      <w:r w:rsidR="00292E5C">
        <w:t>zero dollar threshold</w:t>
      </w:r>
      <w:r>
        <w:t xml:space="preserve"> </w:t>
      </w:r>
      <w:r w:rsidR="00DE0ED5">
        <w:t>proposals</w:t>
      </w:r>
      <w:r w:rsidR="00DE0ED5" w:rsidRPr="002C48D7">
        <w:t xml:space="preserve"> </w:t>
      </w:r>
      <w:r w:rsidRPr="002C48D7">
        <w:t>were approv</w:t>
      </w:r>
      <w:r>
        <w:t>ed</w:t>
      </w:r>
      <w:r w:rsidRPr="002C48D7">
        <w:t xml:space="preserve"> for a total value of $2.7</w:t>
      </w:r>
      <w:r w:rsidR="001B655F">
        <w:t> </w:t>
      </w:r>
      <w:r w:rsidRPr="002C48D7">
        <w:t xml:space="preserve">billion. </w:t>
      </w:r>
    </w:p>
    <w:p w14:paraId="6AF29061" w14:textId="77777777" w:rsidR="00635BD7" w:rsidRDefault="00635BD7" w:rsidP="00635BD7">
      <w:r>
        <w:t>F</w:t>
      </w:r>
      <w:r w:rsidRPr="002C48D7">
        <w:t xml:space="preserve">actors that may have contributed to </w:t>
      </w:r>
      <w:r>
        <w:t xml:space="preserve">the decline in the number and value of applications approved </w:t>
      </w:r>
      <w:r w:rsidRPr="002C48D7">
        <w:t>are noted in the discussion of the relevant sectors</w:t>
      </w:r>
      <w:r>
        <w:t xml:space="preserve"> in this Chapter</w:t>
      </w:r>
      <w:r w:rsidRPr="002C48D7">
        <w:t>.</w:t>
      </w:r>
    </w:p>
    <w:p w14:paraId="7699CBA7" w14:textId="68CE9AFF" w:rsidR="00635BD7" w:rsidRPr="002C48D7" w:rsidRDefault="00635BD7" w:rsidP="00635BD7">
      <w:r>
        <w:t>The overall decline in the number of applications considered masks the significant increase in the number of foreign investment applications which Treasury had on hand in the financial year. Treasury had 192</w:t>
      </w:r>
      <w:r w:rsidR="001B655F">
        <w:t> </w:t>
      </w:r>
      <w:r>
        <w:t>applications on hand at the start of the year and 535</w:t>
      </w:r>
      <w:r w:rsidR="001B655F">
        <w:t> </w:t>
      </w:r>
      <w:r>
        <w:t>on hand by the end of the year. Of the 535</w:t>
      </w:r>
      <w:r w:rsidR="001B655F">
        <w:t> </w:t>
      </w:r>
      <w:r w:rsidR="00630D7C">
        <w:t>on hand at 30</w:t>
      </w:r>
      <w:r w:rsidR="001B655F">
        <w:t> </w:t>
      </w:r>
      <w:r w:rsidR="00630D7C">
        <w:t>June</w:t>
      </w:r>
      <w:r w:rsidR="001B655F">
        <w:t> </w:t>
      </w:r>
      <w:r w:rsidR="00630D7C">
        <w:t>2020</w:t>
      </w:r>
      <w:r>
        <w:t xml:space="preserve">, </w:t>
      </w:r>
      <w:r w:rsidR="006647F9">
        <w:t>it is</w:t>
      </w:r>
      <w:r>
        <w:t xml:space="preserve"> estimate</w:t>
      </w:r>
      <w:r w:rsidR="006647F9">
        <w:t>d</w:t>
      </w:r>
      <w:r>
        <w:t xml:space="preserve"> that </w:t>
      </w:r>
      <w:r w:rsidR="00AD7CF3">
        <w:t>203</w:t>
      </w:r>
      <w:r w:rsidR="00AD7CF3" w:rsidRPr="00110F90">
        <w:t xml:space="preserve"> </w:t>
      </w:r>
      <w:r w:rsidRPr="00110F90">
        <w:t>were</w:t>
      </w:r>
      <w:r>
        <w:t xml:space="preserve"> </w:t>
      </w:r>
      <w:r w:rsidR="00292E5C">
        <w:t>zero dollar threshold</w:t>
      </w:r>
      <w:r>
        <w:t xml:space="preserve"> applications.</w:t>
      </w:r>
      <w:r w:rsidRPr="002C48D7">
        <w:t xml:space="preserve"> </w:t>
      </w:r>
      <w:r>
        <w:t>In th</w:t>
      </w:r>
      <w:r w:rsidR="001069C5">
        <w:t>e fourth quarter of 20</w:t>
      </w:r>
      <w:r w:rsidR="001B461E">
        <w:t>19</w:t>
      </w:r>
      <w:r w:rsidR="00F26A86">
        <w:t>–</w:t>
      </w:r>
      <w:r w:rsidR="001069C5">
        <w:t>20</w:t>
      </w:r>
      <w:r>
        <w:t xml:space="preserve"> the number of non</w:t>
      </w:r>
      <w:r w:rsidR="00BD4D19">
        <w:noBreakHyphen/>
      </w:r>
      <w:r w:rsidR="00292E5C">
        <w:t>zero dollar threshold</w:t>
      </w:r>
      <w:r>
        <w:t xml:space="preserve"> applications received by Treasury increased by </w:t>
      </w:r>
      <w:r w:rsidR="0000001D">
        <w:t xml:space="preserve">approximately </w:t>
      </w:r>
      <w:r>
        <w:t>2</w:t>
      </w:r>
      <w:r w:rsidR="001B461E">
        <w:t>7</w:t>
      </w:r>
      <w:r w:rsidR="001B655F">
        <w:t> </w:t>
      </w:r>
      <w:r>
        <w:t>per</w:t>
      </w:r>
      <w:r w:rsidR="001B655F">
        <w:t> </w:t>
      </w:r>
      <w:r>
        <w:t>cent compared to the same period in 2018</w:t>
      </w:r>
      <w:r w:rsidR="00F26A86">
        <w:t>–</w:t>
      </w:r>
      <w:r>
        <w:t xml:space="preserve">19. </w:t>
      </w:r>
    </w:p>
    <w:p w14:paraId="0526AD99" w14:textId="77777777" w:rsidR="00635BD7" w:rsidRPr="002C48D7" w:rsidRDefault="00635BD7" w:rsidP="00635BD7">
      <w:pPr>
        <w:rPr>
          <w:color w:val="auto"/>
        </w:rPr>
      </w:pPr>
      <w:r w:rsidRPr="002C48D7">
        <w:rPr>
          <w:color w:val="auto"/>
        </w:rPr>
        <w:t>The</w:t>
      </w:r>
      <w:r>
        <w:rPr>
          <w:color w:val="auto"/>
        </w:rPr>
        <w:t>re were 3</w:t>
      </w:r>
      <w:r w:rsidR="0058677D">
        <w:rPr>
          <w:color w:val="auto"/>
        </w:rPr>
        <w:t>2</w:t>
      </w:r>
      <w:r w:rsidR="001B655F">
        <w:rPr>
          <w:color w:val="auto"/>
        </w:rPr>
        <w:t> </w:t>
      </w:r>
      <w:r w:rsidRPr="002C48D7">
        <w:rPr>
          <w:color w:val="auto"/>
        </w:rPr>
        <w:t>approvals valued at $</w:t>
      </w:r>
      <w:r w:rsidRPr="00943848">
        <w:rPr>
          <w:color w:val="auto"/>
        </w:rPr>
        <w:t>1</w:t>
      </w:r>
      <w:r w:rsidRPr="002C48D7">
        <w:rPr>
          <w:color w:val="auto"/>
        </w:rPr>
        <w:t> billion or more</w:t>
      </w:r>
      <w:r>
        <w:rPr>
          <w:color w:val="auto"/>
        </w:rPr>
        <w:t xml:space="preserve">, with a total value of </w:t>
      </w:r>
      <w:r w:rsidRPr="002C48D7">
        <w:rPr>
          <w:color w:val="auto"/>
        </w:rPr>
        <w:t>$</w:t>
      </w:r>
      <w:r w:rsidR="000A0BB2">
        <w:rPr>
          <w:color w:val="auto"/>
        </w:rPr>
        <w:t>91.</w:t>
      </w:r>
      <w:r w:rsidR="00240C55">
        <w:rPr>
          <w:color w:val="auto"/>
        </w:rPr>
        <w:t>5</w:t>
      </w:r>
      <w:r w:rsidR="001B655F">
        <w:rPr>
          <w:color w:val="auto"/>
        </w:rPr>
        <w:t> </w:t>
      </w:r>
      <w:r w:rsidRPr="002C48D7">
        <w:rPr>
          <w:color w:val="auto"/>
        </w:rPr>
        <w:t>billion. The number of approvals valued at $</w:t>
      </w:r>
      <w:r w:rsidRPr="00943848">
        <w:rPr>
          <w:color w:val="auto"/>
        </w:rPr>
        <w:t>2</w:t>
      </w:r>
      <w:r w:rsidRPr="002C48D7">
        <w:rPr>
          <w:color w:val="auto"/>
        </w:rPr>
        <w:t> billion or more declined by ar</w:t>
      </w:r>
      <w:r>
        <w:rPr>
          <w:color w:val="auto"/>
        </w:rPr>
        <w:t xml:space="preserve">ound </w:t>
      </w:r>
      <w:r w:rsidR="000A0BB2">
        <w:rPr>
          <w:color w:val="auto"/>
        </w:rPr>
        <w:t>52</w:t>
      </w:r>
      <w:r w:rsidR="001B655F">
        <w:rPr>
          <w:color w:val="auto"/>
        </w:rPr>
        <w:t> </w:t>
      </w:r>
      <w:r>
        <w:rPr>
          <w:color w:val="auto"/>
        </w:rPr>
        <w:t>per</w:t>
      </w:r>
      <w:r w:rsidR="001B655F">
        <w:rPr>
          <w:color w:val="auto"/>
        </w:rPr>
        <w:t> </w:t>
      </w:r>
      <w:r>
        <w:rPr>
          <w:color w:val="auto"/>
        </w:rPr>
        <w:t>cent to 1</w:t>
      </w:r>
      <w:r w:rsidR="000A0BB2">
        <w:rPr>
          <w:color w:val="auto"/>
        </w:rPr>
        <w:t>1</w:t>
      </w:r>
      <w:r w:rsidR="001B655F">
        <w:rPr>
          <w:color w:val="auto"/>
        </w:rPr>
        <w:t> </w:t>
      </w:r>
      <w:r>
        <w:rPr>
          <w:color w:val="auto"/>
        </w:rPr>
        <w:t>approvals valued at $62</w:t>
      </w:r>
      <w:r w:rsidRPr="002C48D7">
        <w:rPr>
          <w:color w:val="auto"/>
        </w:rPr>
        <w:t>.4</w:t>
      </w:r>
      <w:r w:rsidR="001B655F">
        <w:rPr>
          <w:color w:val="auto"/>
        </w:rPr>
        <w:t> </w:t>
      </w:r>
      <w:r w:rsidRPr="002C48D7">
        <w:rPr>
          <w:color w:val="auto"/>
        </w:rPr>
        <w:t>billion</w:t>
      </w:r>
      <w:r>
        <w:rPr>
          <w:color w:val="auto"/>
        </w:rPr>
        <w:t xml:space="preserve"> (see Table 3.5)</w:t>
      </w:r>
      <w:r w:rsidRPr="002C48D7">
        <w:rPr>
          <w:color w:val="auto"/>
        </w:rPr>
        <w:t xml:space="preserve">. </w:t>
      </w:r>
    </w:p>
    <w:p w14:paraId="37DE77A9" w14:textId="77777777" w:rsidR="00635BD7" w:rsidRDefault="00635BD7" w:rsidP="00635BD7">
      <w:r w:rsidRPr="002C48D7">
        <w:t xml:space="preserve">The </w:t>
      </w:r>
      <w:r>
        <w:t xml:space="preserve">United States </w:t>
      </w:r>
      <w:r w:rsidRPr="002C48D7">
        <w:t xml:space="preserve">was again the top source of proposed investment </w:t>
      </w:r>
      <w:r>
        <w:t>by value in 2019</w:t>
      </w:r>
      <w:r w:rsidR="00F26A86">
        <w:t>–</w:t>
      </w:r>
      <w:r>
        <w:t xml:space="preserve">20, with Japan, Singapore, Canada and the United Kingdom </w:t>
      </w:r>
      <w:r w:rsidRPr="002C48D7">
        <w:t>making up the top five sources of proposed foreign investment in 2019</w:t>
      </w:r>
      <w:r w:rsidR="00F26A86">
        <w:t>–</w:t>
      </w:r>
      <w:r w:rsidRPr="002C48D7">
        <w:t>20.</w:t>
      </w:r>
    </w:p>
    <w:p w14:paraId="6CA16742" w14:textId="77777777" w:rsidR="00DE56DC" w:rsidRPr="00820C89" w:rsidRDefault="00DE56DC">
      <w:pPr>
        <w:pStyle w:val="Heading3"/>
      </w:pPr>
      <w:r w:rsidRPr="00820C89">
        <w:t>Conditional approvals</w:t>
      </w:r>
    </w:p>
    <w:p w14:paraId="07033927" w14:textId="77777777" w:rsidR="00DE56DC" w:rsidRPr="002C48D7" w:rsidRDefault="00DE56DC" w:rsidP="00DE56DC">
      <w:pPr>
        <w:rPr>
          <w:color w:val="auto"/>
        </w:rPr>
      </w:pPr>
      <w:r w:rsidRPr="002C48D7">
        <w:rPr>
          <w:color w:val="auto"/>
        </w:rPr>
        <w:t>Where an application raises national interest concerns, such as potential tax risks, conditions can be imposed on the approval to mitigate the potential risks and ensure the proposed investment is not contrary to the national interest. In 2019</w:t>
      </w:r>
      <w:r w:rsidR="00F26A86">
        <w:rPr>
          <w:color w:val="auto"/>
        </w:rPr>
        <w:t>–</w:t>
      </w:r>
      <w:r w:rsidRPr="002C48D7">
        <w:rPr>
          <w:color w:val="auto"/>
        </w:rPr>
        <w:t xml:space="preserve">20, the number of approvals made subject to conditions decreased by around </w:t>
      </w:r>
      <w:r w:rsidR="00635BD7">
        <w:rPr>
          <w:color w:val="auto"/>
        </w:rPr>
        <w:t>10</w:t>
      </w:r>
      <w:r w:rsidR="00FB3181">
        <w:rPr>
          <w:color w:val="auto"/>
        </w:rPr>
        <w:t> </w:t>
      </w:r>
      <w:r w:rsidRPr="002C48D7">
        <w:rPr>
          <w:color w:val="auto"/>
        </w:rPr>
        <w:t>per</w:t>
      </w:r>
      <w:r w:rsidR="00FB3181">
        <w:rPr>
          <w:color w:val="auto"/>
        </w:rPr>
        <w:t> </w:t>
      </w:r>
      <w:r w:rsidRPr="002C48D7">
        <w:rPr>
          <w:color w:val="auto"/>
        </w:rPr>
        <w:t>cent to 3,713</w:t>
      </w:r>
      <w:r w:rsidR="00257007">
        <w:rPr>
          <w:color w:val="auto"/>
        </w:rPr>
        <w:t> </w:t>
      </w:r>
      <w:r w:rsidR="00CA0BB0">
        <w:rPr>
          <w:color w:val="auto"/>
        </w:rPr>
        <w:t>proposals</w:t>
      </w:r>
      <w:r w:rsidRPr="002C48D7">
        <w:rPr>
          <w:color w:val="auto"/>
        </w:rPr>
        <w:t xml:space="preserve">, and the value of approvals </w:t>
      </w:r>
      <w:r w:rsidR="00177F6D">
        <w:rPr>
          <w:color w:val="auto"/>
        </w:rPr>
        <w:t xml:space="preserve">subject to conditions </w:t>
      </w:r>
      <w:r w:rsidRPr="002C48D7">
        <w:rPr>
          <w:color w:val="auto"/>
        </w:rPr>
        <w:t xml:space="preserve">decreased </w:t>
      </w:r>
      <w:r w:rsidR="00177F6D">
        <w:rPr>
          <w:color w:val="auto"/>
        </w:rPr>
        <w:t xml:space="preserve">by </w:t>
      </w:r>
      <w:r w:rsidR="00121D82">
        <w:rPr>
          <w:color w:val="auto"/>
        </w:rPr>
        <w:t xml:space="preserve">around </w:t>
      </w:r>
      <w:r w:rsidR="00121D82" w:rsidRPr="00943848">
        <w:rPr>
          <w:color w:val="auto"/>
        </w:rPr>
        <w:t>25</w:t>
      </w:r>
      <w:r w:rsidR="00FB3181">
        <w:rPr>
          <w:color w:val="auto"/>
        </w:rPr>
        <w:t> </w:t>
      </w:r>
      <w:r w:rsidRPr="002C48D7">
        <w:rPr>
          <w:color w:val="auto"/>
        </w:rPr>
        <w:t>per</w:t>
      </w:r>
      <w:r w:rsidR="00FB3181">
        <w:rPr>
          <w:color w:val="auto"/>
        </w:rPr>
        <w:t> </w:t>
      </w:r>
      <w:r w:rsidRPr="002C48D7">
        <w:rPr>
          <w:color w:val="auto"/>
        </w:rPr>
        <w:t>cent to $139</w:t>
      </w:r>
      <w:r w:rsidRPr="00943848">
        <w:rPr>
          <w:color w:val="auto"/>
        </w:rPr>
        <w:t>.</w:t>
      </w:r>
      <w:r w:rsidR="00121D82" w:rsidRPr="00943848">
        <w:rPr>
          <w:color w:val="auto"/>
        </w:rPr>
        <w:t>0</w:t>
      </w:r>
      <w:r w:rsidR="00FB3181">
        <w:rPr>
          <w:color w:val="auto"/>
        </w:rPr>
        <w:t> </w:t>
      </w:r>
      <w:r w:rsidRPr="002C48D7">
        <w:rPr>
          <w:color w:val="auto"/>
        </w:rPr>
        <w:t>billion.</w:t>
      </w:r>
    </w:p>
    <w:p w14:paraId="21B44F7B" w14:textId="77777777" w:rsidR="00DE56DC" w:rsidRPr="00820C89" w:rsidRDefault="00DE56DC">
      <w:pPr>
        <w:pStyle w:val="Heading3"/>
      </w:pPr>
      <w:r w:rsidRPr="00820C89">
        <w:t>Rejections and other outcomes</w:t>
      </w:r>
    </w:p>
    <w:p w14:paraId="1D59F202" w14:textId="4852AE15" w:rsidR="00DE56DC" w:rsidRPr="002C48D7" w:rsidRDefault="0054452F" w:rsidP="00DE56DC">
      <w:pPr>
        <w:rPr>
          <w:color w:val="auto"/>
        </w:rPr>
      </w:pPr>
      <w:r w:rsidRPr="002C48D7">
        <w:rPr>
          <w:color w:val="auto"/>
        </w:rPr>
        <w:t>Information</w:t>
      </w:r>
      <w:r w:rsidR="00DE56DC" w:rsidRPr="002C48D7">
        <w:rPr>
          <w:color w:val="auto"/>
        </w:rPr>
        <w:t xml:space="preserve"> on investments that were required to be divested due to being in breach of </w:t>
      </w:r>
      <w:r w:rsidR="00DE56DC" w:rsidRPr="00943848">
        <w:rPr>
          <w:color w:val="auto"/>
        </w:rPr>
        <w:t>the framework</w:t>
      </w:r>
      <w:r w:rsidR="00BE1451">
        <w:rPr>
          <w:color w:val="auto"/>
        </w:rPr>
        <w:t xml:space="preserve"> are in </w:t>
      </w:r>
      <w:r w:rsidR="00DE56DC" w:rsidRPr="002C48D7">
        <w:rPr>
          <w:color w:val="auto"/>
        </w:rPr>
        <w:t>Chapter 4: Compliance.</w:t>
      </w:r>
    </w:p>
    <w:p w14:paraId="1EA605C7" w14:textId="77777777" w:rsidR="00DE56DC" w:rsidRPr="002C48D7" w:rsidRDefault="00E90EFF" w:rsidP="00DE56DC">
      <w:pPr>
        <w:rPr>
          <w:color w:val="auto"/>
        </w:rPr>
      </w:pPr>
      <w:r>
        <w:rPr>
          <w:color w:val="auto"/>
        </w:rPr>
        <w:t>Exemption Certificates are an a</w:t>
      </w:r>
      <w:r w:rsidRPr="000814CB">
        <w:t xml:space="preserve">dvance approval to allow foreign persons to undertake a program of acquisitions of land and/or business and entities. </w:t>
      </w:r>
      <w:r w:rsidR="00CA0BB0" w:rsidRPr="002C48D7">
        <w:rPr>
          <w:color w:val="auto"/>
        </w:rPr>
        <w:t>No exemption certificate applications were declined</w:t>
      </w:r>
      <w:r w:rsidR="00CA0BB0">
        <w:rPr>
          <w:color w:val="auto"/>
        </w:rPr>
        <w:t xml:space="preserve"> i</w:t>
      </w:r>
      <w:r w:rsidR="00DE56DC" w:rsidRPr="002C48D7">
        <w:rPr>
          <w:color w:val="auto"/>
        </w:rPr>
        <w:t>n 2019</w:t>
      </w:r>
      <w:r w:rsidR="00F26A86">
        <w:rPr>
          <w:color w:val="auto"/>
        </w:rPr>
        <w:t>–</w:t>
      </w:r>
      <w:r w:rsidR="00DE56DC" w:rsidRPr="002C48D7">
        <w:rPr>
          <w:color w:val="auto"/>
        </w:rPr>
        <w:t>20, nor were any exemption certificates revoked.</w:t>
      </w:r>
    </w:p>
    <w:p w14:paraId="62386EF8" w14:textId="77777777" w:rsidR="00DE56DC" w:rsidRPr="002C48D7" w:rsidRDefault="00DE56DC" w:rsidP="00DE56DC">
      <w:pPr>
        <w:rPr>
          <w:color w:val="auto"/>
        </w:rPr>
      </w:pPr>
      <w:r>
        <w:rPr>
          <w:color w:val="auto"/>
        </w:rPr>
        <w:t>In 2019</w:t>
      </w:r>
      <w:r w:rsidR="00F26A86">
        <w:rPr>
          <w:color w:val="auto"/>
        </w:rPr>
        <w:t>–</w:t>
      </w:r>
      <w:r>
        <w:rPr>
          <w:color w:val="auto"/>
        </w:rPr>
        <w:t>20, 715</w:t>
      </w:r>
      <w:r w:rsidR="00257007">
        <w:rPr>
          <w:color w:val="auto"/>
        </w:rPr>
        <w:t> </w:t>
      </w:r>
      <w:r w:rsidRPr="002C48D7">
        <w:rPr>
          <w:color w:val="auto"/>
        </w:rPr>
        <w:t>applications were withdrawn prior to a decision being made</w:t>
      </w:r>
      <w:r>
        <w:rPr>
          <w:color w:val="auto"/>
        </w:rPr>
        <w:t>, representing an increase of 45</w:t>
      </w:r>
      <w:r w:rsidR="00257007">
        <w:rPr>
          <w:color w:val="auto"/>
        </w:rPr>
        <w:t> </w:t>
      </w:r>
      <w:r w:rsidRPr="002C48D7">
        <w:rPr>
          <w:color w:val="auto"/>
        </w:rPr>
        <w:t xml:space="preserve">withdrawals </w:t>
      </w:r>
      <w:r w:rsidR="00CA0BB0">
        <w:rPr>
          <w:color w:val="auto"/>
        </w:rPr>
        <w:t>compared to 2018</w:t>
      </w:r>
      <w:r w:rsidR="00F26A86">
        <w:rPr>
          <w:color w:val="auto"/>
        </w:rPr>
        <w:t>–</w:t>
      </w:r>
      <w:r w:rsidR="00CA0BB0">
        <w:rPr>
          <w:color w:val="auto"/>
        </w:rPr>
        <w:t>19</w:t>
      </w:r>
      <w:r w:rsidRPr="002C48D7">
        <w:rPr>
          <w:color w:val="auto"/>
        </w:rPr>
        <w:t>. Around 76</w:t>
      </w:r>
      <w:r w:rsidR="00257007">
        <w:rPr>
          <w:color w:val="auto"/>
        </w:rPr>
        <w:t> </w:t>
      </w:r>
      <w:r w:rsidRPr="002C48D7">
        <w:rPr>
          <w:color w:val="auto"/>
        </w:rPr>
        <w:t>per</w:t>
      </w:r>
      <w:r w:rsidR="00257007">
        <w:rPr>
          <w:color w:val="auto"/>
        </w:rPr>
        <w:t> </w:t>
      </w:r>
      <w:r w:rsidRPr="002C48D7">
        <w:rPr>
          <w:color w:val="auto"/>
        </w:rPr>
        <w:t xml:space="preserve">cent of these related to residential real estate applications. In the residential real estate sector, withdrawals may result from applicants submitting a series of applications and subsequently withdrawing their remaining applications once they purchase a property or if the property subject to the application has been sold to other parties. </w:t>
      </w:r>
      <w:r w:rsidR="00177F6D">
        <w:rPr>
          <w:color w:val="auto"/>
        </w:rPr>
        <w:t>The reasons for withdrawal of</w:t>
      </w:r>
      <w:r w:rsidRPr="002C48D7">
        <w:rPr>
          <w:color w:val="auto"/>
        </w:rPr>
        <w:t xml:space="preserve"> applications </w:t>
      </w:r>
      <w:r w:rsidR="00177F6D">
        <w:rPr>
          <w:color w:val="auto"/>
        </w:rPr>
        <w:t>are varied. A</w:t>
      </w:r>
      <w:r w:rsidRPr="002C48D7">
        <w:rPr>
          <w:color w:val="auto"/>
        </w:rPr>
        <w:t xml:space="preserve"> foreign person </w:t>
      </w:r>
      <w:r w:rsidR="00177F6D">
        <w:rPr>
          <w:color w:val="auto"/>
        </w:rPr>
        <w:t>may</w:t>
      </w:r>
      <w:r w:rsidRPr="002C48D7">
        <w:rPr>
          <w:color w:val="auto"/>
        </w:rPr>
        <w:t xml:space="preserve"> not proceed with a purchase or defer a purchase for commercial reasons. Also, in competitive bid or tender processes a foreign person may not be shortlisted or be unsuccessful prior to a decision on their application. </w:t>
      </w:r>
      <w:r w:rsidR="00177F6D">
        <w:rPr>
          <w:color w:val="auto"/>
        </w:rPr>
        <w:t>W</w:t>
      </w:r>
      <w:r w:rsidRPr="002C48D7">
        <w:rPr>
          <w:color w:val="auto"/>
        </w:rPr>
        <w:t xml:space="preserve">ithdrawals may </w:t>
      </w:r>
      <w:r w:rsidR="00177F6D">
        <w:rPr>
          <w:color w:val="auto"/>
        </w:rPr>
        <w:t xml:space="preserve">also be prompted by </w:t>
      </w:r>
      <w:r w:rsidRPr="002C48D7">
        <w:rPr>
          <w:color w:val="auto"/>
        </w:rPr>
        <w:t>assets, land or securities being withdrawn from sale by a vendor, or the investor consortium composition changing following the submission of an application</w:t>
      </w:r>
      <w:r w:rsidR="005D7BBB">
        <w:rPr>
          <w:color w:val="auto"/>
        </w:rPr>
        <w:t xml:space="preserve">, or concerns identified </w:t>
      </w:r>
      <w:r w:rsidR="00623F91">
        <w:rPr>
          <w:color w:val="auto"/>
        </w:rPr>
        <w:t>by</w:t>
      </w:r>
      <w:r w:rsidR="005D7BBB">
        <w:rPr>
          <w:color w:val="auto"/>
        </w:rPr>
        <w:t xml:space="preserve"> the </w:t>
      </w:r>
      <w:r w:rsidR="00623F91">
        <w:rPr>
          <w:color w:val="auto"/>
        </w:rPr>
        <w:t xml:space="preserve">investor with the </w:t>
      </w:r>
      <w:r w:rsidR="005D7BBB">
        <w:rPr>
          <w:color w:val="auto"/>
        </w:rPr>
        <w:t>proposed investment</w:t>
      </w:r>
      <w:r w:rsidRPr="002C48D7">
        <w:rPr>
          <w:color w:val="auto"/>
        </w:rPr>
        <w:t>.</w:t>
      </w:r>
    </w:p>
    <w:p w14:paraId="44F2B93C" w14:textId="77777777" w:rsidR="00DE56DC" w:rsidRDefault="00DE56DC" w:rsidP="00DE56DC">
      <w:pPr>
        <w:rPr>
          <w:color w:val="auto"/>
        </w:rPr>
      </w:pPr>
      <w:r w:rsidRPr="002C48D7">
        <w:rPr>
          <w:color w:val="auto"/>
        </w:rPr>
        <w:t>In 2019</w:t>
      </w:r>
      <w:r w:rsidR="00F26A86">
        <w:rPr>
          <w:color w:val="auto"/>
        </w:rPr>
        <w:t>–</w:t>
      </w:r>
      <w:r w:rsidRPr="002C48D7">
        <w:rPr>
          <w:color w:val="auto"/>
        </w:rPr>
        <w:t>20, 65</w:t>
      </w:r>
      <w:r w:rsidR="00257007">
        <w:rPr>
          <w:color w:val="auto"/>
        </w:rPr>
        <w:t> </w:t>
      </w:r>
      <w:r w:rsidRPr="002C48D7">
        <w:rPr>
          <w:color w:val="auto"/>
        </w:rPr>
        <w:t xml:space="preserve">applications were determined to be exempt, </w:t>
      </w:r>
      <w:r w:rsidR="00E0296B">
        <w:rPr>
          <w:color w:val="auto"/>
        </w:rPr>
        <w:t>six</w:t>
      </w:r>
      <w:r w:rsidRPr="002C48D7">
        <w:rPr>
          <w:color w:val="auto"/>
        </w:rPr>
        <w:t xml:space="preserve"> less than in </w:t>
      </w:r>
      <w:r w:rsidR="00820C89">
        <w:rPr>
          <w:color w:val="auto"/>
        </w:rPr>
        <w:t>2018</w:t>
      </w:r>
      <w:r w:rsidR="00F26A86">
        <w:rPr>
          <w:color w:val="auto"/>
        </w:rPr>
        <w:t>–</w:t>
      </w:r>
      <w:r w:rsidR="00820C89">
        <w:rPr>
          <w:color w:val="auto"/>
        </w:rPr>
        <w:t>19</w:t>
      </w:r>
      <w:r w:rsidRPr="002C48D7">
        <w:rPr>
          <w:color w:val="auto"/>
        </w:rPr>
        <w:t>. Over 61 per cent of these related to residential real estate applications. Exempt refers to where applications have been lodged for a proposed investment that is subsequently determined to be exempt due to the proposed investment meeting the criteria for an exemption in the Act or factors such as the proposed investment not meeting a threshold subject to the Act.</w:t>
      </w:r>
    </w:p>
    <w:p w14:paraId="2EB906F1" w14:textId="77777777" w:rsidR="00DE56DC" w:rsidRPr="00820C89" w:rsidRDefault="00737A7F" w:rsidP="00177F6D">
      <w:pPr>
        <w:pStyle w:val="TableMainHeading"/>
        <w:keepLines/>
      </w:pPr>
      <w:bookmarkStart w:id="81" w:name="_Toc63798269"/>
      <w:bookmarkStart w:id="82" w:name="_Toc73984728"/>
      <w:r w:rsidRPr="00820C89">
        <w:t>Table 3.1: Applications considered 201</w:t>
      </w:r>
      <w:r w:rsidR="00A1397C">
        <w:t>6</w:t>
      </w:r>
      <w:r w:rsidR="007E5EF1" w:rsidRPr="00820C89">
        <w:t>–</w:t>
      </w:r>
      <w:r w:rsidRPr="00820C89">
        <w:t>1</w:t>
      </w:r>
      <w:r w:rsidR="00A1397C">
        <w:t>7</w:t>
      </w:r>
      <w:r w:rsidRPr="00820C89">
        <w:t xml:space="preserve"> to 2019</w:t>
      </w:r>
      <w:r w:rsidR="007E5EF1" w:rsidRPr="00820C89">
        <w:t>–</w:t>
      </w:r>
      <w:r w:rsidRPr="00820C89">
        <w:t>20 (number of applications)</w:t>
      </w:r>
      <w:bookmarkEnd w:id="81"/>
      <w:bookmarkEnd w:id="82"/>
    </w:p>
    <w:tbl>
      <w:tblPr>
        <w:tblW w:w="5000" w:type="pct"/>
        <w:tblLook w:val="04A0" w:firstRow="1" w:lastRow="0" w:firstColumn="1" w:lastColumn="0" w:noHBand="0" w:noVBand="1"/>
      </w:tblPr>
      <w:tblGrid>
        <w:gridCol w:w="2974"/>
        <w:gridCol w:w="1261"/>
        <w:gridCol w:w="1261"/>
        <w:gridCol w:w="1107"/>
        <w:gridCol w:w="1107"/>
      </w:tblGrid>
      <w:tr w:rsidR="00737A7F" w:rsidRPr="00737A7F" w14:paraId="042220CD" w14:textId="77777777" w:rsidTr="003A0934">
        <w:trPr>
          <w:trHeight w:val="227"/>
        </w:trPr>
        <w:tc>
          <w:tcPr>
            <w:tcW w:w="1928" w:type="pct"/>
            <w:tcBorders>
              <w:top w:val="single" w:sz="4" w:space="0" w:color="auto"/>
              <w:left w:val="nil"/>
              <w:bottom w:val="nil"/>
              <w:right w:val="nil"/>
            </w:tcBorders>
            <w:shd w:val="clear" w:color="000000" w:fill="FFFFFF"/>
            <w:noWrap/>
            <w:vAlign w:val="center"/>
            <w:hideMark/>
          </w:tcPr>
          <w:p w14:paraId="0B4C24B8" w14:textId="77777777" w:rsidR="00737A7F" w:rsidRPr="00737A7F" w:rsidRDefault="00737A7F" w:rsidP="00177F6D">
            <w:pPr>
              <w:keepNext/>
              <w:keepLines/>
              <w:spacing w:after="0" w:line="240" w:lineRule="auto"/>
              <w:jc w:val="left"/>
              <w:rPr>
                <w:rFonts w:ascii="Arial" w:hAnsi="Arial" w:cs="Arial"/>
                <w:color w:val="auto"/>
                <w:sz w:val="16"/>
                <w:szCs w:val="16"/>
              </w:rPr>
            </w:pPr>
            <w:r w:rsidRPr="00737A7F">
              <w:rPr>
                <w:rFonts w:ascii="Arial" w:hAnsi="Arial" w:cs="Arial"/>
                <w:color w:val="auto"/>
                <w:sz w:val="16"/>
                <w:szCs w:val="16"/>
              </w:rPr>
              <w:t> </w:t>
            </w:r>
          </w:p>
        </w:tc>
        <w:tc>
          <w:tcPr>
            <w:tcW w:w="818" w:type="pct"/>
            <w:tcBorders>
              <w:top w:val="single" w:sz="4" w:space="0" w:color="auto"/>
              <w:left w:val="nil"/>
              <w:bottom w:val="nil"/>
              <w:right w:val="nil"/>
            </w:tcBorders>
            <w:shd w:val="clear" w:color="000000" w:fill="FFFFFF"/>
            <w:noWrap/>
            <w:vAlign w:val="center"/>
            <w:hideMark/>
          </w:tcPr>
          <w:p w14:paraId="0329602B"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 xml:space="preserve"> 2016</w:t>
            </w:r>
            <w:r w:rsidR="00F26A86">
              <w:rPr>
                <w:rFonts w:ascii="Arial" w:hAnsi="Arial" w:cs="Arial"/>
                <w:color w:val="auto"/>
                <w:sz w:val="16"/>
                <w:szCs w:val="16"/>
              </w:rPr>
              <w:t>–</w:t>
            </w:r>
            <w:r w:rsidRPr="00737A7F">
              <w:rPr>
                <w:rFonts w:ascii="Arial" w:hAnsi="Arial" w:cs="Arial"/>
                <w:color w:val="auto"/>
                <w:sz w:val="16"/>
                <w:szCs w:val="16"/>
              </w:rPr>
              <w:t>17</w:t>
            </w:r>
          </w:p>
        </w:tc>
        <w:tc>
          <w:tcPr>
            <w:tcW w:w="818" w:type="pct"/>
            <w:tcBorders>
              <w:top w:val="single" w:sz="4" w:space="0" w:color="auto"/>
              <w:left w:val="nil"/>
              <w:bottom w:val="nil"/>
              <w:right w:val="nil"/>
            </w:tcBorders>
            <w:shd w:val="clear" w:color="auto" w:fill="auto"/>
            <w:noWrap/>
            <w:vAlign w:val="center"/>
            <w:hideMark/>
          </w:tcPr>
          <w:p w14:paraId="655B035F"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 xml:space="preserve"> 2017</w:t>
            </w:r>
            <w:r w:rsidR="00F26A86">
              <w:rPr>
                <w:rFonts w:ascii="Arial" w:hAnsi="Arial" w:cs="Arial"/>
                <w:color w:val="auto"/>
                <w:sz w:val="16"/>
                <w:szCs w:val="16"/>
              </w:rPr>
              <w:t>–</w:t>
            </w:r>
            <w:r w:rsidRPr="00737A7F">
              <w:rPr>
                <w:rFonts w:ascii="Arial" w:hAnsi="Arial" w:cs="Arial"/>
                <w:color w:val="auto"/>
                <w:sz w:val="16"/>
                <w:szCs w:val="16"/>
              </w:rPr>
              <w:t>18</w:t>
            </w:r>
          </w:p>
        </w:tc>
        <w:tc>
          <w:tcPr>
            <w:tcW w:w="718" w:type="pct"/>
            <w:tcBorders>
              <w:top w:val="single" w:sz="4" w:space="0" w:color="auto"/>
              <w:left w:val="nil"/>
              <w:bottom w:val="nil"/>
              <w:right w:val="nil"/>
            </w:tcBorders>
            <w:shd w:val="clear" w:color="auto" w:fill="auto"/>
            <w:noWrap/>
            <w:vAlign w:val="center"/>
            <w:hideMark/>
          </w:tcPr>
          <w:p w14:paraId="6F9D44BA"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 xml:space="preserve"> 2018</w:t>
            </w:r>
            <w:r w:rsidR="00F26A86">
              <w:rPr>
                <w:rFonts w:ascii="Arial" w:hAnsi="Arial" w:cs="Arial"/>
                <w:color w:val="auto"/>
                <w:sz w:val="16"/>
                <w:szCs w:val="16"/>
              </w:rPr>
              <w:t>–</w:t>
            </w:r>
            <w:r w:rsidRPr="00737A7F">
              <w:rPr>
                <w:rFonts w:ascii="Arial" w:hAnsi="Arial" w:cs="Arial"/>
                <w:color w:val="auto"/>
                <w:sz w:val="16"/>
                <w:szCs w:val="16"/>
              </w:rPr>
              <w:t>19</w:t>
            </w:r>
          </w:p>
        </w:tc>
        <w:tc>
          <w:tcPr>
            <w:tcW w:w="718" w:type="pct"/>
            <w:tcBorders>
              <w:top w:val="single" w:sz="4" w:space="0" w:color="auto"/>
              <w:left w:val="nil"/>
              <w:bottom w:val="nil"/>
              <w:right w:val="nil"/>
            </w:tcBorders>
            <w:shd w:val="clear" w:color="000000" w:fill="F2F2F2"/>
            <w:noWrap/>
            <w:vAlign w:val="center"/>
            <w:hideMark/>
          </w:tcPr>
          <w:p w14:paraId="7F629604"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 xml:space="preserve"> 2019</w:t>
            </w:r>
            <w:r w:rsidR="00F26A86">
              <w:rPr>
                <w:rFonts w:ascii="Arial" w:hAnsi="Arial" w:cs="Arial"/>
                <w:color w:val="auto"/>
                <w:sz w:val="16"/>
                <w:szCs w:val="16"/>
              </w:rPr>
              <w:t>–</w:t>
            </w:r>
            <w:r w:rsidRPr="00737A7F">
              <w:rPr>
                <w:rFonts w:ascii="Arial" w:hAnsi="Arial" w:cs="Arial"/>
                <w:color w:val="auto"/>
                <w:sz w:val="16"/>
                <w:szCs w:val="16"/>
              </w:rPr>
              <w:t>20</w:t>
            </w:r>
          </w:p>
        </w:tc>
      </w:tr>
      <w:tr w:rsidR="00737A7F" w:rsidRPr="00737A7F" w14:paraId="60F76D37" w14:textId="77777777" w:rsidTr="003A0934">
        <w:trPr>
          <w:trHeight w:val="227"/>
        </w:trPr>
        <w:tc>
          <w:tcPr>
            <w:tcW w:w="1928" w:type="pct"/>
            <w:tcBorders>
              <w:top w:val="nil"/>
              <w:left w:val="nil"/>
              <w:bottom w:val="single" w:sz="4" w:space="0" w:color="000000"/>
              <w:right w:val="nil"/>
            </w:tcBorders>
            <w:shd w:val="clear" w:color="000000" w:fill="FFFFFF"/>
            <w:noWrap/>
            <w:vAlign w:val="bottom"/>
            <w:hideMark/>
          </w:tcPr>
          <w:p w14:paraId="2C510A00" w14:textId="77777777" w:rsidR="00737A7F" w:rsidRPr="00737A7F" w:rsidRDefault="00737A7F" w:rsidP="00177F6D">
            <w:pPr>
              <w:keepNext/>
              <w:keepLines/>
              <w:spacing w:after="0" w:line="240" w:lineRule="auto"/>
              <w:jc w:val="left"/>
              <w:rPr>
                <w:rFonts w:ascii="Arial" w:hAnsi="Arial" w:cs="Arial"/>
                <w:color w:val="auto"/>
                <w:sz w:val="16"/>
                <w:szCs w:val="16"/>
              </w:rPr>
            </w:pPr>
            <w:r w:rsidRPr="00737A7F">
              <w:rPr>
                <w:rFonts w:ascii="Arial" w:hAnsi="Arial" w:cs="Arial"/>
                <w:color w:val="auto"/>
                <w:sz w:val="16"/>
                <w:szCs w:val="16"/>
              </w:rPr>
              <w:t xml:space="preserve"> Outcome </w:t>
            </w:r>
          </w:p>
        </w:tc>
        <w:tc>
          <w:tcPr>
            <w:tcW w:w="818" w:type="pct"/>
            <w:tcBorders>
              <w:top w:val="nil"/>
              <w:left w:val="nil"/>
              <w:bottom w:val="single" w:sz="4" w:space="0" w:color="000000"/>
              <w:right w:val="nil"/>
            </w:tcBorders>
            <w:shd w:val="clear" w:color="000000" w:fill="FFFFFF"/>
            <w:noWrap/>
            <w:vAlign w:val="bottom"/>
            <w:hideMark/>
          </w:tcPr>
          <w:p w14:paraId="3BF97E50"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 xml:space="preserve"> No.</w:t>
            </w:r>
          </w:p>
        </w:tc>
        <w:tc>
          <w:tcPr>
            <w:tcW w:w="818" w:type="pct"/>
            <w:tcBorders>
              <w:top w:val="nil"/>
              <w:left w:val="nil"/>
              <w:bottom w:val="single" w:sz="4" w:space="0" w:color="auto"/>
              <w:right w:val="nil"/>
            </w:tcBorders>
            <w:shd w:val="clear" w:color="auto" w:fill="auto"/>
            <w:noWrap/>
            <w:vAlign w:val="bottom"/>
            <w:hideMark/>
          </w:tcPr>
          <w:p w14:paraId="6D6F9482"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 xml:space="preserve"> No.</w:t>
            </w:r>
          </w:p>
        </w:tc>
        <w:tc>
          <w:tcPr>
            <w:tcW w:w="718" w:type="pct"/>
            <w:tcBorders>
              <w:top w:val="nil"/>
              <w:left w:val="nil"/>
              <w:bottom w:val="single" w:sz="4" w:space="0" w:color="auto"/>
              <w:right w:val="nil"/>
            </w:tcBorders>
            <w:shd w:val="clear" w:color="auto" w:fill="auto"/>
            <w:noWrap/>
            <w:vAlign w:val="bottom"/>
            <w:hideMark/>
          </w:tcPr>
          <w:p w14:paraId="6CA12A12"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 xml:space="preserve"> No.</w:t>
            </w:r>
          </w:p>
        </w:tc>
        <w:tc>
          <w:tcPr>
            <w:tcW w:w="718" w:type="pct"/>
            <w:tcBorders>
              <w:top w:val="nil"/>
              <w:left w:val="nil"/>
              <w:bottom w:val="single" w:sz="4" w:space="0" w:color="auto"/>
              <w:right w:val="nil"/>
            </w:tcBorders>
            <w:shd w:val="clear" w:color="000000" w:fill="F2F2F2"/>
            <w:noWrap/>
            <w:vAlign w:val="bottom"/>
            <w:hideMark/>
          </w:tcPr>
          <w:p w14:paraId="7DD7F5A3"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 xml:space="preserve"> No.</w:t>
            </w:r>
          </w:p>
        </w:tc>
      </w:tr>
      <w:tr w:rsidR="00737A7F" w:rsidRPr="00737A7F" w14:paraId="66650134" w14:textId="77777777" w:rsidTr="003A0934">
        <w:trPr>
          <w:trHeight w:val="227"/>
        </w:trPr>
        <w:tc>
          <w:tcPr>
            <w:tcW w:w="1928" w:type="pct"/>
            <w:tcBorders>
              <w:top w:val="nil"/>
              <w:left w:val="nil"/>
              <w:bottom w:val="nil"/>
              <w:right w:val="nil"/>
            </w:tcBorders>
            <w:shd w:val="clear" w:color="000000" w:fill="FFFFFF"/>
            <w:noWrap/>
            <w:vAlign w:val="bottom"/>
            <w:hideMark/>
          </w:tcPr>
          <w:p w14:paraId="0F25D2B1" w14:textId="77777777" w:rsidR="00737A7F" w:rsidRPr="00737A7F" w:rsidRDefault="00737A7F" w:rsidP="00177F6D">
            <w:pPr>
              <w:keepNext/>
              <w:keepLines/>
              <w:spacing w:after="0" w:line="240" w:lineRule="auto"/>
              <w:jc w:val="left"/>
              <w:rPr>
                <w:rFonts w:ascii="Arial" w:hAnsi="Arial" w:cs="Arial"/>
                <w:color w:val="auto"/>
                <w:sz w:val="16"/>
                <w:szCs w:val="16"/>
              </w:rPr>
            </w:pPr>
            <w:r w:rsidRPr="00737A7F">
              <w:rPr>
                <w:rFonts w:ascii="Arial" w:hAnsi="Arial" w:cs="Arial"/>
                <w:color w:val="auto"/>
                <w:sz w:val="16"/>
                <w:szCs w:val="16"/>
              </w:rPr>
              <w:t> </w:t>
            </w:r>
          </w:p>
        </w:tc>
        <w:tc>
          <w:tcPr>
            <w:tcW w:w="818" w:type="pct"/>
            <w:tcBorders>
              <w:top w:val="nil"/>
              <w:left w:val="nil"/>
              <w:bottom w:val="nil"/>
              <w:right w:val="nil"/>
            </w:tcBorders>
            <w:shd w:val="clear" w:color="000000" w:fill="FFFFFF"/>
            <w:noWrap/>
            <w:vAlign w:val="bottom"/>
            <w:hideMark/>
          </w:tcPr>
          <w:p w14:paraId="39107F82"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 </w:t>
            </w:r>
          </w:p>
        </w:tc>
        <w:tc>
          <w:tcPr>
            <w:tcW w:w="818" w:type="pct"/>
            <w:tcBorders>
              <w:top w:val="nil"/>
              <w:left w:val="nil"/>
              <w:bottom w:val="nil"/>
              <w:right w:val="nil"/>
            </w:tcBorders>
            <w:shd w:val="clear" w:color="auto" w:fill="auto"/>
            <w:noWrap/>
            <w:vAlign w:val="bottom"/>
            <w:hideMark/>
          </w:tcPr>
          <w:p w14:paraId="48F86256" w14:textId="77777777" w:rsidR="00737A7F" w:rsidRPr="00737A7F" w:rsidRDefault="00737A7F" w:rsidP="00177F6D">
            <w:pPr>
              <w:keepNext/>
              <w:keepLines/>
              <w:spacing w:after="0" w:line="240" w:lineRule="auto"/>
              <w:jc w:val="right"/>
              <w:rPr>
                <w:rFonts w:ascii="Arial" w:hAnsi="Arial" w:cs="Arial"/>
                <w:color w:val="auto"/>
                <w:sz w:val="16"/>
                <w:szCs w:val="16"/>
              </w:rPr>
            </w:pPr>
          </w:p>
        </w:tc>
        <w:tc>
          <w:tcPr>
            <w:tcW w:w="718" w:type="pct"/>
            <w:tcBorders>
              <w:top w:val="nil"/>
              <w:left w:val="nil"/>
              <w:bottom w:val="nil"/>
              <w:right w:val="nil"/>
            </w:tcBorders>
            <w:shd w:val="clear" w:color="auto" w:fill="auto"/>
            <w:noWrap/>
            <w:vAlign w:val="bottom"/>
            <w:hideMark/>
          </w:tcPr>
          <w:p w14:paraId="7BE15B59" w14:textId="77777777" w:rsidR="00737A7F" w:rsidRPr="00737A7F" w:rsidRDefault="00737A7F" w:rsidP="00177F6D">
            <w:pPr>
              <w:keepNext/>
              <w:keepLines/>
              <w:spacing w:after="0" w:line="240" w:lineRule="auto"/>
              <w:jc w:val="right"/>
              <w:rPr>
                <w:rFonts w:ascii="Times New Roman" w:hAnsi="Times New Roman"/>
                <w:color w:val="auto"/>
              </w:rPr>
            </w:pPr>
          </w:p>
        </w:tc>
        <w:tc>
          <w:tcPr>
            <w:tcW w:w="718" w:type="pct"/>
            <w:tcBorders>
              <w:top w:val="nil"/>
              <w:left w:val="nil"/>
              <w:bottom w:val="nil"/>
              <w:right w:val="nil"/>
            </w:tcBorders>
            <w:shd w:val="clear" w:color="000000" w:fill="F2F2F2"/>
            <w:noWrap/>
            <w:vAlign w:val="bottom"/>
            <w:hideMark/>
          </w:tcPr>
          <w:p w14:paraId="0F7A6AEF"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 </w:t>
            </w:r>
          </w:p>
        </w:tc>
      </w:tr>
      <w:tr w:rsidR="00737A7F" w:rsidRPr="00737A7F" w14:paraId="314D2B43" w14:textId="77777777" w:rsidTr="003A0934">
        <w:trPr>
          <w:trHeight w:val="227"/>
        </w:trPr>
        <w:tc>
          <w:tcPr>
            <w:tcW w:w="1928" w:type="pct"/>
            <w:tcBorders>
              <w:top w:val="nil"/>
              <w:left w:val="nil"/>
              <w:bottom w:val="nil"/>
              <w:right w:val="nil"/>
            </w:tcBorders>
            <w:shd w:val="clear" w:color="000000" w:fill="FFFFFF"/>
            <w:noWrap/>
            <w:vAlign w:val="center"/>
            <w:hideMark/>
          </w:tcPr>
          <w:p w14:paraId="4BEC1270" w14:textId="77777777" w:rsidR="00737A7F" w:rsidRPr="00737A7F" w:rsidRDefault="001069C5" w:rsidP="001069C5">
            <w:pPr>
              <w:keepNext/>
              <w:keepLines/>
              <w:spacing w:after="0" w:line="240" w:lineRule="auto"/>
              <w:jc w:val="left"/>
              <w:rPr>
                <w:rFonts w:ascii="Arial" w:hAnsi="Arial" w:cs="Arial"/>
                <w:color w:val="auto"/>
                <w:sz w:val="16"/>
                <w:szCs w:val="16"/>
              </w:rPr>
            </w:pPr>
            <w:r>
              <w:rPr>
                <w:rFonts w:ascii="Arial" w:hAnsi="Arial" w:cs="Arial"/>
                <w:color w:val="auto"/>
                <w:sz w:val="16"/>
                <w:szCs w:val="16"/>
              </w:rPr>
              <w:t xml:space="preserve"> Approved without conditions</w:t>
            </w:r>
          </w:p>
        </w:tc>
        <w:tc>
          <w:tcPr>
            <w:tcW w:w="818" w:type="pct"/>
            <w:tcBorders>
              <w:top w:val="nil"/>
              <w:left w:val="nil"/>
              <w:bottom w:val="nil"/>
              <w:right w:val="nil"/>
            </w:tcBorders>
            <w:shd w:val="clear" w:color="000000" w:fill="FFFFFF"/>
            <w:noWrap/>
            <w:vAlign w:val="center"/>
            <w:hideMark/>
          </w:tcPr>
          <w:p w14:paraId="3A8C37C4"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8,607</w:t>
            </w:r>
          </w:p>
        </w:tc>
        <w:tc>
          <w:tcPr>
            <w:tcW w:w="818" w:type="pct"/>
            <w:tcBorders>
              <w:top w:val="nil"/>
              <w:left w:val="nil"/>
              <w:bottom w:val="nil"/>
              <w:right w:val="nil"/>
            </w:tcBorders>
            <w:shd w:val="clear" w:color="auto" w:fill="auto"/>
            <w:noWrap/>
            <w:vAlign w:val="bottom"/>
            <w:hideMark/>
          </w:tcPr>
          <w:p w14:paraId="30443551"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6,301</w:t>
            </w:r>
          </w:p>
        </w:tc>
        <w:tc>
          <w:tcPr>
            <w:tcW w:w="718" w:type="pct"/>
            <w:tcBorders>
              <w:top w:val="nil"/>
              <w:left w:val="nil"/>
              <w:bottom w:val="nil"/>
              <w:right w:val="nil"/>
            </w:tcBorders>
            <w:shd w:val="clear" w:color="auto" w:fill="auto"/>
            <w:noWrap/>
            <w:vAlign w:val="bottom"/>
            <w:hideMark/>
          </w:tcPr>
          <w:p w14:paraId="43BE3978"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4,575</w:t>
            </w:r>
          </w:p>
        </w:tc>
        <w:tc>
          <w:tcPr>
            <w:tcW w:w="718" w:type="pct"/>
            <w:tcBorders>
              <w:top w:val="nil"/>
              <w:left w:val="nil"/>
              <w:bottom w:val="nil"/>
              <w:right w:val="nil"/>
            </w:tcBorders>
            <w:shd w:val="clear" w:color="000000" w:fill="F2F2F2"/>
            <w:noWrap/>
            <w:vAlign w:val="bottom"/>
            <w:hideMark/>
          </w:tcPr>
          <w:p w14:paraId="73AF90A6"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4,508</w:t>
            </w:r>
          </w:p>
        </w:tc>
      </w:tr>
      <w:tr w:rsidR="00737A7F" w:rsidRPr="00737A7F" w14:paraId="200A1D0A" w14:textId="77777777" w:rsidTr="003A0934">
        <w:trPr>
          <w:trHeight w:val="227"/>
        </w:trPr>
        <w:tc>
          <w:tcPr>
            <w:tcW w:w="1928" w:type="pct"/>
            <w:tcBorders>
              <w:top w:val="nil"/>
              <w:left w:val="nil"/>
              <w:bottom w:val="nil"/>
              <w:right w:val="nil"/>
            </w:tcBorders>
            <w:shd w:val="clear" w:color="000000" w:fill="FFFFFF"/>
            <w:noWrap/>
            <w:vAlign w:val="center"/>
            <w:hideMark/>
          </w:tcPr>
          <w:p w14:paraId="78818606" w14:textId="77777777" w:rsidR="00737A7F" w:rsidRPr="00737A7F" w:rsidRDefault="00737A7F" w:rsidP="001069C5">
            <w:pPr>
              <w:keepNext/>
              <w:keepLines/>
              <w:spacing w:after="0" w:line="240" w:lineRule="auto"/>
              <w:jc w:val="left"/>
              <w:rPr>
                <w:rFonts w:ascii="Arial" w:hAnsi="Arial" w:cs="Arial"/>
                <w:color w:val="auto"/>
                <w:sz w:val="16"/>
                <w:szCs w:val="16"/>
              </w:rPr>
            </w:pPr>
            <w:r w:rsidRPr="00737A7F">
              <w:rPr>
                <w:rFonts w:ascii="Arial" w:hAnsi="Arial" w:cs="Arial"/>
                <w:color w:val="auto"/>
                <w:sz w:val="16"/>
                <w:szCs w:val="16"/>
              </w:rPr>
              <w:t xml:space="preserve"> Approved with conditions</w:t>
            </w:r>
          </w:p>
        </w:tc>
        <w:tc>
          <w:tcPr>
            <w:tcW w:w="818" w:type="pct"/>
            <w:tcBorders>
              <w:top w:val="nil"/>
              <w:left w:val="nil"/>
              <w:bottom w:val="single" w:sz="4" w:space="0" w:color="auto"/>
              <w:right w:val="nil"/>
            </w:tcBorders>
            <w:shd w:val="clear" w:color="000000" w:fill="FFFFFF"/>
            <w:noWrap/>
            <w:vAlign w:val="center"/>
            <w:hideMark/>
          </w:tcPr>
          <w:p w14:paraId="1BFF8879"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5,750</w:t>
            </w:r>
          </w:p>
        </w:tc>
        <w:tc>
          <w:tcPr>
            <w:tcW w:w="818" w:type="pct"/>
            <w:tcBorders>
              <w:top w:val="nil"/>
              <w:left w:val="nil"/>
              <w:bottom w:val="single" w:sz="4" w:space="0" w:color="auto"/>
              <w:right w:val="nil"/>
            </w:tcBorders>
            <w:shd w:val="clear" w:color="auto" w:fill="auto"/>
            <w:noWrap/>
            <w:vAlign w:val="bottom"/>
            <w:hideMark/>
          </w:tcPr>
          <w:p w14:paraId="352339D6"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4,844</w:t>
            </w:r>
          </w:p>
        </w:tc>
        <w:tc>
          <w:tcPr>
            <w:tcW w:w="718" w:type="pct"/>
            <w:tcBorders>
              <w:top w:val="nil"/>
              <w:left w:val="nil"/>
              <w:bottom w:val="single" w:sz="4" w:space="0" w:color="auto"/>
              <w:right w:val="nil"/>
            </w:tcBorders>
            <w:shd w:val="clear" w:color="auto" w:fill="auto"/>
            <w:noWrap/>
            <w:vAlign w:val="bottom"/>
            <w:hideMark/>
          </w:tcPr>
          <w:p w14:paraId="236EA335"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4,149</w:t>
            </w:r>
          </w:p>
        </w:tc>
        <w:tc>
          <w:tcPr>
            <w:tcW w:w="718" w:type="pct"/>
            <w:tcBorders>
              <w:top w:val="nil"/>
              <w:left w:val="nil"/>
              <w:bottom w:val="single" w:sz="4" w:space="0" w:color="auto"/>
              <w:right w:val="nil"/>
            </w:tcBorders>
            <w:shd w:val="clear" w:color="000000" w:fill="F2F2F2"/>
            <w:noWrap/>
            <w:vAlign w:val="bottom"/>
            <w:hideMark/>
          </w:tcPr>
          <w:p w14:paraId="6677E146"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3,713</w:t>
            </w:r>
          </w:p>
        </w:tc>
      </w:tr>
      <w:tr w:rsidR="00737A7F" w:rsidRPr="00737A7F" w14:paraId="419BE50F" w14:textId="77777777" w:rsidTr="003A0934">
        <w:trPr>
          <w:trHeight w:val="227"/>
        </w:trPr>
        <w:tc>
          <w:tcPr>
            <w:tcW w:w="1928" w:type="pct"/>
            <w:tcBorders>
              <w:top w:val="nil"/>
              <w:left w:val="nil"/>
              <w:bottom w:val="nil"/>
              <w:right w:val="nil"/>
            </w:tcBorders>
            <w:shd w:val="clear" w:color="000000" w:fill="FFFFFF"/>
            <w:noWrap/>
            <w:vAlign w:val="center"/>
            <w:hideMark/>
          </w:tcPr>
          <w:p w14:paraId="3F08BD9C" w14:textId="77777777" w:rsidR="00737A7F" w:rsidRPr="00737A7F" w:rsidRDefault="00737A7F" w:rsidP="00177F6D">
            <w:pPr>
              <w:keepNext/>
              <w:keepLines/>
              <w:spacing w:after="0" w:line="240" w:lineRule="auto"/>
              <w:jc w:val="left"/>
              <w:rPr>
                <w:rFonts w:ascii="Arial" w:hAnsi="Arial" w:cs="Arial"/>
                <w:b/>
                <w:bCs/>
                <w:color w:val="auto"/>
                <w:sz w:val="16"/>
                <w:szCs w:val="16"/>
              </w:rPr>
            </w:pPr>
            <w:r w:rsidRPr="00737A7F">
              <w:rPr>
                <w:rFonts w:ascii="Arial" w:hAnsi="Arial" w:cs="Arial"/>
                <w:b/>
                <w:bCs/>
                <w:color w:val="auto"/>
                <w:sz w:val="16"/>
                <w:szCs w:val="16"/>
              </w:rPr>
              <w:t xml:space="preserve">   Total approved </w:t>
            </w:r>
          </w:p>
        </w:tc>
        <w:tc>
          <w:tcPr>
            <w:tcW w:w="818" w:type="pct"/>
            <w:tcBorders>
              <w:top w:val="nil"/>
              <w:left w:val="nil"/>
              <w:bottom w:val="nil"/>
              <w:right w:val="nil"/>
            </w:tcBorders>
            <w:shd w:val="clear" w:color="000000" w:fill="FFFFFF"/>
            <w:noWrap/>
            <w:vAlign w:val="center"/>
            <w:hideMark/>
          </w:tcPr>
          <w:p w14:paraId="4D5ECD42" w14:textId="77777777" w:rsidR="00737A7F" w:rsidRPr="00737A7F" w:rsidRDefault="00737A7F" w:rsidP="00177F6D">
            <w:pPr>
              <w:keepNext/>
              <w:keepLines/>
              <w:spacing w:after="0" w:line="240" w:lineRule="auto"/>
              <w:jc w:val="right"/>
              <w:rPr>
                <w:rFonts w:ascii="Arial" w:hAnsi="Arial" w:cs="Arial"/>
                <w:b/>
                <w:bCs/>
                <w:color w:val="auto"/>
                <w:sz w:val="16"/>
                <w:szCs w:val="16"/>
              </w:rPr>
            </w:pPr>
            <w:r w:rsidRPr="00737A7F">
              <w:rPr>
                <w:rFonts w:ascii="Arial" w:hAnsi="Arial" w:cs="Arial"/>
                <w:b/>
                <w:bCs/>
                <w:color w:val="auto"/>
                <w:sz w:val="16"/>
                <w:szCs w:val="16"/>
              </w:rPr>
              <w:t>14,357</w:t>
            </w:r>
          </w:p>
        </w:tc>
        <w:tc>
          <w:tcPr>
            <w:tcW w:w="818" w:type="pct"/>
            <w:tcBorders>
              <w:top w:val="nil"/>
              <w:left w:val="nil"/>
              <w:bottom w:val="nil"/>
              <w:right w:val="nil"/>
            </w:tcBorders>
            <w:shd w:val="clear" w:color="auto" w:fill="auto"/>
            <w:noWrap/>
            <w:vAlign w:val="bottom"/>
            <w:hideMark/>
          </w:tcPr>
          <w:p w14:paraId="48F530AC" w14:textId="77777777" w:rsidR="00737A7F" w:rsidRPr="00737A7F" w:rsidRDefault="00737A7F" w:rsidP="00177F6D">
            <w:pPr>
              <w:keepNext/>
              <w:keepLines/>
              <w:spacing w:after="0" w:line="240" w:lineRule="auto"/>
              <w:jc w:val="right"/>
              <w:rPr>
                <w:rFonts w:ascii="Arial" w:hAnsi="Arial" w:cs="Arial"/>
                <w:b/>
                <w:bCs/>
                <w:sz w:val="16"/>
                <w:szCs w:val="16"/>
              </w:rPr>
            </w:pPr>
            <w:r w:rsidRPr="00737A7F">
              <w:rPr>
                <w:rFonts w:ascii="Arial" w:hAnsi="Arial" w:cs="Arial"/>
                <w:b/>
                <w:bCs/>
                <w:sz w:val="16"/>
                <w:szCs w:val="16"/>
              </w:rPr>
              <w:t>11,145</w:t>
            </w:r>
          </w:p>
        </w:tc>
        <w:tc>
          <w:tcPr>
            <w:tcW w:w="718" w:type="pct"/>
            <w:tcBorders>
              <w:top w:val="nil"/>
              <w:left w:val="nil"/>
              <w:bottom w:val="nil"/>
              <w:right w:val="nil"/>
            </w:tcBorders>
            <w:shd w:val="clear" w:color="auto" w:fill="auto"/>
            <w:noWrap/>
            <w:vAlign w:val="bottom"/>
            <w:hideMark/>
          </w:tcPr>
          <w:p w14:paraId="01590C35" w14:textId="77777777" w:rsidR="00737A7F" w:rsidRPr="00737A7F" w:rsidRDefault="00737A7F" w:rsidP="00177F6D">
            <w:pPr>
              <w:keepNext/>
              <w:keepLines/>
              <w:spacing w:after="0" w:line="240" w:lineRule="auto"/>
              <w:jc w:val="right"/>
              <w:rPr>
                <w:rFonts w:ascii="Arial" w:hAnsi="Arial" w:cs="Arial"/>
                <w:b/>
                <w:bCs/>
                <w:sz w:val="16"/>
                <w:szCs w:val="16"/>
              </w:rPr>
            </w:pPr>
            <w:r w:rsidRPr="00737A7F">
              <w:rPr>
                <w:rFonts w:ascii="Arial" w:hAnsi="Arial" w:cs="Arial"/>
                <w:b/>
                <w:bCs/>
                <w:sz w:val="16"/>
                <w:szCs w:val="16"/>
              </w:rPr>
              <w:t>8,724</w:t>
            </w:r>
          </w:p>
        </w:tc>
        <w:tc>
          <w:tcPr>
            <w:tcW w:w="718" w:type="pct"/>
            <w:tcBorders>
              <w:top w:val="nil"/>
              <w:left w:val="nil"/>
              <w:bottom w:val="nil"/>
              <w:right w:val="nil"/>
            </w:tcBorders>
            <w:shd w:val="clear" w:color="000000" w:fill="F2F2F2"/>
            <w:noWrap/>
            <w:vAlign w:val="bottom"/>
            <w:hideMark/>
          </w:tcPr>
          <w:p w14:paraId="5035F8F0" w14:textId="77777777" w:rsidR="00737A7F" w:rsidRPr="00737A7F" w:rsidRDefault="00737A7F" w:rsidP="00177F6D">
            <w:pPr>
              <w:keepNext/>
              <w:keepLines/>
              <w:spacing w:after="0" w:line="240" w:lineRule="auto"/>
              <w:jc w:val="right"/>
              <w:rPr>
                <w:rFonts w:ascii="Arial" w:hAnsi="Arial" w:cs="Arial"/>
                <w:b/>
                <w:bCs/>
                <w:sz w:val="16"/>
                <w:szCs w:val="16"/>
              </w:rPr>
            </w:pPr>
            <w:r w:rsidRPr="00737A7F">
              <w:rPr>
                <w:rFonts w:ascii="Arial" w:hAnsi="Arial" w:cs="Arial"/>
                <w:b/>
                <w:bCs/>
                <w:sz w:val="16"/>
                <w:szCs w:val="16"/>
              </w:rPr>
              <w:t>8,221</w:t>
            </w:r>
          </w:p>
        </w:tc>
      </w:tr>
      <w:tr w:rsidR="00737A7F" w:rsidRPr="00737A7F" w14:paraId="2FD7AE6E" w14:textId="77777777" w:rsidTr="003A0934">
        <w:trPr>
          <w:trHeight w:val="227"/>
        </w:trPr>
        <w:tc>
          <w:tcPr>
            <w:tcW w:w="1928" w:type="pct"/>
            <w:tcBorders>
              <w:top w:val="nil"/>
              <w:left w:val="nil"/>
              <w:bottom w:val="nil"/>
              <w:right w:val="nil"/>
            </w:tcBorders>
            <w:shd w:val="clear" w:color="000000" w:fill="FFFFFF"/>
            <w:noWrap/>
            <w:vAlign w:val="center"/>
            <w:hideMark/>
          </w:tcPr>
          <w:p w14:paraId="14AF3589" w14:textId="77777777" w:rsidR="00737A7F" w:rsidRPr="00737A7F" w:rsidRDefault="00737A7F" w:rsidP="00177F6D">
            <w:pPr>
              <w:keepNext/>
              <w:keepLines/>
              <w:spacing w:after="0" w:line="240" w:lineRule="auto"/>
              <w:jc w:val="left"/>
              <w:rPr>
                <w:rFonts w:ascii="Arial" w:hAnsi="Arial" w:cs="Arial"/>
                <w:color w:val="auto"/>
                <w:sz w:val="16"/>
                <w:szCs w:val="16"/>
              </w:rPr>
            </w:pPr>
            <w:r w:rsidRPr="00737A7F">
              <w:rPr>
                <w:rFonts w:ascii="Arial" w:hAnsi="Arial" w:cs="Arial"/>
                <w:color w:val="auto"/>
                <w:sz w:val="16"/>
                <w:szCs w:val="16"/>
              </w:rPr>
              <w:t xml:space="preserve"> Rejected </w:t>
            </w:r>
          </w:p>
        </w:tc>
        <w:tc>
          <w:tcPr>
            <w:tcW w:w="818" w:type="pct"/>
            <w:tcBorders>
              <w:top w:val="nil"/>
              <w:left w:val="nil"/>
              <w:bottom w:val="nil"/>
              <w:right w:val="nil"/>
            </w:tcBorders>
            <w:shd w:val="clear" w:color="000000" w:fill="FFFFFF"/>
            <w:noWrap/>
            <w:vAlign w:val="center"/>
            <w:hideMark/>
          </w:tcPr>
          <w:p w14:paraId="20A58E61"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3</w:t>
            </w:r>
          </w:p>
        </w:tc>
        <w:tc>
          <w:tcPr>
            <w:tcW w:w="818" w:type="pct"/>
            <w:tcBorders>
              <w:top w:val="nil"/>
              <w:left w:val="nil"/>
              <w:bottom w:val="nil"/>
              <w:right w:val="nil"/>
            </w:tcBorders>
            <w:shd w:val="clear" w:color="auto" w:fill="auto"/>
            <w:noWrap/>
            <w:vAlign w:val="bottom"/>
            <w:hideMark/>
          </w:tcPr>
          <w:p w14:paraId="0A53EF44"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2</w:t>
            </w:r>
          </w:p>
        </w:tc>
        <w:tc>
          <w:tcPr>
            <w:tcW w:w="718" w:type="pct"/>
            <w:tcBorders>
              <w:top w:val="nil"/>
              <w:left w:val="nil"/>
              <w:bottom w:val="nil"/>
              <w:right w:val="nil"/>
            </w:tcBorders>
            <w:shd w:val="clear" w:color="auto" w:fill="auto"/>
            <w:noWrap/>
            <w:vAlign w:val="bottom"/>
            <w:hideMark/>
          </w:tcPr>
          <w:p w14:paraId="510EB6E1"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1</w:t>
            </w:r>
          </w:p>
        </w:tc>
        <w:tc>
          <w:tcPr>
            <w:tcW w:w="718" w:type="pct"/>
            <w:tcBorders>
              <w:top w:val="nil"/>
              <w:left w:val="nil"/>
              <w:bottom w:val="nil"/>
              <w:right w:val="nil"/>
            </w:tcBorders>
            <w:shd w:val="clear" w:color="000000" w:fill="F2F2F2"/>
            <w:noWrap/>
            <w:vAlign w:val="bottom"/>
            <w:hideMark/>
          </w:tcPr>
          <w:p w14:paraId="3C8AB1E7"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3</w:t>
            </w:r>
          </w:p>
        </w:tc>
      </w:tr>
      <w:tr w:rsidR="00737A7F" w:rsidRPr="00737A7F" w14:paraId="67349C2B" w14:textId="77777777" w:rsidTr="003A0934">
        <w:trPr>
          <w:trHeight w:val="227"/>
        </w:trPr>
        <w:tc>
          <w:tcPr>
            <w:tcW w:w="1928" w:type="pct"/>
            <w:tcBorders>
              <w:top w:val="nil"/>
              <w:left w:val="nil"/>
              <w:bottom w:val="nil"/>
              <w:right w:val="nil"/>
            </w:tcBorders>
            <w:shd w:val="clear" w:color="auto" w:fill="auto"/>
            <w:noWrap/>
            <w:vAlign w:val="center"/>
            <w:hideMark/>
          </w:tcPr>
          <w:p w14:paraId="004B7EB1" w14:textId="77777777" w:rsidR="00737A7F" w:rsidRPr="00737A7F" w:rsidRDefault="00737A7F" w:rsidP="00177F6D">
            <w:pPr>
              <w:keepNext/>
              <w:keepLines/>
              <w:spacing w:after="0" w:line="240" w:lineRule="auto"/>
              <w:jc w:val="left"/>
              <w:rPr>
                <w:rFonts w:ascii="Arial" w:hAnsi="Arial" w:cs="Arial"/>
                <w:color w:val="auto"/>
                <w:sz w:val="16"/>
                <w:szCs w:val="16"/>
              </w:rPr>
            </w:pPr>
            <w:r w:rsidRPr="00737A7F">
              <w:rPr>
                <w:rFonts w:ascii="Arial" w:hAnsi="Arial" w:cs="Arial"/>
                <w:color w:val="auto"/>
                <w:sz w:val="16"/>
                <w:szCs w:val="16"/>
              </w:rPr>
              <w:t xml:space="preserve"> Declined </w:t>
            </w:r>
          </w:p>
        </w:tc>
        <w:tc>
          <w:tcPr>
            <w:tcW w:w="818" w:type="pct"/>
            <w:tcBorders>
              <w:top w:val="nil"/>
              <w:left w:val="nil"/>
              <w:bottom w:val="nil"/>
              <w:right w:val="nil"/>
            </w:tcBorders>
            <w:shd w:val="clear" w:color="000000" w:fill="FFFFFF"/>
            <w:noWrap/>
            <w:vAlign w:val="center"/>
            <w:hideMark/>
          </w:tcPr>
          <w:p w14:paraId="6B47FFC6" w14:textId="49876D65" w:rsidR="00737A7F" w:rsidRPr="00737A7F" w:rsidRDefault="00BD4D19" w:rsidP="00177F6D">
            <w:pPr>
              <w:keepNext/>
              <w:keepLines/>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818" w:type="pct"/>
            <w:tcBorders>
              <w:top w:val="nil"/>
              <w:left w:val="nil"/>
              <w:bottom w:val="single" w:sz="4" w:space="0" w:color="auto"/>
              <w:right w:val="nil"/>
            </w:tcBorders>
            <w:shd w:val="clear" w:color="auto" w:fill="auto"/>
            <w:noWrap/>
            <w:vAlign w:val="bottom"/>
            <w:hideMark/>
          </w:tcPr>
          <w:p w14:paraId="442C46F7"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3</w:t>
            </w:r>
          </w:p>
        </w:tc>
        <w:tc>
          <w:tcPr>
            <w:tcW w:w="718" w:type="pct"/>
            <w:tcBorders>
              <w:top w:val="nil"/>
              <w:left w:val="nil"/>
              <w:bottom w:val="single" w:sz="4" w:space="0" w:color="auto"/>
              <w:right w:val="nil"/>
            </w:tcBorders>
            <w:shd w:val="clear" w:color="auto" w:fill="auto"/>
            <w:noWrap/>
            <w:vAlign w:val="bottom"/>
            <w:hideMark/>
          </w:tcPr>
          <w:p w14:paraId="71AB5981" w14:textId="286F9253" w:rsidR="00737A7F" w:rsidRPr="00737A7F" w:rsidRDefault="00BD4D19" w:rsidP="00177F6D">
            <w:pPr>
              <w:keepNext/>
              <w:keepLines/>
              <w:spacing w:after="0" w:line="240" w:lineRule="auto"/>
              <w:jc w:val="right"/>
              <w:rPr>
                <w:rFonts w:ascii="Arial" w:hAnsi="Arial" w:cs="Arial"/>
                <w:sz w:val="16"/>
                <w:szCs w:val="16"/>
              </w:rPr>
            </w:pPr>
            <w:r>
              <w:rPr>
                <w:rFonts w:ascii="Arial" w:hAnsi="Arial" w:cs="Arial"/>
                <w:sz w:val="16"/>
                <w:szCs w:val="16"/>
              </w:rPr>
              <w:noBreakHyphen/>
            </w:r>
          </w:p>
        </w:tc>
        <w:tc>
          <w:tcPr>
            <w:tcW w:w="718" w:type="pct"/>
            <w:tcBorders>
              <w:top w:val="nil"/>
              <w:left w:val="nil"/>
              <w:bottom w:val="single" w:sz="4" w:space="0" w:color="auto"/>
              <w:right w:val="nil"/>
            </w:tcBorders>
            <w:shd w:val="clear" w:color="000000" w:fill="F2F2F2"/>
            <w:noWrap/>
            <w:vAlign w:val="bottom"/>
            <w:hideMark/>
          </w:tcPr>
          <w:p w14:paraId="559599A8" w14:textId="40570C0D" w:rsidR="00737A7F" w:rsidRPr="00737A7F" w:rsidRDefault="00BD4D19" w:rsidP="00177F6D">
            <w:pPr>
              <w:keepNext/>
              <w:keepLines/>
              <w:spacing w:after="0" w:line="240" w:lineRule="auto"/>
              <w:jc w:val="right"/>
              <w:rPr>
                <w:rFonts w:ascii="Arial" w:hAnsi="Arial" w:cs="Arial"/>
                <w:sz w:val="16"/>
                <w:szCs w:val="16"/>
              </w:rPr>
            </w:pPr>
            <w:r>
              <w:rPr>
                <w:rFonts w:ascii="Arial" w:hAnsi="Arial" w:cs="Arial"/>
                <w:sz w:val="16"/>
                <w:szCs w:val="16"/>
              </w:rPr>
              <w:noBreakHyphen/>
            </w:r>
          </w:p>
        </w:tc>
      </w:tr>
      <w:tr w:rsidR="00737A7F" w:rsidRPr="00737A7F" w14:paraId="19CC5197" w14:textId="77777777" w:rsidTr="003A0934">
        <w:trPr>
          <w:trHeight w:val="227"/>
        </w:trPr>
        <w:tc>
          <w:tcPr>
            <w:tcW w:w="1928" w:type="pct"/>
            <w:tcBorders>
              <w:top w:val="nil"/>
              <w:left w:val="nil"/>
              <w:bottom w:val="nil"/>
              <w:right w:val="nil"/>
            </w:tcBorders>
            <w:shd w:val="clear" w:color="000000" w:fill="FFFFFF"/>
            <w:noWrap/>
            <w:vAlign w:val="center"/>
            <w:hideMark/>
          </w:tcPr>
          <w:p w14:paraId="68580B2A" w14:textId="77777777" w:rsidR="00737A7F" w:rsidRPr="00737A7F" w:rsidRDefault="00737A7F" w:rsidP="00177F6D">
            <w:pPr>
              <w:keepNext/>
              <w:keepLines/>
              <w:spacing w:after="0" w:line="240" w:lineRule="auto"/>
              <w:jc w:val="left"/>
              <w:rPr>
                <w:rFonts w:ascii="Arial" w:hAnsi="Arial" w:cs="Arial"/>
                <w:b/>
                <w:bCs/>
                <w:color w:val="auto"/>
                <w:sz w:val="16"/>
                <w:szCs w:val="16"/>
              </w:rPr>
            </w:pPr>
            <w:r w:rsidRPr="00737A7F">
              <w:rPr>
                <w:rFonts w:ascii="Arial" w:hAnsi="Arial" w:cs="Arial"/>
                <w:b/>
                <w:bCs/>
                <w:color w:val="auto"/>
                <w:sz w:val="16"/>
                <w:szCs w:val="16"/>
              </w:rPr>
              <w:t xml:space="preserve">   Total decided </w:t>
            </w:r>
          </w:p>
        </w:tc>
        <w:tc>
          <w:tcPr>
            <w:tcW w:w="818" w:type="pct"/>
            <w:tcBorders>
              <w:top w:val="single" w:sz="4" w:space="0" w:color="auto"/>
              <w:left w:val="nil"/>
              <w:bottom w:val="nil"/>
              <w:right w:val="nil"/>
            </w:tcBorders>
            <w:shd w:val="clear" w:color="000000" w:fill="FFFFFF"/>
            <w:noWrap/>
            <w:vAlign w:val="center"/>
            <w:hideMark/>
          </w:tcPr>
          <w:p w14:paraId="14B13987" w14:textId="77777777" w:rsidR="00737A7F" w:rsidRPr="00737A7F" w:rsidRDefault="00737A7F" w:rsidP="00177F6D">
            <w:pPr>
              <w:keepNext/>
              <w:keepLines/>
              <w:spacing w:after="0" w:line="240" w:lineRule="auto"/>
              <w:jc w:val="right"/>
              <w:rPr>
                <w:rFonts w:ascii="Arial" w:hAnsi="Arial" w:cs="Arial"/>
                <w:b/>
                <w:bCs/>
                <w:color w:val="auto"/>
                <w:sz w:val="16"/>
                <w:szCs w:val="16"/>
              </w:rPr>
            </w:pPr>
            <w:r w:rsidRPr="00737A7F">
              <w:rPr>
                <w:rFonts w:ascii="Arial" w:hAnsi="Arial" w:cs="Arial"/>
                <w:b/>
                <w:bCs/>
                <w:color w:val="auto"/>
                <w:sz w:val="16"/>
                <w:szCs w:val="16"/>
              </w:rPr>
              <w:t>14,360</w:t>
            </w:r>
          </w:p>
        </w:tc>
        <w:tc>
          <w:tcPr>
            <w:tcW w:w="818" w:type="pct"/>
            <w:tcBorders>
              <w:top w:val="nil"/>
              <w:left w:val="nil"/>
              <w:bottom w:val="nil"/>
              <w:right w:val="nil"/>
            </w:tcBorders>
            <w:shd w:val="clear" w:color="auto" w:fill="auto"/>
            <w:noWrap/>
            <w:vAlign w:val="bottom"/>
            <w:hideMark/>
          </w:tcPr>
          <w:p w14:paraId="6DF8BFC4" w14:textId="77777777" w:rsidR="00737A7F" w:rsidRPr="00737A7F" w:rsidRDefault="00737A7F" w:rsidP="00177F6D">
            <w:pPr>
              <w:keepNext/>
              <w:keepLines/>
              <w:spacing w:after="0" w:line="240" w:lineRule="auto"/>
              <w:jc w:val="right"/>
              <w:rPr>
                <w:rFonts w:ascii="Arial" w:hAnsi="Arial" w:cs="Arial"/>
                <w:b/>
                <w:bCs/>
                <w:sz w:val="16"/>
                <w:szCs w:val="16"/>
              </w:rPr>
            </w:pPr>
            <w:r w:rsidRPr="00737A7F">
              <w:rPr>
                <w:rFonts w:ascii="Arial" w:hAnsi="Arial" w:cs="Arial"/>
                <w:b/>
                <w:bCs/>
                <w:sz w:val="16"/>
                <w:szCs w:val="16"/>
              </w:rPr>
              <w:t>11,150</w:t>
            </w:r>
          </w:p>
        </w:tc>
        <w:tc>
          <w:tcPr>
            <w:tcW w:w="718" w:type="pct"/>
            <w:tcBorders>
              <w:top w:val="nil"/>
              <w:left w:val="nil"/>
              <w:bottom w:val="nil"/>
              <w:right w:val="nil"/>
            </w:tcBorders>
            <w:shd w:val="clear" w:color="auto" w:fill="auto"/>
            <w:noWrap/>
            <w:vAlign w:val="bottom"/>
            <w:hideMark/>
          </w:tcPr>
          <w:p w14:paraId="7AE1A63B" w14:textId="77777777" w:rsidR="00737A7F" w:rsidRPr="00737A7F" w:rsidRDefault="00737A7F" w:rsidP="00177F6D">
            <w:pPr>
              <w:keepNext/>
              <w:keepLines/>
              <w:spacing w:after="0" w:line="240" w:lineRule="auto"/>
              <w:jc w:val="right"/>
              <w:rPr>
                <w:rFonts w:ascii="Arial" w:hAnsi="Arial" w:cs="Arial"/>
                <w:b/>
                <w:bCs/>
                <w:sz w:val="16"/>
                <w:szCs w:val="16"/>
              </w:rPr>
            </w:pPr>
            <w:r w:rsidRPr="00737A7F">
              <w:rPr>
                <w:rFonts w:ascii="Arial" w:hAnsi="Arial" w:cs="Arial"/>
                <w:b/>
                <w:bCs/>
                <w:sz w:val="16"/>
                <w:szCs w:val="16"/>
              </w:rPr>
              <w:t>8,725</w:t>
            </w:r>
          </w:p>
        </w:tc>
        <w:tc>
          <w:tcPr>
            <w:tcW w:w="718" w:type="pct"/>
            <w:tcBorders>
              <w:top w:val="nil"/>
              <w:left w:val="nil"/>
              <w:bottom w:val="nil"/>
              <w:right w:val="nil"/>
            </w:tcBorders>
            <w:shd w:val="clear" w:color="000000" w:fill="F2F2F2"/>
            <w:noWrap/>
            <w:vAlign w:val="bottom"/>
            <w:hideMark/>
          </w:tcPr>
          <w:p w14:paraId="3DB31228" w14:textId="77777777" w:rsidR="00737A7F" w:rsidRPr="00737A7F" w:rsidRDefault="00737A7F" w:rsidP="00177F6D">
            <w:pPr>
              <w:keepNext/>
              <w:keepLines/>
              <w:spacing w:after="0" w:line="240" w:lineRule="auto"/>
              <w:jc w:val="right"/>
              <w:rPr>
                <w:rFonts w:ascii="Arial" w:hAnsi="Arial" w:cs="Arial"/>
                <w:b/>
                <w:bCs/>
                <w:sz w:val="16"/>
                <w:szCs w:val="16"/>
              </w:rPr>
            </w:pPr>
            <w:r w:rsidRPr="00737A7F">
              <w:rPr>
                <w:rFonts w:ascii="Arial" w:hAnsi="Arial" w:cs="Arial"/>
                <w:b/>
                <w:bCs/>
                <w:sz w:val="16"/>
                <w:szCs w:val="16"/>
              </w:rPr>
              <w:t>8,224</w:t>
            </w:r>
          </w:p>
        </w:tc>
      </w:tr>
      <w:tr w:rsidR="00737A7F" w:rsidRPr="00737A7F" w14:paraId="5DE8B0ED" w14:textId="77777777" w:rsidTr="003A0934">
        <w:trPr>
          <w:trHeight w:val="227"/>
        </w:trPr>
        <w:tc>
          <w:tcPr>
            <w:tcW w:w="1928" w:type="pct"/>
            <w:tcBorders>
              <w:top w:val="nil"/>
              <w:left w:val="nil"/>
              <w:bottom w:val="nil"/>
              <w:right w:val="nil"/>
            </w:tcBorders>
            <w:shd w:val="clear" w:color="000000" w:fill="FFFFFF"/>
            <w:noWrap/>
            <w:vAlign w:val="center"/>
            <w:hideMark/>
          </w:tcPr>
          <w:p w14:paraId="4E62C527" w14:textId="77777777" w:rsidR="00737A7F" w:rsidRPr="00737A7F" w:rsidRDefault="00737A7F" w:rsidP="00177F6D">
            <w:pPr>
              <w:keepNext/>
              <w:keepLines/>
              <w:spacing w:after="0" w:line="240" w:lineRule="auto"/>
              <w:jc w:val="left"/>
              <w:rPr>
                <w:rFonts w:ascii="Arial" w:hAnsi="Arial" w:cs="Arial"/>
                <w:color w:val="auto"/>
                <w:sz w:val="16"/>
                <w:szCs w:val="16"/>
              </w:rPr>
            </w:pPr>
            <w:r w:rsidRPr="00737A7F">
              <w:rPr>
                <w:rFonts w:ascii="Arial" w:hAnsi="Arial" w:cs="Arial"/>
                <w:color w:val="auto"/>
                <w:sz w:val="16"/>
                <w:szCs w:val="16"/>
              </w:rPr>
              <w:t xml:space="preserve"> Withdrawn </w:t>
            </w:r>
          </w:p>
        </w:tc>
        <w:tc>
          <w:tcPr>
            <w:tcW w:w="818" w:type="pct"/>
            <w:tcBorders>
              <w:top w:val="nil"/>
              <w:left w:val="nil"/>
              <w:bottom w:val="nil"/>
              <w:right w:val="nil"/>
            </w:tcBorders>
            <w:shd w:val="clear" w:color="000000" w:fill="FFFFFF"/>
            <w:noWrap/>
            <w:vAlign w:val="center"/>
            <w:hideMark/>
          </w:tcPr>
          <w:p w14:paraId="3E3244F5"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770</w:t>
            </w:r>
          </w:p>
        </w:tc>
        <w:tc>
          <w:tcPr>
            <w:tcW w:w="818" w:type="pct"/>
            <w:tcBorders>
              <w:top w:val="nil"/>
              <w:left w:val="nil"/>
              <w:bottom w:val="nil"/>
              <w:right w:val="nil"/>
            </w:tcBorders>
            <w:shd w:val="clear" w:color="auto" w:fill="auto"/>
            <w:noWrap/>
            <w:vAlign w:val="bottom"/>
            <w:hideMark/>
          </w:tcPr>
          <w:p w14:paraId="298C320A"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644</w:t>
            </w:r>
          </w:p>
        </w:tc>
        <w:tc>
          <w:tcPr>
            <w:tcW w:w="718" w:type="pct"/>
            <w:tcBorders>
              <w:top w:val="nil"/>
              <w:left w:val="nil"/>
              <w:bottom w:val="nil"/>
              <w:right w:val="nil"/>
            </w:tcBorders>
            <w:shd w:val="clear" w:color="auto" w:fill="auto"/>
            <w:noWrap/>
            <w:vAlign w:val="bottom"/>
            <w:hideMark/>
          </w:tcPr>
          <w:p w14:paraId="0268649B"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670</w:t>
            </w:r>
          </w:p>
        </w:tc>
        <w:tc>
          <w:tcPr>
            <w:tcW w:w="718" w:type="pct"/>
            <w:tcBorders>
              <w:top w:val="nil"/>
              <w:left w:val="nil"/>
              <w:bottom w:val="nil"/>
              <w:right w:val="nil"/>
            </w:tcBorders>
            <w:shd w:val="clear" w:color="000000" w:fill="F2F2F2"/>
            <w:noWrap/>
            <w:vAlign w:val="bottom"/>
            <w:hideMark/>
          </w:tcPr>
          <w:p w14:paraId="79E83FE8"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715</w:t>
            </w:r>
          </w:p>
        </w:tc>
      </w:tr>
      <w:tr w:rsidR="00737A7F" w:rsidRPr="00737A7F" w14:paraId="1B9E2F5B" w14:textId="77777777" w:rsidTr="003A0934">
        <w:trPr>
          <w:trHeight w:val="227"/>
        </w:trPr>
        <w:tc>
          <w:tcPr>
            <w:tcW w:w="1928" w:type="pct"/>
            <w:tcBorders>
              <w:top w:val="nil"/>
              <w:left w:val="nil"/>
              <w:bottom w:val="nil"/>
              <w:right w:val="nil"/>
            </w:tcBorders>
            <w:shd w:val="clear" w:color="000000" w:fill="FFFFFF"/>
            <w:noWrap/>
            <w:vAlign w:val="center"/>
            <w:hideMark/>
          </w:tcPr>
          <w:p w14:paraId="42D8586D" w14:textId="77777777" w:rsidR="00737A7F" w:rsidRPr="00737A7F" w:rsidRDefault="00737A7F" w:rsidP="00177F6D">
            <w:pPr>
              <w:keepNext/>
              <w:keepLines/>
              <w:spacing w:after="0" w:line="240" w:lineRule="auto"/>
              <w:jc w:val="left"/>
              <w:rPr>
                <w:rFonts w:ascii="Arial" w:hAnsi="Arial" w:cs="Arial"/>
                <w:color w:val="auto"/>
                <w:sz w:val="16"/>
                <w:szCs w:val="16"/>
              </w:rPr>
            </w:pPr>
            <w:r w:rsidRPr="00737A7F">
              <w:rPr>
                <w:rFonts w:ascii="Arial" w:hAnsi="Arial" w:cs="Arial"/>
                <w:color w:val="auto"/>
                <w:sz w:val="16"/>
                <w:szCs w:val="16"/>
              </w:rPr>
              <w:t xml:space="preserve"> Exempt </w:t>
            </w:r>
          </w:p>
        </w:tc>
        <w:tc>
          <w:tcPr>
            <w:tcW w:w="818" w:type="pct"/>
            <w:tcBorders>
              <w:top w:val="nil"/>
              <w:left w:val="nil"/>
              <w:bottom w:val="single" w:sz="4" w:space="0" w:color="auto"/>
              <w:right w:val="nil"/>
            </w:tcBorders>
            <w:shd w:val="clear" w:color="000000" w:fill="FFFFFF"/>
            <w:noWrap/>
            <w:vAlign w:val="center"/>
            <w:hideMark/>
          </w:tcPr>
          <w:p w14:paraId="00C52FC2"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60</w:t>
            </w:r>
          </w:p>
        </w:tc>
        <w:tc>
          <w:tcPr>
            <w:tcW w:w="818" w:type="pct"/>
            <w:tcBorders>
              <w:top w:val="nil"/>
              <w:left w:val="nil"/>
              <w:bottom w:val="single" w:sz="4" w:space="0" w:color="auto"/>
              <w:right w:val="nil"/>
            </w:tcBorders>
            <w:shd w:val="clear" w:color="auto" w:fill="auto"/>
            <w:noWrap/>
            <w:vAlign w:val="bottom"/>
            <w:hideMark/>
          </w:tcPr>
          <w:p w14:paraId="27C5D702"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61</w:t>
            </w:r>
          </w:p>
        </w:tc>
        <w:tc>
          <w:tcPr>
            <w:tcW w:w="718" w:type="pct"/>
            <w:tcBorders>
              <w:top w:val="nil"/>
              <w:left w:val="nil"/>
              <w:bottom w:val="single" w:sz="4" w:space="0" w:color="auto"/>
              <w:right w:val="nil"/>
            </w:tcBorders>
            <w:shd w:val="clear" w:color="auto" w:fill="auto"/>
            <w:noWrap/>
            <w:vAlign w:val="bottom"/>
            <w:hideMark/>
          </w:tcPr>
          <w:p w14:paraId="6BD61DAC"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71</w:t>
            </w:r>
          </w:p>
        </w:tc>
        <w:tc>
          <w:tcPr>
            <w:tcW w:w="718" w:type="pct"/>
            <w:tcBorders>
              <w:top w:val="nil"/>
              <w:left w:val="nil"/>
              <w:bottom w:val="single" w:sz="4" w:space="0" w:color="auto"/>
              <w:right w:val="nil"/>
            </w:tcBorders>
            <w:shd w:val="clear" w:color="000000" w:fill="F2F2F2"/>
            <w:noWrap/>
            <w:vAlign w:val="bottom"/>
            <w:hideMark/>
          </w:tcPr>
          <w:p w14:paraId="103D52CD"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65</w:t>
            </w:r>
          </w:p>
        </w:tc>
      </w:tr>
      <w:tr w:rsidR="00737A7F" w:rsidRPr="00737A7F" w14:paraId="4638AF62" w14:textId="77777777" w:rsidTr="003A0934">
        <w:trPr>
          <w:trHeight w:val="227"/>
        </w:trPr>
        <w:tc>
          <w:tcPr>
            <w:tcW w:w="1928" w:type="pct"/>
            <w:tcBorders>
              <w:top w:val="nil"/>
              <w:left w:val="nil"/>
              <w:bottom w:val="nil"/>
              <w:right w:val="nil"/>
            </w:tcBorders>
            <w:shd w:val="clear" w:color="000000" w:fill="FFFFFF"/>
            <w:noWrap/>
            <w:vAlign w:val="center"/>
            <w:hideMark/>
          </w:tcPr>
          <w:p w14:paraId="1E8B8855" w14:textId="77777777" w:rsidR="00737A7F" w:rsidRPr="00737A7F" w:rsidRDefault="00737A7F" w:rsidP="00177F6D">
            <w:pPr>
              <w:keepNext/>
              <w:keepLines/>
              <w:spacing w:after="0" w:line="240" w:lineRule="auto"/>
              <w:jc w:val="left"/>
              <w:rPr>
                <w:rFonts w:ascii="Arial" w:hAnsi="Arial" w:cs="Arial"/>
                <w:color w:val="auto"/>
                <w:sz w:val="16"/>
                <w:szCs w:val="16"/>
              </w:rPr>
            </w:pPr>
            <w:r w:rsidRPr="00737A7F">
              <w:rPr>
                <w:rFonts w:ascii="Arial" w:hAnsi="Arial" w:cs="Arial"/>
                <w:color w:val="auto"/>
                <w:sz w:val="16"/>
                <w:szCs w:val="16"/>
              </w:rPr>
              <w:t> </w:t>
            </w:r>
          </w:p>
        </w:tc>
        <w:tc>
          <w:tcPr>
            <w:tcW w:w="818" w:type="pct"/>
            <w:tcBorders>
              <w:top w:val="nil"/>
              <w:left w:val="nil"/>
              <w:bottom w:val="nil"/>
              <w:right w:val="nil"/>
            </w:tcBorders>
            <w:shd w:val="clear" w:color="000000" w:fill="FFFFFF"/>
            <w:noWrap/>
            <w:vAlign w:val="center"/>
            <w:hideMark/>
          </w:tcPr>
          <w:p w14:paraId="69F9E949" w14:textId="77777777" w:rsidR="00737A7F" w:rsidRPr="00737A7F" w:rsidRDefault="00737A7F" w:rsidP="00177F6D">
            <w:pPr>
              <w:keepNext/>
              <w:keepLines/>
              <w:spacing w:after="0" w:line="240" w:lineRule="auto"/>
              <w:jc w:val="right"/>
              <w:rPr>
                <w:rFonts w:ascii="Arial" w:hAnsi="Arial" w:cs="Arial"/>
                <w:color w:val="auto"/>
                <w:sz w:val="16"/>
                <w:szCs w:val="16"/>
              </w:rPr>
            </w:pPr>
            <w:r w:rsidRPr="00737A7F">
              <w:rPr>
                <w:rFonts w:ascii="Arial" w:hAnsi="Arial" w:cs="Arial"/>
                <w:color w:val="auto"/>
                <w:sz w:val="16"/>
                <w:szCs w:val="16"/>
              </w:rPr>
              <w:t> </w:t>
            </w:r>
          </w:p>
        </w:tc>
        <w:tc>
          <w:tcPr>
            <w:tcW w:w="818" w:type="pct"/>
            <w:tcBorders>
              <w:top w:val="nil"/>
              <w:left w:val="nil"/>
              <w:bottom w:val="nil"/>
              <w:right w:val="nil"/>
            </w:tcBorders>
            <w:shd w:val="clear" w:color="auto" w:fill="auto"/>
            <w:noWrap/>
            <w:vAlign w:val="bottom"/>
            <w:hideMark/>
          </w:tcPr>
          <w:p w14:paraId="33778F81" w14:textId="77777777" w:rsidR="00737A7F" w:rsidRPr="00737A7F" w:rsidRDefault="00737A7F" w:rsidP="00177F6D">
            <w:pPr>
              <w:keepNext/>
              <w:keepLines/>
              <w:spacing w:after="0" w:line="240" w:lineRule="auto"/>
              <w:jc w:val="right"/>
              <w:rPr>
                <w:rFonts w:ascii="Arial" w:hAnsi="Arial" w:cs="Arial"/>
                <w:color w:val="auto"/>
                <w:sz w:val="16"/>
                <w:szCs w:val="16"/>
              </w:rPr>
            </w:pPr>
          </w:p>
        </w:tc>
        <w:tc>
          <w:tcPr>
            <w:tcW w:w="718" w:type="pct"/>
            <w:tcBorders>
              <w:top w:val="nil"/>
              <w:left w:val="nil"/>
              <w:bottom w:val="nil"/>
              <w:right w:val="nil"/>
            </w:tcBorders>
            <w:shd w:val="clear" w:color="auto" w:fill="auto"/>
            <w:noWrap/>
            <w:vAlign w:val="bottom"/>
            <w:hideMark/>
          </w:tcPr>
          <w:p w14:paraId="0CC9169E" w14:textId="77777777" w:rsidR="00737A7F" w:rsidRPr="00737A7F" w:rsidRDefault="00737A7F" w:rsidP="00177F6D">
            <w:pPr>
              <w:keepNext/>
              <w:keepLines/>
              <w:spacing w:after="0" w:line="240" w:lineRule="auto"/>
              <w:jc w:val="right"/>
              <w:rPr>
                <w:rFonts w:ascii="Times New Roman" w:hAnsi="Times New Roman"/>
                <w:color w:val="auto"/>
              </w:rPr>
            </w:pPr>
          </w:p>
        </w:tc>
        <w:tc>
          <w:tcPr>
            <w:tcW w:w="718" w:type="pct"/>
            <w:tcBorders>
              <w:top w:val="nil"/>
              <w:left w:val="nil"/>
              <w:bottom w:val="nil"/>
              <w:right w:val="nil"/>
            </w:tcBorders>
            <w:shd w:val="clear" w:color="000000" w:fill="F2F2F2"/>
            <w:noWrap/>
            <w:vAlign w:val="bottom"/>
            <w:hideMark/>
          </w:tcPr>
          <w:p w14:paraId="19755B35" w14:textId="77777777" w:rsidR="00737A7F" w:rsidRPr="00737A7F" w:rsidRDefault="00737A7F" w:rsidP="00177F6D">
            <w:pPr>
              <w:keepNext/>
              <w:keepLines/>
              <w:spacing w:after="0" w:line="240" w:lineRule="auto"/>
              <w:jc w:val="right"/>
              <w:rPr>
                <w:rFonts w:ascii="Arial" w:hAnsi="Arial" w:cs="Arial"/>
                <w:sz w:val="16"/>
                <w:szCs w:val="16"/>
              </w:rPr>
            </w:pPr>
            <w:r w:rsidRPr="00737A7F">
              <w:rPr>
                <w:rFonts w:ascii="Arial" w:hAnsi="Arial" w:cs="Arial"/>
                <w:sz w:val="16"/>
                <w:szCs w:val="16"/>
              </w:rPr>
              <w:t> </w:t>
            </w:r>
          </w:p>
        </w:tc>
      </w:tr>
      <w:tr w:rsidR="00737A7F" w:rsidRPr="00737A7F" w14:paraId="1AD7FC8D" w14:textId="77777777" w:rsidTr="003A0934">
        <w:trPr>
          <w:trHeight w:val="227"/>
        </w:trPr>
        <w:tc>
          <w:tcPr>
            <w:tcW w:w="1928" w:type="pct"/>
            <w:tcBorders>
              <w:top w:val="nil"/>
              <w:left w:val="nil"/>
              <w:bottom w:val="single" w:sz="4" w:space="0" w:color="auto"/>
              <w:right w:val="nil"/>
            </w:tcBorders>
            <w:shd w:val="clear" w:color="000000" w:fill="FFFFFF"/>
            <w:noWrap/>
            <w:vAlign w:val="center"/>
            <w:hideMark/>
          </w:tcPr>
          <w:p w14:paraId="07AD261C" w14:textId="77777777" w:rsidR="00737A7F" w:rsidRPr="00737A7F" w:rsidRDefault="00737A7F" w:rsidP="00177F6D">
            <w:pPr>
              <w:keepNext/>
              <w:keepLines/>
              <w:spacing w:after="0" w:line="240" w:lineRule="auto"/>
              <w:jc w:val="left"/>
              <w:rPr>
                <w:rFonts w:ascii="Arial" w:hAnsi="Arial" w:cs="Arial"/>
                <w:b/>
                <w:bCs/>
                <w:color w:val="auto"/>
                <w:sz w:val="16"/>
                <w:szCs w:val="16"/>
              </w:rPr>
            </w:pPr>
            <w:r w:rsidRPr="00737A7F">
              <w:rPr>
                <w:rFonts w:ascii="Arial" w:hAnsi="Arial" w:cs="Arial"/>
                <w:b/>
                <w:bCs/>
                <w:color w:val="auto"/>
                <w:sz w:val="16"/>
                <w:szCs w:val="16"/>
              </w:rPr>
              <w:t xml:space="preserve"> Total considered </w:t>
            </w:r>
          </w:p>
        </w:tc>
        <w:tc>
          <w:tcPr>
            <w:tcW w:w="818" w:type="pct"/>
            <w:tcBorders>
              <w:top w:val="nil"/>
              <w:left w:val="nil"/>
              <w:bottom w:val="single" w:sz="4" w:space="0" w:color="auto"/>
              <w:right w:val="nil"/>
            </w:tcBorders>
            <w:shd w:val="clear" w:color="000000" w:fill="FFFFFF"/>
            <w:noWrap/>
            <w:vAlign w:val="center"/>
            <w:hideMark/>
          </w:tcPr>
          <w:p w14:paraId="189BBC0B" w14:textId="77777777" w:rsidR="00737A7F" w:rsidRPr="00737A7F" w:rsidRDefault="00737A7F" w:rsidP="00177F6D">
            <w:pPr>
              <w:keepNext/>
              <w:keepLines/>
              <w:spacing w:after="0" w:line="240" w:lineRule="auto"/>
              <w:jc w:val="right"/>
              <w:rPr>
                <w:rFonts w:ascii="Arial" w:hAnsi="Arial" w:cs="Arial"/>
                <w:b/>
                <w:bCs/>
                <w:color w:val="auto"/>
                <w:sz w:val="16"/>
                <w:szCs w:val="16"/>
              </w:rPr>
            </w:pPr>
            <w:r w:rsidRPr="00737A7F">
              <w:rPr>
                <w:rFonts w:ascii="Arial" w:hAnsi="Arial" w:cs="Arial"/>
                <w:b/>
                <w:bCs/>
                <w:color w:val="auto"/>
                <w:sz w:val="16"/>
                <w:szCs w:val="16"/>
              </w:rPr>
              <w:t>15,190</w:t>
            </w:r>
          </w:p>
        </w:tc>
        <w:tc>
          <w:tcPr>
            <w:tcW w:w="818" w:type="pct"/>
            <w:tcBorders>
              <w:top w:val="nil"/>
              <w:left w:val="nil"/>
              <w:bottom w:val="single" w:sz="4" w:space="0" w:color="auto"/>
              <w:right w:val="nil"/>
            </w:tcBorders>
            <w:shd w:val="clear" w:color="auto" w:fill="auto"/>
            <w:noWrap/>
            <w:vAlign w:val="bottom"/>
            <w:hideMark/>
          </w:tcPr>
          <w:p w14:paraId="2989AA7E" w14:textId="77777777" w:rsidR="00737A7F" w:rsidRPr="00737A7F" w:rsidRDefault="00737A7F" w:rsidP="00177F6D">
            <w:pPr>
              <w:keepNext/>
              <w:keepLines/>
              <w:spacing w:after="0" w:line="240" w:lineRule="auto"/>
              <w:jc w:val="right"/>
              <w:rPr>
                <w:rFonts w:ascii="Arial" w:hAnsi="Arial" w:cs="Arial"/>
                <w:b/>
                <w:bCs/>
                <w:sz w:val="16"/>
                <w:szCs w:val="16"/>
              </w:rPr>
            </w:pPr>
            <w:r w:rsidRPr="00737A7F">
              <w:rPr>
                <w:rFonts w:ascii="Arial" w:hAnsi="Arial" w:cs="Arial"/>
                <w:b/>
                <w:bCs/>
                <w:sz w:val="16"/>
                <w:szCs w:val="16"/>
              </w:rPr>
              <w:t>11,855</w:t>
            </w:r>
          </w:p>
        </w:tc>
        <w:tc>
          <w:tcPr>
            <w:tcW w:w="718" w:type="pct"/>
            <w:tcBorders>
              <w:top w:val="nil"/>
              <w:left w:val="nil"/>
              <w:bottom w:val="single" w:sz="4" w:space="0" w:color="auto"/>
              <w:right w:val="nil"/>
            </w:tcBorders>
            <w:shd w:val="clear" w:color="auto" w:fill="auto"/>
            <w:noWrap/>
            <w:vAlign w:val="bottom"/>
            <w:hideMark/>
          </w:tcPr>
          <w:p w14:paraId="215E7BF7" w14:textId="77777777" w:rsidR="00737A7F" w:rsidRPr="00737A7F" w:rsidRDefault="00737A7F" w:rsidP="00177F6D">
            <w:pPr>
              <w:keepNext/>
              <w:keepLines/>
              <w:spacing w:after="0" w:line="240" w:lineRule="auto"/>
              <w:jc w:val="right"/>
              <w:rPr>
                <w:rFonts w:ascii="Arial" w:hAnsi="Arial" w:cs="Arial"/>
                <w:b/>
                <w:bCs/>
                <w:sz w:val="16"/>
                <w:szCs w:val="16"/>
              </w:rPr>
            </w:pPr>
            <w:r w:rsidRPr="00737A7F">
              <w:rPr>
                <w:rFonts w:ascii="Arial" w:hAnsi="Arial" w:cs="Arial"/>
                <w:b/>
                <w:bCs/>
                <w:sz w:val="16"/>
                <w:szCs w:val="16"/>
              </w:rPr>
              <w:t>9,466</w:t>
            </w:r>
          </w:p>
        </w:tc>
        <w:tc>
          <w:tcPr>
            <w:tcW w:w="718" w:type="pct"/>
            <w:tcBorders>
              <w:top w:val="nil"/>
              <w:left w:val="nil"/>
              <w:bottom w:val="single" w:sz="4" w:space="0" w:color="auto"/>
              <w:right w:val="nil"/>
            </w:tcBorders>
            <w:shd w:val="clear" w:color="000000" w:fill="F2F2F2"/>
            <w:noWrap/>
            <w:vAlign w:val="bottom"/>
            <w:hideMark/>
          </w:tcPr>
          <w:p w14:paraId="40C6848D" w14:textId="77777777" w:rsidR="00737A7F" w:rsidRPr="00737A7F" w:rsidRDefault="00737A7F" w:rsidP="00177F6D">
            <w:pPr>
              <w:keepNext/>
              <w:keepLines/>
              <w:spacing w:after="0" w:line="240" w:lineRule="auto"/>
              <w:jc w:val="right"/>
              <w:rPr>
                <w:rFonts w:ascii="Arial" w:hAnsi="Arial" w:cs="Arial"/>
                <w:b/>
                <w:bCs/>
                <w:sz w:val="16"/>
                <w:szCs w:val="16"/>
              </w:rPr>
            </w:pPr>
            <w:r w:rsidRPr="00737A7F">
              <w:rPr>
                <w:rFonts w:ascii="Arial" w:hAnsi="Arial" w:cs="Arial"/>
                <w:b/>
                <w:bCs/>
                <w:sz w:val="16"/>
                <w:szCs w:val="16"/>
              </w:rPr>
              <w:t>9,004</w:t>
            </w:r>
          </w:p>
        </w:tc>
      </w:tr>
    </w:tbl>
    <w:p w14:paraId="6B007334" w14:textId="77777777" w:rsidR="00777CCB" w:rsidRPr="00BF48CD" w:rsidRDefault="00777CCB" w:rsidP="00777CCB">
      <w:pPr>
        <w:pStyle w:val="ChartorTableNote"/>
      </w:pPr>
      <w:r w:rsidRPr="00BF48CD">
        <w:t xml:space="preserve">Before republishing this data or comparing between years, thoroughly review the methodological and data caveats in Appendix B. </w:t>
      </w:r>
    </w:p>
    <w:p w14:paraId="0B5084C2" w14:textId="77777777" w:rsidR="00777CCB" w:rsidRDefault="00777CCB" w:rsidP="00777CCB">
      <w:pPr>
        <w:pStyle w:val="ChartorTableNote"/>
      </w:pPr>
      <w:r w:rsidRPr="00BF48CD">
        <w:t>Data on declined applications is not separately available for years before 2017</w:t>
      </w:r>
      <w:r w:rsidR="00F26A86">
        <w:t>–</w:t>
      </w:r>
      <w:r w:rsidRPr="00BF48CD">
        <w:t xml:space="preserve">18. </w:t>
      </w:r>
    </w:p>
    <w:p w14:paraId="2B01CB7D" w14:textId="77777777" w:rsidR="00177F6D" w:rsidRPr="00177F6D" w:rsidRDefault="00177F6D" w:rsidP="00377D63">
      <w:pPr>
        <w:pStyle w:val="SingleParagraph"/>
      </w:pPr>
    </w:p>
    <w:p w14:paraId="7EE8390C" w14:textId="5B80CAB1" w:rsidR="00CB7264" w:rsidRPr="00820C89" w:rsidRDefault="00CB7264" w:rsidP="00177F6D">
      <w:pPr>
        <w:pStyle w:val="TableMainHeading"/>
        <w:keepLines/>
      </w:pPr>
      <w:bookmarkStart w:id="83" w:name="_Toc63798270"/>
      <w:bookmarkStart w:id="84" w:name="_Toc73984729"/>
      <w:r>
        <w:t>Table 3.2</w:t>
      </w:r>
      <w:r w:rsidRPr="00820C89">
        <w:t xml:space="preserve">: Applications considered </w:t>
      </w:r>
      <w:r>
        <w:t>in</w:t>
      </w:r>
      <w:r w:rsidR="00B50C8A">
        <w:t xml:space="preserve"> 2019</w:t>
      </w:r>
      <w:r w:rsidR="007E5EF1" w:rsidRPr="00820C89">
        <w:t>–</w:t>
      </w:r>
      <w:r w:rsidR="00B50C8A">
        <w:t xml:space="preserve">20, by </w:t>
      </w:r>
      <w:r w:rsidR="00B84757">
        <w:t>z</w:t>
      </w:r>
      <w:r w:rsidR="006A1396">
        <w:t>ero dollar threshold</w:t>
      </w:r>
      <w:r w:rsidR="00B50C8A">
        <w:t xml:space="preserve"> and </w:t>
      </w:r>
      <w:r w:rsidR="00B84757">
        <w:t>n</w:t>
      </w:r>
      <w:r w:rsidR="00B50C8A">
        <w:t>on</w:t>
      </w:r>
      <w:r w:rsidR="00BD4D19">
        <w:noBreakHyphen/>
      </w:r>
      <w:r w:rsidR="006A1396">
        <w:t>zero dollar threshold</w:t>
      </w:r>
      <w:r w:rsidR="00B50C8A">
        <w:t xml:space="preserve"> </w:t>
      </w:r>
      <w:r w:rsidR="00DE0ED5">
        <w:t xml:space="preserve">proposals </w:t>
      </w:r>
      <w:r w:rsidRPr="00820C89">
        <w:t>(number of applications)</w:t>
      </w:r>
      <w:bookmarkEnd w:id="83"/>
      <w:bookmarkEnd w:id="84"/>
    </w:p>
    <w:tbl>
      <w:tblPr>
        <w:tblW w:w="5000" w:type="pct"/>
        <w:tblLook w:val="04A0" w:firstRow="1" w:lastRow="0" w:firstColumn="1" w:lastColumn="0" w:noHBand="0" w:noVBand="1"/>
      </w:tblPr>
      <w:tblGrid>
        <w:gridCol w:w="3925"/>
        <w:gridCol w:w="1728"/>
        <w:gridCol w:w="2057"/>
      </w:tblGrid>
      <w:tr w:rsidR="00CB7264" w:rsidRPr="00CB7264" w14:paraId="661BDDE4" w14:textId="77777777" w:rsidTr="00177F6D">
        <w:trPr>
          <w:trHeight w:val="227"/>
        </w:trPr>
        <w:tc>
          <w:tcPr>
            <w:tcW w:w="3133" w:type="pct"/>
            <w:tcBorders>
              <w:top w:val="single" w:sz="4" w:space="0" w:color="auto"/>
              <w:left w:val="nil"/>
              <w:bottom w:val="nil"/>
              <w:right w:val="nil"/>
            </w:tcBorders>
            <w:shd w:val="clear" w:color="000000" w:fill="FFFFFF"/>
            <w:noWrap/>
            <w:vAlign w:val="center"/>
            <w:hideMark/>
          </w:tcPr>
          <w:p w14:paraId="2DE17BDE" w14:textId="77777777" w:rsidR="00CB7264" w:rsidRPr="00CB7264" w:rsidRDefault="00CB7264" w:rsidP="00177F6D">
            <w:pPr>
              <w:keepNext/>
              <w:keepLines/>
              <w:spacing w:after="0" w:line="240" w:lineRule="auto"/>
              <w:jc w:val="left"/>
              <w:rPr>
                <w:rFonts w:ascii="Arial" w:hAnsi="Arial" w:cs="Arial"/>
                <w:color w:val="auto"/>
                <w:sz w:val="16"/>
                <w:szCs w:val="16"/>
              </w:rPr>
            </w:pPr>
            <w:r w:rsidRPr="00CB7264">
              <w:rPr>
                <w:rFonts w:ascii="Arial" w:hAnsi="Arial" w:cs="Arial"/>
                <w:color w:val="auto"/>
                <w:sz w:val="16"/>
                <w:szCs w:val="16"/>
              </w:rPr>
              <w:t> </w:t>
            </w:r>
          </w:p>
        </w:tc>
        <w:tc>
          <w:tcPr>
            <w:tcW w:w="716" w:type="pct"/>
            <w:tcBorders>
              <w:top w:val="single" w:sz="4" w:space="0" w:color="auto"/>
              <w:left w:val="nil"/>
              <w:bottom w:val="nil"/>
              <w:right w:val="nil"/>
            </w:tcBorders>
            <w:shd w:val="clear" w:color="000000" w:fill="FFFFFF"/>
            <w:noWrap/>
            <w:vAlign w:val="center"/>
            <w:hideMark/>
          </w:tcPr>
          <w:p w14:paraId="3E59CCE3" w14:textId="77777777" w:rsidR="00CB7264" w:rsidRPr="00CB7264" w:rsidRDefault="00CB7264" w:rsidP="00BC22E4">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 xml:space="preserve"> Z</w:t>
            </w:r>
            <w:r w:rsidR="00BC22E4">
              <w:rPr>
                <w:rFonts w:ascii="Arial" w:hAnsi="Arial" w:cs="Arial"/>
                <w:color w:val="auto"/>
                <w:sz w:val="16"/>
                <w:szCs w:val="16"/>
              </w:rPr>
              <w:t>ero dollar threshold</w:t>
            </w:r>
          </w:p>
        </w:tc>
        <w:tc>
          <w:tcPr>
            <w:tcW w:w="1151" w:type="pct"/>
            <w:tcBorders>
              <w:top w:val="single" w:sz="4" w:space="0" w:color="auto"/>
              <w:left w:val="nil"/>
              <w:bottom w:val="nil"/>
              <w:right w:val="nil"/>
            </w:tcBorders>
            <w:shd w:val="clear" w:color="000000" w:fill="FFFFFF"/>
            <w:noWrap/>
            <w:vAlign w:val="center"/>
            <w:hideMark/>
          </w:tcPr>
          <w:p w14:paraId="1616071F" w14:textId="7943CC64" w:rsidR="00CB7264" w:rsidRPr="00CB7264" w:rsidRDefault="00CB7264" w:rsidP="00BC22E4">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 xml:space="preserve"> Non</w:t>
            </w:r>
            <w:r w:rsidR="00BD4D19">
              <w:rPr>
                <w:rFonts w:ascii="Arial" w:hAnsi="Arial" w:cs="Arial"/>
                <w:color w:val="auto"/>
                <w:sz w:val="16"/>
                <w:szCs w:val="16"/>
              </w:rPr>
              <w:noBreakHyphen/>
            </w:r>
            <w:r w:rsidR="00BC22E4">
              <w:rPr>
                <w:rFonts w:ascii="Arial" w:hAnsi="Arial" w:cs="Arial"/>
                <w:color w:val="auto"/>
                <w:sz w:val="16"/>
                <w:szCs w:val="16"/>
              </w:rPr>
              <w:t>zero dollar threshold</w:t>
            </w:r>
          </w:p>
        </w:tc>
      </w:tr>
      <w:tr w:rsidR="00CB7264" w:rsidRPr="00CB7264" w14:paraId="3ED8A838" w14:textId="77777777" w:rsidTr="00177F6D">
        <w:trPr>
          <w:trHeight w:val="227"/>
        </w:trPr>
        <w:tc>
          <w:tcPr>
            <w:tcW w:w="3133" w:type="pct"/>
            <w:tcBorders>
              <w:top w:val="nil"/>
              <w:left w:val="nil"/>
              <w:bottom w:val="single" w:sz="4" w:space="0" w:color="000000"/>
              <w:right w:val="nil"/>
            </w:tcBorders>
            <w:shd w:val="clear" w:color="000000" w:fill="FFFFFF"/>
            <w:noWrap/>
            <w:vAlign w:val="bottom"/>
            <w:hideMark/>
          </w:tcPr>
          <w:p w14:paraId="561C656B" w14:textId="77777777" w:rsidR="00CB7264" w:rsidRPr="00CB7264" w:rsidRDefault="00CB7264" w:rsidP="00177F6D">
            <w:pPr>
              <w:keepNext/>
              <w:keepLines/>
              <w:spacing w:after="0" w:line="240" w:lineRule="auto"/>
              <w:jc w:val="left"/>
              <w:rPr>
                <w:rFonts w:ascii="Arial" w:hAnsi="Arial" w:cs="Arial"/>
                <w:color w:val="auto"/>
                <w:sz w:val="16"/>
                <w:szCs w:val="16"/>
              </w:rPr>
            </w:pPr>
            <w:r w:rsidRPr="00CB7264">
              <w:rPr>
                <w:rFonts w:ascii="Arial" w:hAnsi="Arial" w:cs="Arial"/>
                <w:color w:val="auto"/>
                <w:sz w:val="16"/>
                <w:szCs w:val="16"/>
              </w:rPr>
              <w:t xml:space="preserve"> Outcome </w:t>
            </w:r>
          </w:p>
        </w:tc>
        <w:tc>
          <w:tcPr>
            <w:tcW w:w="716" w:type="pct"/>
            <w:tcBorders>
              <w:top w:val="nil"/>
              <w:left w:val="nil"/>
              <w:bottom w:val="single" w:sz="4" w:space="0" w:color="000000"/>
              <w:right w:val="nil"/>
            </w:tcBorders>
            <w:shd w:val="clear" w:color="000000" w:fill="FFFFFF"/>
            <w:noWrap/>
            <w:vAlign w:val="bottom"/>
            <w:hideMark/>
          </w:tcPr>
          <w:p w14:paraId="1A6BA1CD"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 xml:space="preserve"> No.</w:t>
            </w:r>
          </w:p>
        </w:tc>
        <w:tc>
          <w:tcPr>
            <w:tcW w:w="1151" w:type="pct"/>
            <w:tcBorders>
              <w:top w:val="nil"/>
              <w:left w:val="nil"/>
              <w:bottom w:val="single" w:sz="4" w:space="0" w:color="000000"/>
              <w:right w:val="nil"/>
            </w:tcBorders>
            <w:shd w:val="clear" w:color="000000" w:fill="FFFFFF"/>
            <w:noWrap/>
            <w:vAlign w:val="bottom"/>
            <w:hideMark/>
          </w:tcPr>
          <w:p w14:paraId="2E2AE67A"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 xml:space="preserve"> No. </w:t>
            </w:r>
          </w:p>
        </w:tc>
      </w:tr>
      <w:tr w:rsidR="00CB7264" w:rsidRPr="00CB7264" w14:paraId="5123720E" w14:textId="77777777" w:rsidTr="00177F6D">
        <w:trPr>
          <w:trHeight w:val="227"/>
        </w:trPr>
        <w:tc>
          <w:tcPr>
            <w:tcW w:w="3133" w:type="pct"/>
            <w:tcBorders>
              <w:top w:val="nil"/>
              <w:left w:val="nil"/>
              <w:bottom w:val="nil"/>
              <w:right w:val="nil"/>
            </w:tcBorders>
            <w:shd w:val="clear" w:color="000000" w:fill="FFFFFF"/>
            <w:noWrap/>
            <w:vAlign w:val="bottom"/>
            <w:hideMark/>
          </w:tcPr>
          <w:p w14:paraId="18BA3447" w14:textId="77777777" w:rsidR="00CB7264" w:rsidRPr="00CB7264" w:rsidRDefault="00CB7264" w:rsidP="00177F6D">
            <w:pPr>
              <w:keepNext/>
              <w:keepLines/>
              <w:spacing w:after="0" w:line="240" w:lineRule="auto"/>
              <w:jc w:val="left"/>
              <w:rPr>
                <w:rFonts w:ascii="Arial" w:hAnsi="Arial" w:cs="Arial"/>
                <w:color w:val="auto"/>
                <w:sz w:val="16"/>
                <w:szCs w:val="16"/>
              </w:rPr>
            </w:pPr>
            <w:r w:rsidRPr="00CB7264">
              <w:rPr>
                <w:rFonts w:ascii="Arial" w:hAnsi="Arial" w:cs="Arial"/>
                <w:color w:val="auto"/>
                <w:sz w:val="16"/>
                <w:szCs w:val="16"/>
              </w:rPr>
              <w:t> </w:t>
            </w:r>
          </w:p>
        </w:tc>
        <w:tc>
          <w:tcPr>
            <w:tcW w:w="716" w:type="pct"/>
            <w:tcBorders>
              <w:top w:val="nil"/>
              <w:left w:val="nil"/>
              <w:bottom w:val="nil"/>
              <w:right w:val="nil"/>
            </w:tcBorders>
            <w:shd w:val="clear" w:color="000000" w:fill="FFFFFF"/>
            <w:noWrap/>
            <w:vAlign w:val="bottom"/>
            <w:hideMark/>
          </w:tcPr>
          <w:p w14:paraId="3A7449A8"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 </w:t>
            </w:r>
          </w:p>
        </w:tc>
        <w:tc>
          <w:tcPr>
            <w:tcW w:w="1151" w:type="pct"/>
            <w:tcBorders>
              <w:top w:val="nil"/>
              <w:left w:val="nil"/>
              <w:bottom w:val="nil"/>
              <w:right w:val="nil"/>
            </w:tcBorders>
            <w:shd w:val="clear" w:color="000000" w:fill="FFFFFF"/>
            <w:noWrap/>
            <w:vAlign w:val="bottom"/>
            <w:hideMark/>
          </w:tcPr>
          <w:p w14:paraId="1A3A7EE9"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 </w:t>
            </w:r>
          </w:p>
        </w:tc>
      </w:tr>
      <w:tr w:rsidR="00CB7264" w:rsidRPr="00CB7264" w14:paraId="67BDFFA3" w14:textId="77777777" w:rsidTr="00177F6D">
        <w:trPr>
          <w:trHeight w:val="227"/>
        </w:trPr>
        <w:tc>
          <w:tcPr>
            <w:tcW w:w="3133" w:type="pct"/>
            <w:tcBorders>
              <w:top w:val="nil"/>
              <w:left w:val="nil"/>
              <w:bottom w:val="nil"/>
              <w:right w:val="nil"/>
            </w:tcBorders>
            <w:shd w:val="clear" w:color="000000" w:fill="FFFFFF"/>
            <w:noWrap/>
            <w:vAlign w:val="center"/>
            <w:hideMark/>
          </w:tcPr>
          <w:p w14:paraId="57DB72E1" w14:textId="77777777" w:rsidR="00CB7264" w:rsidRPr="00CB7264" w:rsidRDefault="00CB7264" w:rsidP="001069C5">
            <w:pPr>
              <w:keepNext/>
              <w:keepLines/>
              <w:spacing w:after="0" w:line="240" w:lineRule="auto"/>
              <w:jc w:val="left"/>
              <w:rPr>
                <w:rFonts w:ascii="Arial" w:hAnsi="Arial" w:cs="Arial"/>
                <w:color w:val="auto"/>
                <w:sz w:val="16"/>
                <w:szCs w:val="16"/>
              </w:rPr>
            </w:pPr>
            <w:r w:rsidRPr="00CB7264">
              <w:rPr>
                <w:rFonts w:ascii="Arial" w:hAnsi="Arial" w:cs="Arial"/>
                <w:color w:val="auto"/>
                <w:sz w:val="16"/>
                <w:szCs w:val="16"/>
              </w:rPr>
              <w:t xml:space="preserve"> Approved without conditions</w:t>
            </w:r>
          </w:p>
        </w:tc>
        <w:tc>
          <w:tcPr>
            <w:tcW w:w="716" w:type="pct"/>
            <w:tcBorders>
              <w:top w:val="nil"/>
              <w:left w:val="nil"/>
              <w:bottom w:val="nil"/>
              <w:right w:val="nil"/>
            </w:tcBorders>
            <w:shd w:val="clear" w:color="000000" w:fill="FFFFFF"/>
            <w:noWrap/>
            <w:vAlign w:val="center"/>
            <w:hideMark/>
          </w:tcPr>
          <w:p w14:paraId="18D2FBE1" w14:textId="77777777" w:rsidR="00CB7264" w:rsidRPr="00CB7264" w:rsidRDefault="00123754" w:rsidP="00177F6D">
            <w:pPr>
              <w:keepNext/>
              <w:keepLines/>
              <w:spacing w:after="0" w:line="240" w:lineRule="auto"/>
              <w:jc w:val="right"/>
              <w:rPr>
                <w:rFonts w:ascii="Arial" w:hAnsi="Arial" w:cs="Arial"/>
                <w:color w:val="auto"/>
                <w:sz w:val="16"/>
                <w:szCs w:val="16"/>
              </w:rPr>
            </w:pPr>
            <w:r>
              <w:rPr>
                <w:rFonts w:ascii="Arial" w:hAnsi="Arial" w:cs="Arial"/>
                <w:color w:val="auto"/>
                <w:sz w:val="16"/>
                <w:szCs w:val="16"/>
              </w:rPr>
              <w:t>116</w:t>
            </w:r>
          </w:p>
        </w:tc>
        <w:tc>
          <w:tcPr>
            <w:tcW w:w="1151" w:type="pct"/>
            <w:tcBorders>
              <w:top w:val="nil"/>
              <w:left w:val="nil"/>
              <w:bottom w:val="nil"/>
              <w:right w:val="nil"/>
            </w:tcBorders>
            <w:shd w:val="clear" w:color="000000" w:fill="FFFFFF"/>
            <w:noWrap/>
            <w:vAlign w:val="center"/>
            <w:hideMark/>
          </w:tcPr>
          <w:p w14:paraId="7115ADEB" w14:textId="77777777" w:rsidR="00CB7264" w:rsidRPr="00CB7264" w:rsidRDefault="00123754" w:rsidP="00177F6D">
            <w:pPr>
              <w:keepNext/>
              <w:keepLines/>
              <w:spacing w:after="0" w:line="240" w:lineRule="auto"/>
              <w:jc w:val="right"/>
              <w:rPr>
                <w:rFonts w:ascii="Arial" w:hAnsi="Arial" w:cs="Arial"/>
                <w:color w:val="auto"/>
                <w:sz w:val="16"/>
                <w:szCs w:val="16"/>
              </w:rPr>
            </w:pPr>
            <w:r>
              <w:rPr>
                <w:rFonts w:ascii="Arial" w:hAnsi="Arial" w:cs="Arial"/>
                <w:color w:val="auto"/>
                <w:sz w:val="16"/>
                <w:szCs w:val="16"/>
              </w:rPr>
              <w:t>4,392</w:t>
            </w:r>
          </w:p>
        </w:tc>
      </w:tr>
      <w:tr w:rsidR="00CB7264" w:rsidRPr="00CB7264" w14:paraId="18592A99" w14:textId="77777777" w:rsidTr="00177F6D">
        <w:trPr>
          <w:trHeight w:val="227"/>
        </w:trPr>
        <w:tc>
          <w:tcPr>
            <w:tcW w:w="3133" w:type="pct"/>
            <w:tcBorders>
              <w:top w:val="nil"/>
              <w:left w:val="nil"/>
              <w:bottom w:val="nil"/>
              <w:right w:val="nil"/>
            </w:tcBorders>
            <w:shd w:val="clear" w:color="000000" w:fill="FFFFFF"/>
            <w:noWrap/>
            <w:vAlign w:val="center"/>
            <w:hideMark/>
          </w:tcPr>
          <w:p w14:paraId="7F050660" w14:textId="77777777" w:rsidR="00CB7264" w:rsidRPr="00CB7264" w:rsidRDefault="00CB7264" w:rsidP="001069C5">
            <w:pPr>
              <w:keepNext/>
              <w:keepLines/>
              <w:spacing w:after="0" w:line="240" w:lineRule="auto"/>
              <w:jc w:val="left"/>
              <w:rPr>
                <w:rFonts w:ascii="Arial" w:hAnsi="Arial" w:cs="Arial"/>
                <w:color w:val="auto"/>
                <w:sz w:val="16"/>
                <w:szCs w:val="16"/>
              </w:rPr>
            </w:pPr>
            <w:r w:rsidRPr="00CB7264">
              <w:rPr>
                <w:rFonts w:ascii="Arial" w:hAnsi="Arial" w:cs="Arial"/>
                <w:color w:val="auto"/>
                <w:sz w:val="16"/>
                <w:szCs w:val="16"/>
              </w:rPr>
              <w:t xml:space="preserve"> Approved with conditions</w:t>
            </w:r>
          </w:p>
        </w:tc>
        <w:tc>
          <w:tcPr>
            <w:tcW w:w="716" w:type="pct"/>
            <w:tcBorders>
              <w:top w:val="nil"/>
              <w:left w:val="nil"/>
              <w:bottom w:val="single" w:sz="4" w:space="0" w:color="auto"/>
              <w:right w:val="nil"/>
            </w:tcBorders>
            <w:shd w:val="clear" w:color="000000" w:fill="FFFFFF"/>
            <w:noWrap/>
            <w:vAlign w:val="center"/>
            <w:hideMark/>
          </w:tcPr>
          <w:p w14:paraId="7ED27BDE"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21</w:t>
            </w:r>
          </w:p>
        </w:tc>
        <w:tc>
          <w:tcPr>
            <w:tcW w:w="1151" w:type="pct"/>
            <w:tcBorders>
              <w:top w:val="nil"/>
              <w:left w:val="nil"/>
              <w:bottom w:val="single" w:sz="4" w:space="0" w:color="auto"/>
              <w:right w:val="nil"/>
            </w:tcBorders>
            <w:shd w:val="clear" w:color="000000" w:fill="FFFFFF"/>
            <w:noWrap/>
            <w:vAlign w:val="center"/>
            <w:hideMark/>
          </w:tcPr>
          <w:p w14:paraId="6BE70289"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3,692</w:t>
            </w:r>
          </w:p>
        </w:tc>
      </w:tr>
      <w:tr w:rsidR="00CB7264" w:rsidRPr="00CB7264" w14:paraId="6DA42F0E" w14:textId="77777777" w:rsidTr="00177F6D">
        <w:trPr>
          <w:trHeight w:val="227"/>
        </w:trPr>
        <w:tc>
          <w:tcPr>
            <w:tcW w:w="3133" w:type="pct"/>
            <w:tcBorders>
              <w:top w:val="nil"/>
              <w:left w:val="nil"/>
              <w:bottom w:val="nil"/>
              <w:right w:val="nil"/>
            </w:tcBorders>
            <w:shd w:val="clear" w:color="000000" w:fill="FFFFFF"/>
            <w:noWrap/>
            <w:vAlign w:val="center"/>
            <w:hideMark/>
          </w:tcPr>
          <w:p w14:paraId="2FC3E78E" w14:textId="77777777" w:rsidR="00CB7264" w:rsidRPr="00CB7264" w:rsidRDefault="00CB7264" w:rsidP="00177F6D">
            <w:pPr>
              <w:keepNext/>
              <w:keepLines/>
              <w:spacing w:after="0" w:line="240" w:lineRule="auto"/>
              <w:jc w:val="left"/>
              <w:rPr>
                <w:rFonts w:ascii="Arial" w:hAnsi="Arial" w:cs="Arial"/>
                <w:b/>
                <w:bCs/>
                <w:color w:val="auto"/>
                <w:sz w:val="16"/>
                <w:szCs w:val="16"/>
              </w:rPr>
            </w:pPr>
            <w:r w:rsidRPr="00CB7264">
              <w:rPr>
                <w:rFonts w:ascii="Arial" w:hAnsi="Arial" w:cs="Arial"/>
                <w:b/>
                <w:bCs/>
                <w:color w:val="auto"/>
                <w:sz w:val="16"/>
                <w:szCs w:val="16"/>
              </w:rPr>
              <w:t xml:space="preserve">   Total approved </w:t>
            </w:r>
          </w:p>
        </w:tc>
        <w:tc>
          <w:tcPr>
            <w:tcW w:w="716" w:type="pct"/>
            <w:tcBorders>
              <w:top w:val="nil"/>
              <w:left w:val="nil"/>
              <w:bottom w:val="nil"/>
              <w:right w:val="nil"/>
            </w:tcBorders>
            <w:shd w:val="clear" w:color="000000" w:fill="FFFFFF"/>
            <w:noWrap/>
            <w:vAlign w:val="center"/>
            <w:hideMark/>
          </w:tcPr>
          <w:p w14:paraId="0997005D" w14:textId="77777777" w:rsidR="00CB7264" w:rsidRPr="00CB7264" w:rsidRDefault="00123754" w:rsidP="00177F6D">
            <w:pPr>
              <w:keepNext/>
              <w:keepLines/>
              <w:spacing w:after="0" w:line="240" w:lineRule="auto"/>
              <w:jc w:val="right"/>
              <w:rPr>
                <w:rFonts w:ascii="Arial" w:hAnsi="Arial" w:cs="Arial"/>
                <w:b/>
                <w:bCs/>
                <w:color w:val="auto"/>
                <w:sz w:val="16"/>
                <w:szCs w:val="16"/>
              </w:rPr>
            </w:pPr>
            <w:r>
              <w:rPr>
                <w:rFonts w:ascii="Arial" w:hAnsi="Arial" w:cs="Arial"/>
                <w:b/>
                <w:bCs/>
                <w:color w:val="auto"/>
                <w:sz w:val="16"/>
                <w:szCs w:val="16"/>
              </w:rPr>
              <w:t>137</w:t>
            </w:r>
          </w:p>
        </w:tc>
        <w:tc>
          <w:tcPr>
            <w:tcW w:w="1151" w:type="pct"/>
            <w:tcBorders>
              <w:top w:val="nil"/>
              <w:left w:val="nil"/>
              <w:bottom w:val="nil"/>
              <w:right w:val="nil"/>
            </w:tcBorders>
            <w:shd w:val="clear" w:color="000000" w:fill="FFFFFF"/>
            <w:noWrap/>
            <w:vAlign w:val="center"/>
            <w:hideMark/>
          </w:tcPr>
          <w:p w14:paraId="00F5B818" w14:textId="77777777" w:rsidR="00CB7264" w:rsidRPr="00CB7264" w:rsidRDefault="00123754" w:rsidP="00177F6D">
            <w:pPr>
              <w:keepNext/>
              <w:keepLines/>
              <w:spacing w:after="0" w:line="240" w:lineRule="auto"/>
              <w:jc w:val="right"/>
              <w:rPr>
                <w:rFonts w:ascii="Arial" w:hAnsi="Arial" w:cs="Arial"/>
                <w:b/>
                <w:bCs/>
                <w:color w:val="auto"/>
                <w:sz w:val="16"/>
                <w:szCs w:val="16"/>
              </w:rPr>
            </w:pPr>
            <w:r>
              <w:rPr>
                <w:rFonts w:ascii="Arial" w:hAnsi="Arial" w:cs="Arial"/>
                <w:b/>
                <w:bCs/>
                <w:color w:val="auto"/>
                <w:sz w:val="16"/>
                <w:szCs w:val="16"/>
              </w:rPr>
              <w:t>8,084</w:t>
            </w:r>
          </w:p>
        </w:tc>
      </w:tr>
      <w:tr w:rsidR="00CB7264" w:rsidRPr="00CB7264" w14:paraId="02E21314" w14:textId="77777777" w:rsidTr="00177F6D">
        <w:trPr>
          <w:trHeight w:val="227"/>
        </w:trPr>
        <w:tc>
          <w:tcPr>
            <w:tcW w:w="3133" w:type="pct"/>
            <w:tcBorders>
              <w:top w:val="nil"/>
              <w:left w:val="nil"/>
              <w:bottom w:val="nil"/>
              <w:right w:val="nil"/>
            </w:tcBorders>
            <w:shd w:val="clear" w:color="000000" w:fill="FFFFFF"/>
            <w:noWrap/>
            <w:vAlign w:val="center"/>
            <w:hideMark/>
          </w:tcPr>
          <w:p w14:paraId="4EAE3116" w14:textId="77777777" w:rsidR="00CB7264" w:rsidRPr="00CB7264" w:rsidRDefault="00CB7264" w:rsidP="00177F6D">
            <w:pPr>
              <w:keepNext/>
              <w:keepLines/>
              <w:spacing w:after="0" w:line="240" w:lineRule="auto"/>
              <w:jc w:val="left"/>
              <w:rPr>
                <w:rFonts w:ascii="Arial" w:hAnsi="Arial" w:cs="Arial"/>
                <w:color w:val="auto"/>
                <w:sz w:val="16"/>
                <w:szCs w:val="16"/>
              </w:rPr>
            </w:pPr>
            <w:r w:rsidRPr="00CB7264">
              <w:rPr>
                <w:rFonts w:ascii="Arial" w:hAnsi="Arial" w:cs="Arial"/>
                <w:color w:val="auto"/>
                <w:sz w:val="16"/>
                <w:szCs w:val="16"/>
              </w:rPr>
              <w:t xml:space="preserve"> Rejected </w:t>
            </w:r>
          </w:p>
        </w:tc>
        <w:tc>
          <w:tcPr>
            <w:tcW w:w="716" w:type="pct"/>
            <w:tcBorders>
              <w:top w:val="nil"/>
              <w:left w:val="nil"/>
              <w:bottom w:val="nil"/>
              <w:right w:val="nil"/>
            </w:tcBorders>
            <w:shd w:val="clear" w:color="000000" w:fill="FFFFFF"/>
            <w:noWrap/>
            <w:vAlign w:val="center"/>
            <w:hideMark/>
          </w:tcPr>
          <w:p w14:paraId="0B9DE7E5"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0</w:t>
            </w:r>
          </w:p>
        </w:tc>
        <w:tc>
          <w:tcPr>
            <w:tcW w:w="1151" w:type="pct"/>
            <w:tcBorders>
              <w:top w:val="nil"/>
              <w:left w:val="nil"/>
              <w:bottom w:val="nil"/>
              <w:right w:val="nil"/>
            </w:tcBorders>
            <w:shd w:val="clear" w:color="000000" w:fill="FFFFFF"/>
            <w:noWrap/>
            <w:vAlign w:val="center"/>
            <w:hideMark/>
          </w:tcPr>
          <w:p w14:paraId="43D5F9EF"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3</w:t>
            </w:r>
          </w:p>
        </w:tc>
      </w:tr>
      <w:tr w:rsidR="00CB7264" w:rsidRPr="00CB7264" w14:paraId="59D2B0CB" w14:textId="77777777" w:rsidTr="00177F6D">
        <w:trPr>
          <w:trHeight w:val="227"/>
        </w:trPr>
        <w:tc>
          <w:tcPr>
            <w:tcW w:w="3133" w:type="pct"/>
            <w:tcBorders>
              <w:top w:val="nil"/>
              <w:left w:val="nil"/>
              <w:bottom w:val="nil"/>
              <w:right w:val="nil"/>
            </w:tcBorders>
            <w:shd w:val="clear" w:color="auto" w:fill="auto"/>
            <w:noWrap/>
            <w:vAlign w:val="center"/>
            <w:hideMark/>
          </w:tcPr>
          <w:p w14:paraId="3602A428" w14:textId="77777777" w:rsidR="00CB7264" w:rsidRPr="00CB7264" w:rsidRDefault="00CB7264" w:rsidP="00177F6D">
            <w:pPr>
              <w:keepNext/>
              <w:keepLines/>
              <w:spacing w:after="0" w:line="240" w:lineRule="auto"/>
              <w:jc w:val="left"/>
              <w:rPr>
                <w:rFonts w:ascii="Arial" w:hAnsi="Arial" w:cs="Arial"/>
                <w:color w:val="auto"/>
                <w:sz w:val="16"/>
                <w:szCs w:val="16"/>
              </w:rPr>
            </w:pPr>
            <w:r w:rsidRPr="00CB7264">
              <w:rPr>
                <w:rFonts w:ascii="Arial" w:hAnsi="Arial" w:cs="Arial"/>
                <w:color w:val="auto"/>
                <w:sz w:val="16"/>
                <w:szCs w:val="16"/>
              </w:rPr>
              <w:t xml:space="preserve"> Declined </w:t>
            </w:r>
          </w:p>
        </w:tc>
        <w:tc>
          <w:tcPr>
            <w:tcW w:w="716" w:type="pct"/>
            <w:tcBorders>
              <w:top w:val="nil"/>
              <w:left w:val="nil"/>
              <w:bottom w:val="nil"/>
              <w:right w:val="nil"/>
            </w:tcBorders>
            <w:shd w:val="clear" w:color="000000" w:fill="FFFFFF"/>
            <w:noWrap/>
            <w:vAlign w:val="center"/>
            <w:hideMark/>
          </w:tcPr>
          <w:p w14:paraId="1E606DB9"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0</w:t>
            </w:r>
          </w:p>
        </w:tc>
        <w:tc>
          <w:tcPr>
            <w:tcW w:w="1151" w:type="pct"/>
            <w:tcBorders>
              <w:top w:val="nil"/>
              <w:left w:val="nil"/>
              <w:bottom w:val="nil"/>
              <w:right w:val="nil"/>
            </w:tcBorders>
            <w:shd w:val="clear" w:color="000000" w:fill="FFFFFF"/>
            <w:noWrap/>
            <w:vAlign w:val="center"/>
            <w:hideMark/>
          </w:tcPr>
          <w:p w14:paraId="745E1EDB"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0</w:t>
            </w:r>
          </w:p>
        </w:tc>
      </w:tr>
      <w:tr w:rsidR="00CB7264" w:rsidRPr="00CB7264" w14:paraId="7D5643FC" w14:textId="77777777" w:rsidTr="00177F6D">
        <w:trPr>
          <w:trHeight w:val="227"/>
        </w:trPr>
        <w:tc>
          <w:tcPr>
            <w:tcW w:w="3133" w:type="pct"/>
            <w:tcBorders>
              <w:top w:val="nil"/>
              <w:left w:val="nil"/>
              <w:bottom w:val="nil"/>
              <w:right w:val="nil"/>
            </w:tcBorders>
            <w:shd w:val="clear" w:color="000000" w:fill="FFFFFF"/>
            <w:noWrap/>
            <w:vAlign w:val="center"/>
            <w:hideMark/>
          </w:tcPr>
          <w:p w14:paraId="02D531B1" w14:textId="77777777" w:rsidR="00CB7264" w:rsidRPr="00CB7264" w:rsidRDefault="00CB7264" w:rsidP="00177F6D">
            <w:pPr>
              <w:keepNext/>
              <w:keepLines/>
              <w:spacing w:after="0" w:line="240" w:lineRule="auto"/>
              <w:jc w:val="left"/>
              <w:rPr>
                <w:rFonts w:ascii="Arial" w:hAnsi="Arial" w:cs="Arial"/>
                <w:b/>
                <w:bCs/>
                <w:color w:val="auto"/>
                <w:sz w:val="16"/>
                <w:szCs w:val="16"/>
              </w:rPr>
            </w:pPr>
            <w:r w:rsidRPr="00CB7264">
              <w:rPr>
                <w:rFonts w:ascii="Arial" w:hAnsi="Arial" w:cs="Arial"/>
                <w:b/>
                <w:bCs/>
                <w:color w:val="auto"/>
                <w:sz w:val="16"/>
                <w:szCs w:val="16"/>
              </w:rPr>
              <w:t xml:space="preserve">   Total decided </w:t>
            </w:r>
          </w:p>
        </w:tc>
        <w:tc>
          <w:tcPr>
            <w:tcW w:w="716" w:type="pct"/>
            <w:tcBorders>
              <w:top w:val="single" w:sz="4" w:space="0" w:color="auto"/>
              <w:left w:val="nil"/>
              <w:bottom w:val="nil"/>
              <w:right w:val="nil"/>
            </w:tcBorders>
            <w:shd w:val="clear" w:color="000000" w:fill="FFFFFF"/>
            <w:noWrap/>
            <w:vAlign w:val="center"/>
            <w:hideMark/>
          </w:tcPr>
          <w:p w14:paraId="47E013E4" w14:textId="77777777" w:rsidR="00CB7264" w:rsidRPr="00CB7264" w:rsidRDefault="00123754" w:rsidP="00177F6D">
            <w:pPr>
              <w:keepNext/>
              <w:keepLines/>
              <w:spacing w:after="0" w:line="240" w:lineRule="auto"/>
              <w:jc w:val="right"/>
              <w:rPr>
                <w:rFonts w:ascii="Arial" w:hAnsi="Arial" w:cs="Arial"/>
                <w:b/>
                <w:bCs/>
                <w:color w:val="auto"/>
                <w:sz w:val="16"/>
                <w:szCs w:val="16"/>
              </w:rPr>
            </w:pPr>
            <w:r>
              <w:rPr>
                <w:rFonts w:ascii="Arial" w:hAnsi="Arial" w:cs="Arial"/>
                <w:b/>
                <w:bCs/>
                <w:color w:val="auto"/>
                <w:sz w:val="16"/>
                <w:szCs w:val="16"/>
              </w:rPr>
              <w:t>137</w:t>
            </w:r>
          </w:p>
        </w:tc>
        <w:tc>
          <w:tcPr>
            <w:tcW w:w="1151" w:type="pct"/>
            <w:tcBorders>
              <w:top w:val="single" w:sz="4" w:space="0" w:color="auto"/>
              <w:left w:val="nil"/>
              <w:bottom w:val="nil"/>
              <w:right w:val="nil"/>
            </w:tcBorders>
            <w:shd w:val="clear" w:color="000000" w:fill="FFFFFF"/>
            <w:noWrap/>
            <w:vAlign w:val="center"/>
            <w:hideMark/>
          </w:tcPr>
          <w:p w14:paraId="7A67DB55" w14:textId="77777777" w:rsidR="00CB7264" w:rsidRPr="00CB7264" w:rsidRDefault="00123754" w:rsidP="00177F6D">
            <w:pPr>
              <w:keepNext/>
              <w:keepLines/>
              <w:spacing w:after="0" w:line="240" w:lineRule="auto"/>
              <w:jc w:val="right"/>
              <w:rPr>
                <w:rFonts w:ascii="Arial" w:hAnsi="Arial" w:cs="Arial"/>
                <w:b/>
                <w:bCs/>
                <w:color w:val="auto"/>
                <w:sz w:val="16"/>
                <w:szCs w:val="16"/>
              </w:rPr>
            </w:pPr>
            <w:r>
              <w:rPr>
                <w:rFonts w:ascii="Arial" w:hAnsi="Arial" w:cs="Arial"/>
                <w:b/>
                <w:bCs/>
                <w:color w:val="auto"/>
                <w:sz w:val="16"/>
                <w:szCs w:val="16"/>
              </w:rPr>
              <w:t>8,087</w:t>
            </w:r>
          </w:p>
        </w:tc>
      </w:tr>
      <w:tr w:rsidR="00CB7264" w:rsidRPr="00CB7264" w14:paraId="573F9CF4" w14:textId="77777777" w:rsidTr="00177F6D">
        <w:trPr>
          <w:trHeight w:val="227"/>
        </w:trPr>
        <w:tc>
          <w:tcPr>
            <w:tcW w:w="3133" w:type="pct"/>
            <w:tcBorders>
              <w:top w:val="nil"/>
              <w:left w:val="nil"/>
              <w:bottom w:val="nil"/>
              <w:right w:val="nil"/>
            </w:tcBorders>
            <w:shd w:val="clear" w:color="000000" w:fill="FFFFFF"/>
            <w:noWrap/>
            <w:vAlign w:val="center"/>
            <w:hideMark/>
          </w:tcPr>
          <w:p w14:paraId="717B2157" w14:textId="77777777" w:rsidR="00CB7264" w:rsidRPr="00CB7264" w:rsidRDefault="00CB7264" w:rsidP="00177F6D">
            <w:pPr>
              <w:keepNext/>
              <w:keepLines/>
              <w:spacing w:after="0" w:line="240" w:lineRule="auto"/>
              <w:jc w:val="left"/>
              <w:rPr>
                <w:rFonts w:ascii="Arial" w:hAnsi="Arial" w:cs="Arial"/>
                <w:color w:val="auto"/>
                <w:sz w:val="16"/>
                <w:szCs w:val="16"/>
              </w:rPr>
            </w:pPr>
            <w:r w:rsidRPr="00CB7264">
              <w:rPr>
                <w:rFonts w:ascii="Arial" w:hAnsi="Arial" w:cs="Arial"/>
                <w:color w:val="auto"/>
                <w:sz w:val="16"/>
                <w:szCs w:val="16"/>
              </w:rPr>
              <w:t xml:space="preserve"> Withdrawn </w:t>
            </w:r>
          </w:p>
        </w:tc>
        <w:tc>
          <w:tcPr>
            <w:tcW w:w="716" w:type="pct"/>
            <w:tcBorders>
              <w:top w:val="nil"/>
              <w:left w:val="nil"/>
              <w:bottom w:val="nil"/>
              <w:right w:val="nil"/>
            </w:tcBorders>
            <w:shd w:val="clear" w:color="000000" w:fill="FFFFFF"/>
            <w:noWrap/>
            <w:vAlign w:val="center"/>
            <w:hideMark/>
          </w:tcPr>
          <w:p w14:paraId="1BBAFE1E"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9</w:t>
            </w:r>
          </w:p>
        </w:tc>
        <w:tc>
          <w:tcPr>
            <w:tcW w:w="1151" w:type="pct"/>
            <w:tcBorders>
              <w:top w:val="nil"/>
              <w:left w:val="nil"/>
              <w:bottom w:val="nil"/>
              <w:right w:val="nil"/>
            </w:tcBorders>
            <w:shd w:val="clear" w:color="000000" w:fill="FFFFFF"/>
            <w:noWrap/>
            <w:vAlign w:val="center"/>
            <w:hideMark/>
          </w:tcPr>
          <w:p w14:paraId="6FB393F2"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706</w:t>
            </w:r>
          </w:p>
        </w:tc>
      </w:tr>
      <w:tr w:rsidR="00CB7264" w:rsidRPr="00CB7264" w14:paraId="5DC1B3DB" w14:textId="77777777" w:rsidTr="00177F6D">
        <w:trPr>
          <w:trHeight w:val="227"/>
        </w:trPr>
        <w:tc>
          <w:tcPr>
            <w:tcW w:w="3133" w:type="pct"/>
            <w:tcBorders>
              <w:top w:val="nil"/>
              <w:left w:val="nil"/>
              <w:bottom w:val="nil"/>
              <w:right w:val="nil"/>
            </w:tcBorders>
            <w:shd w:val="clear" w:color="000000" w:fill="FFFFFF"/>
            <w:noWrap/>
            <w:vAlign w:val="center"/>
            <w:hideMark/>
          </w:tcPr>
          <w:p w14:paraId="3E75282A" w14:textId="77777777" w:rsidR="00CB7264" w:rsidRPr="00CB7264" w:rsidRDefault="00CB7264" w:rsidP="00177F6D">
            <w:pPr>
              <w:keepNext/>
              <w:keepLines/>
              <w:spacing w:after="0" w:line="240" w:lineRule="auto"/>
              <w:jc w:val="left"/>
              <w:rPr>
                <w:rFonts w:ascii="Arial" w:hAnsi="Arial" w:cs="Arial"/>
                <w:color w:val="auto"/>
                <w:sz w:val="16"/>
                <w:szCs w:val="16"/>
              </w:rPr>
            </w:pPr>
            <w:r w:rsidRPr="00CB7264">
              <w:rPr>
                <w:rFonts w:ascii="Arial" w:hAnsi="Arial" w:cs="Arial"/>
                <w:color w:val="auto"/>
                <w:sz w:val="16"/>
                <w:szCs w:val="16"/>
              </w:rPr>
              <w:t xml:space="preserve"> Exempt </w:t>
            </w:r>
          </w:p>
        </w:tc>
        <w:tc>
          <w:tcPr>
            <w:tcW w:w="716" w:type="pct"/>
            <w:tcBorders>
              <w:top w:val="nil"/>
              <w:left w:val="nil"/>
              <w:bottom w:val="single" w:sz="4" w:space="0" w:color="auto"/>
              <w:right w:val="nil"/>
            </w:tcBorders>
            <w:shd w:val="clear" w:color="000000" w:fill="FFFFFF"/>
            <w:noWrap/>
            <w:vAlign w:val="center"/>
            <w:hideMark/>
          </w:tcPr>
          <w:p w14:paraId="2F929FD6"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4</w:t>
            </w:r>
          </w:p>
        </w:tc>
        <w:tc>
          <w:tcPr>
            <w:tcW w:w="1151" w:type="pct"/>
            <w:tcBorders>
              <w:top w:val="nil"/>
              <w:left w:val="nil"/>
              <w:bottom w:val="single" w:sz="4" w:space="0" w:color="auto"/>
              <w:right w:val="nil"/>
            </w:tcBorders>
            <w:shd w:val="clear" w:color="000000" w:fill="FFFFFF"/>
            <w:noWrap/>
            <w:vAlign w:val="center"/>
            <w:hideMark/>
          </w:tcPr>
          <w:p w14:paraId="270AA0A5"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61</w:t>
            </w:r>
          </w:p>
        </w:tc>
      </w:tr>
      <w:tr w:rsidR="00CB7264" w:rsidRPr="00CB7264" w14:paraId="3E74242A" w14:textId="77777777" w:rsidTr="00177F6D">
        <w:trPr>
          <w:trHeight w:val="227"/>
        </w:trPr>
        <w:tc>
          <w:tcPr>
            <w:tcW w:w="3133" w:type="pct"/>
            <w:tcBorders>
              <w:top w:val="nil"/>
              <w:left w:val="nil"/>
              <w:bottom w:val="nil"/>
              <w:right w:val="nil"/>
            </w:tcBorders>
            <w:shd w:val="clear" w:color="000000" w:fill="FFFFFF"/>
            <w:noWrap/>
            <w:vAlign w:val="center"/>
            <w:hideMark/>
          </w:tcPr>
          <w:p w14:paraId="6B1DB132" w14:textId="77777777" w:rsidR="00CB7264" w:rsidRPr="00CB7264" w:rsidRDefault="00CB7264" w:rsidP="00177F6D">
            <w:pPr>
              <w:keepNext/>
              <w:keepLines/>
              <w:spacing w:after="0" w:line="240" w:lineRule="auto"/>
              <w:jc w:val="left"/>
              <w:rPr>
                <w:rFonts w:ascii="Arial" w:hAnsi="Arial" w:cs="Arial"/>
                <w:color w:val="auto"/>
                <w:sz w:val="16"/>
                <w:szCs w:val="16"/>
              </w:rPr>
            </w:pPr>
            <w:r w:rsidRPr="00CB7264">
              <w:rPr>
                <w:rFonts w:ascii="Arial" w:hAnsi="Arial" w:cs="Arial"/>
                <w:color w:val="auto"/>
                <w:sz w:val="16"/>
                <w:szCs w:val="16"/>
              </w:rPr>
              <w:t> </w:t>
            </w:r>
          </w:p>
        </w:tc>
        <w:tc>
          <w:tcPr>
            <w:tcW w:w="716" w:type="pct"/>
            <w:tcBorders>
              <w:top w:val="nil"/>
              <w:left w:val="nil"/>
              <w:bottom w:val="nil"/>
              <w:right w:val="nil"/>
            </w:tcBorders>
            <w:shd w:val="clear" w:color="000000" w:fill="FFFFFF"/>
            <w:noWrap/>
            <w:vAlign w:val="center"/>
            <w:hideMark/>
          </w:tcPr>
          <w:p w14:paraId="6D23C6CB"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 </w:t>
            </w:r>
          </w:p>
        </w:tc>
        <w:tc>
          <w:tcPr>
            <w:tcW w:w="1151" w:type="pct"/>
            <w:tcBorders>
              <w:top w:val="nil"/>
              <w:left w:val="nil"/>
              <w:bottom w:val="nil"/>
              <w:right w:val="nil"/>
            </w:tcBorders>
            <w:shd w:val="clear" w:color="000000" w:fill="FFFFFF"/>
            <w:noWrap/>
            <w:vAlign w:val="center"/>
            <w:hideMark/>
          </w:tcPr>
          <w:p w14:paraId="108E4EDD" w14:textId="77777777" w:rsidR="00CB7264" w:rsidRPr="00CB7264" w:rsidRDefault="00CB7264" w:rsidP="00177F6D">
            <w:pPr>
              <w:keepNext/>
              <w:keepLines/>
              <w:spacing w:after="0" w:line="240" w:lineRule="auto"/>
              <w:jc w:val="right"/>
              <w:rPr>
                <w:rFonts w:ascii="Arial" w:hAnsi="Arial" w:cs="Arial"/>
                <w:color w:val="auto"/>
                <w:sz w:val="16"/>
                <w:szCs w:val="16"/>
              </w:rPr>
            </w:pPr>
            <w:r w:rsidRPr="00CB7264">
              <w:rPr>
                <w:rFonts w:ascii="Arial" w:hAnsi="Arial" w:cs="Arial"/>
                <w:color w:val="auto"/>
                <w:sz w:val="16"/>
                <w:szCs w:val="16"/>
              </w:rPr>
              <w:t> </w:t>
            </w:r>
          </w:p>
        </w:tc>
      </w:tr>
      <w:tr w:rsidR="00CB7264" w:rsidRPr="00CB7264" w14:paraId="3CDFD830" w14:textId="77777777" w:rsidTr="00177F6D">
        <w:trPr>
          <w:trHeight w:val="227"/>
        </w:trPr>
        <w:tc>
          <w:tcPr>
            <w:tcW w:w="3133" w:type="pct"/>
            <w:tcBorders>
              <w:top w:val="nil"/>
              <w:left w:val="nil"/>
              <w:bottom w:val="single" w:sz="4" w:space="0" w:color="auto"/>
              <w:right w:val="nil"/>
            </w:tcBorders>
            <w:shd w:val="clear" w:color="000000" w:fill="FFFFFF"/>
            <w:noWrap/>
            <w:vAlign w:val="center"/>
            <w:hideMark/>
          </w:tcPr>
          <w:p w14:paraId="089C3BB9" w14:textId="77777777" w:rsidR="00CB7264" w:rsidRPr="00CB7264" w:rsidRDefault="00CB7264" w:rsidP="00177F6D">
            <w:pPr>
              <w:keepNext/>
              <w:keepLines/>
              <w:spacing w:after="0" w:line="240" w:lineRule="auto"/>
              <w:jc w:val="left"/>
              <w:rPr>
                <w:rFonts w:ascii="Arial" w:hAnsi="Arial" w:cs="Arial"/>
                <w:b/>
                <w:bCs/>
                <w:color w:val="auto"/>
                <w:sz w:val="16"/>
                <w:szCs w:val="16"/>
              </w:rPr>
            </w:pPr>
            <w:r w:rsidRPr="00CB7264">
              <w:rPr>
                <w:rFonts w:ascii="Arial" w:hAnsi="Arial" w:cs="Arial"/>
                <w:b/>
                <w:bCs/>
                <w:color w:val="auto"/>
                <w:sz w:val="16"/>
                <w:szCs w:val="16"/>
              </w:rPr>
              <w:t xml:space="preserve"> Total considered </w:t>
            </w:r>
          </w:p>
        </w:tc>
        <w:tc>
          <w:tcPr>
            <w:tcW w:w="716" w:type="pct"/>
            <w:tcBorders>
              <w:top w:val="nil"/>
              <w:left w:val="nil"/>
              <w:bottom w:val="single" w:sz="4" w:space="0" w:color="auto"/>
              <w:right w:val="nil"/>
            </w:tcBorders>
            <w:shd w:val="clear" w:color="000000" w:fill="FFFFFF"/>
            <w:noWrap/>
            <w:vAlign w:val="center"/>
            <w:hideMark/>
          </w:tcPr>
          <w:p w14:paraId="6CABE13A" w14:textId="77777777" w:rsidR="00CB7264" w:rsidRPr="00CB7264" w:rsidRDefault="00123754" w:rsidP="00177F6D">
            <w:pPr>
              <w:keepNext/>
              <w:keepLines/>
              <w:spacing w:after="0" w:line="240" w:lineRule="auto"/>
              <w:jc w:val="right"/>
              <w:rPr>
                <w:rFonts w:ascii="Arial" w:hAnsi="Arial" w:cs="Arial"/>
                <w:b/>
                <w:bCs/>
                <w:color w:val="auto"/>
                <w:sz w:val="16"/>
                <w:szCs w:val="16"/>
              </w:rPr>
            </w:pPr>
            <w:r>
              <w:rPr>
                <w:rFonts w:ascii="Arial" w:hAnsi="Arial" w:cs="Arial"/>
                <w:b/>
                <w:bCs/>
                <w:color w:val="auto"/>
                <w:sz w:val="16"/>
                <w:szCs w:val="16"/>
              </w:rPr>
              <w:t>150</w:t>
            </w:r>
          </w:p>
        </w:tc>
        <w:tc>
          <w:tcPr>
            <w:tcW w:w="1151" w:type="pct"/>
            <w:tcBorders>
              <w:top w:val="nil"/>
              <w:left w:val="nil"/>
              <w:bottom w:val="single" w:sz="4" w:space="0" w:color="auto"/>
              <w:right w:val="nil"/>
            </w:tcBorders>
            <w:shd w:val="clear" w:color="000000" w:fill="FFFFFF"/>
            <w:noWrap/>
            <w:vAlign w:val="center"/>
            <w:hideMark/>
          </w:tcPr>
          <w:p w14:paraId="18EC50AE" w14:textId="77777777" w:rsidR="00CB7264" w:rsidRPr="00CB7264" w:rsidRDefault="00123754" w:rsidP="00177F6D">
            <w:pPr>
              <w:keepNext/>
              <w:keepLines/>
              <w:spacing w:after="0" w:line="240" w:lineRule="auto"/>
              <w:jc w:val="right"/>
              <w:rPr>
                <w:rFonts w:ascii="Arial" w:hAnsi="Arial" w:cs="Arial"/>
                <w:b/>
                <w:bCs/>
                <w:color w:val="auto"/>
                <w:sz w:val="16"/>
                <w:szCs w:val="16"/>
              </w:rPr>
            </w:pPr>
            <w:r>
              <w:rPr>
                <w:rFonts w:ascii="Arial" w:hAnsi="Arial" w:cs="Arial"/>
                <w:b/>
                <w:bCs/>
                <w:color w:val="auto"/>
                <w:sz w:val="16"/>
                <w:szCs w:val="16"/>
              </w:rPr>
              <w:t>8,854</w:t>
            </w:r>
          </w:p>
        </w:tc>
      </w:tr>
    </w:tbl>
    <w:p w14:paraId="72756D05" w14:textId="77777777" w:rsidR="00A359D3" w:rsidRDefault="00A359D3" w:rsidP="00A359D3">
      <w:pPr>
        <w:pStyle w:val="ChartorTableNote"/>
      </w:pPr>
      <w:r w:rsidRPr="00BF48CD">
        <w:t xml:space="preserve">Before republishing this data or comparing between years, thoroughly review the methodological and data caveats in Appendix B. </w:t>
      </w:r>
    </w:p>
    <w:p w14:paraId="1DE452E1" w14:textId="77777777" w:rsidR="00177F6D" w:rsidRPr="00177F6D" w:rsidRDefault="00177F6D" w:rsidP="00377D63">
      <w:pPr>
        <w:pStyle w:val="SingleParagraph"/>
      </w:pPr>
    </w:p>
    <w:p w14:paraId="5B4C312B" w14:textId="77777777" w:rsidR="00777CCB" w:rsidRDefault="00A1397C" w:rsidP="00177F6D">
      <w:pPr>
        <w:pStyle w:val="TableMainHeading"/>
        <w:keepLines/>
      </w:pPr>
      <w:bookmarkStart w:id="85" w:name="_Toc63798271"/>
      <w:bookmarkStart w:id="86" w:name="_Toc73984730"/>
      <w:r w:rsidRPr="00A1397C">
        <w:t>Table 3.</w:t>
      </w:r>
      <w:r w:rsidR="00A359D3">
        <w:t>3</w:t>
      </w:r>
      <w:r w:rsidRPr="00A1397C">
        <w:t>: Applications decided 201</w:t>
      </w:r>
      <w:r>
        <w:t>6</w:t>
      </w:r>
      <w:r w:rsidR="007E5EF1" w:rsidRPr="00820C89">
        <w:t>–</w:t>
      </w:r>
      <w:r w:rsidRPr="00A1397C">
        <w:t>1</w:t>
      </w:r>
      <w:r>
        <w:t>7</w:t>
      </w:r>
      <w:r w:rsidRPr="00A1397C">
        <w:t xml:space="preserve"> to 201</w:t>
      </w:r>
      <w:r>
        <w:t>9</w:t>
      </w:r>
      <w:r w:rsidR="007E5EF1" w:rsidRPr="00820C89">
        <w:t>–</w:t>
      </w:r>
      <w:r>
        <w:t>20</w:t>
      </w:r>
      <w:r w:rsidRPr="00A1397C">
        <w:t xml:space="preserve"> (value of proposed investment)</w:t>
      </w:r>
      <w:bookmarkEnd w:id="85"/>
      <w:bookmarkEnd w:id="86"/>
    </w:p>
    <w:tbl>
      <w:tblPr>
        <w:tblW w:w="5000" w:type="pct"/>
        <w:tblLook w:val="04A0" w:firstRow="1" w:lastRow="0" w:firstColumn="1" w:lastColumn="0" w:noHBand="0" w:noVBand="1"/>
      </w:tblPr>
      <w:tblGrid>
        <w:gridCol w:w="3297"/>
        <w:gridCol w:w="1059"/>
        <w:gridCol w:w="1118"/>
        <w:gridCol w:w="1118"/>
        <w:gridCol w:w="1118"/>
      </w:tblGrid>
      <w:tr w:rsidR="00772076" w:rsidRPr="00772076" w14:paraId="04B36248" w14:textId="77777777" w:rsidTr="00D54A82">
        <w:trPr>
          <w:trHeight w:val="225"/>
        </w:trPr>
        <w:tc>
          <w:tcPr>
            <w:tcW w:w="2138" w:type="pct"/>
            <w:tcBorders>
              <w:top w:val="single" w:sz="4" w:space="0" w:color="auto"/>
              <w:left w:val="nil"/>
              <w:bottom w:val="nil"/>
              <w:right w:val="nil"/>
            </w:tcBorders>
            <w:shd w:val="clear" w:color="000000" w:fill="FFFFFF"/>
            <w:noWrap/>
            <w:hideMark/>
          </w:tcPr>
          <w:p w14:paraId="150717A4" w14:textId="77777777" w:rsidR="00772076" w:rsidRPr="00772076" w:rsidRDefault="00772076" w:rsidP="00772076">
            <w:pPr>
              <w:keepNext/>
              <w:keepLines/>
              <w:spacing w:after="0" w:line="240" w:lineRule="auto"/>
              <w:jc w:val="left"/>
              <w:rPr>
                <w:rFonts w:ascii="Arial" w:hAnsi="Arial" w:cs="Arial"/>
                <w:color w:val="auto"/>
                <w:sz w:val="16"/>
                <w:szCs w:val="16"/>
              </w:rPr>
            </w:pPr>
            <w:r w:rsidRPr="00772076">
              <w:rPr>
                <w:rFonts w:ascii="Arial" w:hAnsi="Arial" w:cs="Arial"/>
                <w:color w:val="auto"/>
                <w:sz w:val="16"/>
                <w:szCs w:val="16"/>
              </w:rPr>
              <w:t> </w:t>
            </w:r>
          </w:p>
        </w:tc>
        <w:tc>
          <w:tcPr>
            <w:tcW w:w="687" w:type="pct"/>
            <w:tcBorders>
              <w:top w:val="single" w:sz="4" w:space="0" w:color="auto"/>
              <w:left w:val="nil"/>
              <w:bottom w:val="nil"/>
              <w:right w:val="nil"/>
            </w:tcBorders>
            <w:shd w:val="clear" w:color="000000" w:fill="FFFFFF"/>
            <w:noWrap/>
            <w:vAlign w:val="center"/>
            <w:hideMark/>
          </w:tcPr>
          <w:p w14:paraId="4C2299F6" w14:textId="77777777" w:rsidR="00772076" w:rsidRPr="00772076" w:rsidRDefault="00772076" w:rsidP="00772076">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2016</w:t>
            </w:r>
            <w:r w:rsidR="00F26A86">
              <w:rPr>
                <w:rFonts w:ascii="Arial" w:hAnsi="Arial" w:cs="Arial"/>
                <w:color w:val="auto"/>
                <w:sz w:val="16"/>
                <w:szCs w:val="16"/>
              </w:rPr>
              <w:t>–</w:t>
            </w:r>
            <w:r w:rsidRPr="00772076">
              <w:rPr>
                <w:rFonts w:ascii="Arial" w:hAnsi="Arial" w:cs="Arial"/>
                <w:color w:val="auto"/>
                <w:sz w:val="16"/>
                <w:szCs w:val="16"/>
              </w:rPr>
              <w:t>17</w:t>
            </w:r>
          </w:p>
        </w:tc>
        <w:tc>
          <w:tcPr>
            <w:tcW w:w="725" w:type="pct"/>
            <w:tcBorders>
              <w:top w:val="single" w:sz="4" w:space="0" w:color="auto"/>
              <w:left w:val="nil"/>
              <w:bottom w:val="nil"/>
              <w:right w:val="nil"/>
            </w:tcBorders>
            <w:shd w:val="clear" w:color="auto" w:fill="auto"/>
            <w:noWrap/>
            <w:vAlign w:val="center"/>
            <w:hideMark/>
          </w:tcPr>
          <w:p w14:paraId="667952B9" w14:textId="77777777" w:rsidR="00772076" w:rsidRPr="00772076" w:rsidRDefault="00772076" w:rsidP="00772076">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 xml:space="preserve"> 2017</w:t>
            </w:r>
            <w:r w:rsidR="00F26A86">
              <w:rPr>
                <w:rFonts w:ascii="Arial" w:hAnsi="Arial" w:cs="Arial"/>
                <w:color w:val="auto"/>
                <w:sz w:val="16"/>
                <w:szCs w:val="16"/>
              </w:rPr>
              <w:t>–</w:t>
            </w:r>
            <w:r w:rsidRPr="00772076">
              <w:rPr>
                <w:rFonts w:ascii="Arial" w:hAnsi="Arial" w:cs="Arial"/>
                <w:color w:val="auto"/>
                <w:sz w:val="16"/>
                <w:szCs w:val="16"/>
              </w:rPr>
              <w:t>18</w:t>
            </w:r>
          </w:p>
        </w:tc>
        <w:tc>
          <w:tcPr>
            <w:tcW w:w="725" w:type="pct"/>
            <w:tcBorders>
              <w:top w:val="single" w:sz="4" w:space="0" w:color="auto"/>
              <w:left w:val="nil"/>
              <w:bottom w:val="nil"/>
              <w:right w:val="nil"/>
            </w:tcBorders>
            <w:shd w:val="clear" w:color="auto" w:fill="auto"/>
            <w:noWrap/>
            <w:vAlign w:val="center"/>
            <w:hideMark/>
          </w:tcPr>
          <w:p w14:paraId="576773AC" w14:textId="77777777" w:rsidR="00772076" w:rsidRPr="00772076" w:rsidRDefault="00772076" w:rsidP="00772076">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 xml:space="preserve"> 2018</w:t>
            </w:r>
            <w:r w:rsidR="00F26A86">
              <w:rPr>
                <w:rFonts w:ascii="Arial" w:hAnsi="Arial" w:cs="Arial"/>
                <w:color w:val="auto"/>
                <w:sz w:val="16"/>
                <w:szCs w:val="16"/>
              </w:rPr>
              <w:t>–</w:t>
            </w:r>
            <w:r w:rsidRPr="00772076">
              <w:rPr>
                <w:rFonts w:ascii="Arial" w:hAnsi="Arial" w:cs="Arial"/>
                <w:color w:val="auto"/>
                <w:sz w:val="16"/>
                <w:szCs w:val="16"/>
              </w:rPr>
              <w:t>19</w:t>
            </w:r>
          </w:p>
        </w:tc>
        <w:tc>
          <w:tcPr>
            <w:tcW w:w="725" w:type="pct"/>
            <w:tcBorders>
              <w:top w:val="single" w:sz="4" w:space="0" w:color="auto"/>
              <w:left w:val="nil"/>
              <w:bottom w:val="nil"/>
              <w:right w:val="nil"/>
            </w:tcBorders>
            <w:shd w:val="clear" w:color="auto" w:fill="F2F2F2" w:themeFill="background1" w:themeFillShade="F2"/>
            <w:noWrap/>
            <w:vAlign w:val="center"/>
            <w:hideMark/>
          </w:tcPr>
          <w:p w14:paraId="36CD7FFA" w14:textId="77777777" w:rsidR="00772076" w:rsidRPr="00772076" w:rsidRDefault="00772076" w:rsidP="00772076">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 xml:space="preserve"> 2019</w:t>
            </w:r>
            <w:r w:rsidR="00F26A86">
              <w:rPr>
                <w:rFonts w:ascii="Arial" w:hAnsi="Arial" w:cs="Arial"/>
                <w:color w:val="auto"/>
                <w:sz w:val="16"/>
                <w:szCs w:val="16"/>
              </w:rPr>
              <w:t>–</w:t>
            </w:r>
            <w:r w:rsidRPr="00772076">
              <w:rPr>
                <w:rFonts w:ascii="Arial" w:hAnsi="Arial" w:cs="Arial"/>
                <w:color w:val="auto"/>
                <w:sz w:val="16"/>
                <w:szCs w:val="16"/>
              </w:rPr>
              <w:t>20</w:t>
            </w:r>
          </w:p>
        </w:tc>
      </w:tr>
      <w:tr w:rsidR="00772076" w:rsidRPr="00772076" w14:paraId="2A9DD01F" w14:textId="77777777" w:rsidTr="00D54A82">
        <w:trPr>
          <w:trHeight w:val="225"/>
        </w:trPr>
        <w:tc>
          <w:tcPr>
            <w:tcW w:w="2138" w:type="pct"/>
            <w:tcBorders>
              <w:top w:val="nil"/>
              <w:left w:val="nil"/>
              <w:bottom w:val="single" w:sz="4" w:space="0" w:color="auto"/>
              <w:right w:val="nil"/>
            </w:tcBorders>
            <w:shd w:val="clear" w:color="000000" w:fill="FFFFFF"/>
            <w:noWrap/>
            <w:hideMark/>
          </w:tcPr>
          <w:p w14:paraId="70CE0A11" w14:textId="77777777" w:rsidR="00772076" w:rsidRPr="00772076" w:rsidRDefault="00772076" w:rsidP="00772076">
            <w:pPr>
              <w:keepNext/>
              <w:keepLines/>
              <w:spacing w:after="0" w:line="240" w:lineRule="auto"/>
              <w:jc w:val="left"/>
              <w:rPr>
                <w:rFonts w:ascii="Arial" w:hAnsi="Arial" w:cs="Arial"/>
                <w:color w:val="auto"/>
                <w:sz w:val="16"/>
                <w:szCs w:val="16"/>
              </w:rPr>
            </w:pPr>
            <w:r w:rsidRPr="00772076">
              <w:rPr>
                <w:rFonts w:ascii="Arial" w:hAnsi="Arial" w:cs="Arial"/>
                <w:color w:val="auto"/>
                <w:sz w:val="16"/>
                <w:szCs w:val="16"/>
              </w:rPr>
              <w:t>Outcome</w:t>
            </w:r>
          </w:p>
        </w:tc>
        <w:tc>
          <w:tcPr>
            <w:tcW w:w="687" w:type="pct"/>
            <w:tcBorders>
              <w:top w:val="nil"/>
              <w:left w:val="nil"/>
              <w:bottom w:val="single" w:sz="4" w:space="0" w:color="auto"/>
              <w:right w:val="nil"/>
            </w:tcBorders>
            <w:shd w:val="clear" w:color="000000" w:fill="FFFFFF"/>
            <w:noWrap/>
            <w:vAlign w:val="bottom"/>
            <w:hideMark/>
          </w:tcPr>
          <w:p w14:paraId="2B652AEF" w14:textId="77777777" w:rsidR="00772076" w:rsidRPr="00772076" w:rsidRDefault="00772076" w:rsidP="00772076">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$b</w:t>
            </w:r>
          </w:p>
        </w:tc>
        <w:tc>
          <w:tcPr>
            <w:tcW w:w="725" w:type="pct"/>
            <w:tcBorders>
              <w:top w:val="nil"/>
              <w:left w:val="nil"/>
              <w:bottom w:val="single" w:sz="4" w:space="0" w:color="auto"/>
              <w:right w:val="nil"/>
            </w:tcBorders>
            <w:shd w:val="clear" w:color="auto" w:fill="auto"/>
            <w:noWrap/>
            <w:vAlign w:val="bottom"/>
            <w:hideMark/>
          </w:tcPr>
          <w:p w14:paraId="632CD6EF" w14:textId="77777777" w:rsidR="00772076" w:rsidRPr="00772076" w:rsidRDefault="00772076" w:rsidP="00772076">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 xml:space="preserve"> $b</w:t>
            </w:r>
          </w:p>
        </w:tc>
        <w:tc>
          <w:tcPr>
            <w:tcW w:w="725" w:type="pct"/>
            <w:tcBorders>
              <w:top w:val="nil"/>
              <w:left w:val="nil"/>
              <w:bottom w:val="single" w:sz="4" w:space="0" w:color="auto"/>
              <w:right w:val="nil"/>
            </w:tcBorders>
            <w:shd w:val="clear" w:color="auto" w:fill="auto"/>
            <w:noWrap/>
            <w:vAlign w:val="bottom"/>
            <w:hideMark/>
          </w:tcPr>
          <w:p w14:paraId="4A3E6CEF" w14:textId="77777777" w:rsidR="00772076" w:rsidRPr="00772076" w:rsidRDefault="00772076" w:rsidP="00772076">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 xml:space="preserve"> $b</w:t>
            </w:r>
          </w:p>
        </w:tc>
        <w:tc>
          <w:tcPr>
            <w:tcW w:w="725" w:type="pct"/>
            <w:tcBorders>
              <w:top w:val="nil"/>
              <w:left w:val="nil"/>
              <w:bottom w:val="single" w:sz="4" w:space="0" w:color="auto"/>
              <w:right w:val="nil"/>
            </w:tcBorders>
            <w:shd w:val="clear" w:color="auto" w:fill="F2F2F2" w:themeFill="background1" w:themeFillShade="F2"/>
            <w:noWrap/>
            <w:vAlign w:val="bottom"/>
            <w:hideMark/>
          </w:tcPr>
          <w:p w14:paraId="57E5EC0F" w14:textId="77777777" w:rsidR="00772076" w:rsidRPr="00772076" w:rsidRDefault="00772076" w:rsidP="00772076">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 xml:space="preserve"> $b</w:t>
            </w:r>
          </w:p>
        </w:tc>
      </w:tr>
      <w:tr w:rsidR="00772076" w:rsidRPr="00772076" w14:paraId="6BD42E3F" w14:textId="77777777" w:rsidTr="00D54A82">
        <w:trPr>
          <w:trHeight w:val="225"/>
        </w:trPr>
        <w:tc>
          <w:tcPr>
            <w:tcW w:w="2138" w:type="pct"/>
            <w:tcBorders>
              <w:top w:val="nil"/>
              <w:left w:val="nil"/>
              <w:bottom w:val="nil"/>
              <w:right w:val="nil"/>
            </w:tcBorders>
            <w:shd w:val="clear" w:color="000000" w:fill="FFFFFF"/>
            <w:noWrap/>
            <w:vAlign w:val="center"/>
            <w:hideMark/>
          </w:tcPr>
          <w:p w14:paraId="0345F27B" w14:textId="77777777" w:rsidR="00772076" w:rsidRPr="00772076" w:rsidRDefault="00772076" w:rsidP="00772076">
            <w:pPr>
              <w:keepNext/>
              <w:keepLines/>
              <w:spacing w:after="0" w:line="240" w:lineRule="auto"/>
              <w:jc w:val="left"/>
              <w:rPr>
                <w:rFonts w:ascii="Arial" w:hAnsi="Arial" w:cs="Arial"/>
                <w:color w:val="auto"/>
                <w:sz w:val="16"/>
                <w:szCs w:val="16"/>
              </w:rPr>
            </w:pPr>
            <w:r w:rsidRPr="00772076">
              <w:rPr>
                <w:rFonts w:ascii="Arial" w:hAnsi="Arial" w:cs="Arial"/>
                <w:color w:val="auto"/>
                <w:sz w:val="16"/>
                <w:szCs w:val="16"/>
              </w:rPr>
              <w:t xml:space="preserve"> Approved without conditions</w:t>
            </w:r>
          </w:p>
        </w:tc>
        <w:tc>
          <w:tcPr>
            <w:tcW w:w="687" w:type="pct"/>
            <w:tcBorders>
              <w:top w:val="nil"/>
              <w:left w:val="nil"/>
              <w:bottom w:val="nil"/>
              <w:right w:val="nil"/>
            </w:tcBorders>
            <w:shd w:val="clear" w:color="auto" w:fill="auto"/>
            <w:noWrap/>
            <w:vAlign w:val="center"/>
            <w:hideMark/>
          </w:tcPr>
          <w:p w14:paraId="2D741B85"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53.8</w:t>
            </w:r>
          </w:p>
        </w:tc>
        <w:tc>
          <w:tcPr>
            <w:tcW w:w="725" w:type="pct"/>
            <w:tcBorders>
              <w:top w:val="nil"/>
              <w:left w:val="nil"/>
              <w:bottom w:val="nil"/>
              <w:right w:val="nil"/>
            </w:tcBorders>
            <w:shd w:val="clear" w:color="auto" w:fill="auto"/>
            <w:noWrap/>
            <w:vAlign w:val="center"/>
            <w:hideMark/>
          </w:tcPr>
          <w:p w14:paraId="5A50980E"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40.1</w:t>
            </w:r>
          </w:p>
        </w:tc>
        <w:tc>
          <w:tcPr>
            <w:tcW w:w="725" w:type="pct"/>
            <w:tcBorders>
              <w:top w:val="nil"/>
              <w:left w:val="nil"/>
              <w:bottom w:val="nil"/>
              <w:right w:val="nil"/>
            </w:tcBorders>
            <w:shd w:val="clear" w:color="auto" w:fill="auto"/>
            <w:noWrap/>
            <w:vAlign w:val="center"/>
            <w:hideMark/>
          </w:tcPr>
          <w:p w14:paraId="60E640A7"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45.9</w:t>
            </w:r>
          </w:p>
        </w:tc>
        <w:tc>
          <w:tcPr>
            <w:tcW w:w="725" w:type="pct"/>
            <w:tcBorders>
              <w:top w:val="nil"/>
              <w:left w:val="nil"/>
              <w:bottom w:val="nil"/>
              <w:right w:val="nil"/>
            </w:tcBorders>
            <w:shd w:val="clear" w:color="auto" w:fill="F2F2F2" w:themeFill="background1" w:themeFillShade="F2"/>
            <w:noWrap/>
            <w:vAlign w:val="center"/>
            <w:hideMark/>
          </w:tcPr>
          <w:p w14:paraId="7C4B3243"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56.5</w:t>
            </w:r>
          </w:p>
        </w:tc>
      </w:tr>
      <w:tr w:rsidR="00772076" w:rsidRPr="00772076" w14:paraId="1AAC2720" w14:textId="77777777" w:rsidTr="00D54A82">
        <w:trPr>
          <w:trHeight w:val="225"/>
        </w:trPr>
        <w:tc>
          <w:tcPr>
            <w:tcW w:w="2138" w:type="pct"/>
            <w:tcBorders>
              <w:top w:val="nil"/>
              <w:left w:val="nil"/>
              <w:bottom w:val="nil"/>
              <w:right w:val="nil"/>
            </w:tcBorders>
            <w:shd w:val="clear" w:color="000000" w:fill="FFFFFF"/>
            <w:noWrap/>
            <w:vAlign w:val="center"/>
            <w:hideMark/>
          </w:tcPr>
          <w:p w14:paraId="45FF151B" w14:textId="77777777" w:rsidR="00772076" w:rsidRPr="00772076" w:rsidRDefault="00772076" w:rsidP="00772076">
            <w:pPr>
              <w:keepNext/>
              <w:keepLines/>
              <w:spacing w:after="0" w:line="240" w:lineRule="auto"/>
              <w:jc w:val="left"/>
              <w:rPr>
                <w:rFonts w:ascii="Arial" w:hAnsi="Arial" w:cs="Arial"/>
                <w:color w:val="auto"/>
                <w:sz w:val="16"/>
                <w:szCs w:val="16"/>
              </w:rPr>
            </w:pPr>
            <w:r w:rsidRPr="00772076">
              <w:rPr>
                <w:rFonts w:ascii="Arial" w:hAnsi="Arial" w:cs="Arial"/>
                <w:color w:val="auto"/>
                <w:sz w:val="16"/>
                <w:szCs w:val="16"/>
              </w:rPr>
              <w:t xml:space="preserve"> Approved with conditions</w:t>
            </w:r>
          </w:p>
        </w:tc>
        <w:tc>
          <w:tcPr>
            <w:tcW w:w="687" w:type="pct"/>
            <w:tcBorders>
              <w:top w:val="nil"/>
              <w:left w:val="nil"/>
              <w:bottom w:val="single" w:sz="4" w:space="0" w:color="auto"/>
              <w:right w:val="nil"/>
            </w:tcBorders>
            <w:shd w:val="clear" w:color="auto" w:fill="auto"/>
            <w:noWrap/>
            <w:vAlign w:val="center"/>
            <w:hideMark/>
          </w:tcPr>
          <w:p w14:paraId="65D98E23"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143.9</w:t>
            </w:r>
          </w:p>
        </w:tc>
        <w:tc>
          <w:tcPr>
            <w:tcW w:w="725" w:type="pct"/>
            <w:tcBorders>
              <w:top w:val="nil"/>
              <w:left w:val="nil"/>
              <w:bottom w:val="single" w:sz="4" w:space="0" w:color="auto"/>
              <w:right w:val="nil"/>
            </w:tcBorders>
            <w:shd w:val="clear" w:color="auto" w:fill="auto"/>
            <w:noWrap/>
            <w:vAlign w:val="center"/>
            <w:hideMark/>
          </w:tcPr>
          <w:p w14:paraId="662ED30B"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123.0</w:t>
            </w:r>
          </w:p>
        </w:tc>
        <w:tc>
          <w:tcPr>
            <w:tcW w:w="725" w:type="pct"/>
            <w:tcBorders>
              <w:top w:val="nil"/>
              <w:left w:val="nil"/>
              <w:bottom w:val="single" w:sz="4" w:space="0" w:color="auto"/>
              <w:right w:val="nil"/>
            </w:tcBorders>
            <w:shd w:val="clear" w:color="auto" w:fill="auto"/>
            <w:noWrap/>
            <w:vAlign w:val="center"/>
            <w:hideMark/>
          </w:tcPr>
          <w:p w14:paraId="2D633047"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185.1</w:t>
            </w:r>
          </w:p>
        </w:tc>
        <w:tc>
          <w:tcPr>
            <w:tcW w:w="725" w:type="pct"/>
            <w:tcBorders>
              <w:top w:val="nil"/>
              <w:left w:val="nil"/>
              <w:bottom w:val="single" w:sz="4" w:space="0" w:color="auto"/>
              <w:right w:val="nil"/>
            </w:tcBorders>
            <w:shd w:val="clear" w:color="auto" w:fill="F2F2F2" w:themeFill="background1" w:themeFillShade="F2"/>
            <w:noWrap/>
            <w:vAlign w:val="center"/>
            <w:hideMark/>
          </w:tcPr>
          <w:p w14:paraId="513FE11E"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139.0</w:t>
            </w:r>
          </w:p>
        </w:tc>
      </w:tr>
      <w:tr w:rsidR="00772076" w:rsidRPr="00772076" w14:paraId="0A49DBB1" w14:textId="77777777" w:rsidTr="00D54A82">
        <w:trPr>
          <w:trHeight w:val="225"/>
        </w:trPr>
        <w:tc>
          <w:tcPr>
            <w:tcW w:w="2138" w:type="pct"/>
            <w:tcBorders>
              <w:top w:val="nil"/>
              <w:left w:val="nil"/>
              <w:bottom w:val="nil"/>
              <w:right w:val="nil"/>
            </w:tcBorders>
            <w:shd w:val="clear" w:color="000000" w:fill="FFFFFF"/>
            <w:noWrap/>
            <w:vAlign w:val="center"/>
            <w:hideMark/>
          </w:tcPr>
          <w:p w14:paraId="5965A754" w14:textId="77777777" w:rsidR="00772076" w:rsidRPr="00772076" w:rsidRDefault="00772076" w:rsidP="00772076">
            <w:pPr>
              <w:keepNext/>
              <w:keepLines/>
              <w:spacing w:after="0" w:line="240" w:lineRule="auto"/>
              <w:ind w:firstLineChars="100" w:firstLine="161"/>
              <w:jc w:val="left"/>
              <w:rPr>
                <w:rFonts w:ascii="Arial" w:hAnsi="Arial" w:cs="Arial"/>
                <w:b/>
                <w:bCs/>
                <w:color w:val="auto"/>
                <w:sz w:val="16"/>
                <w:szCs w:val="16"/>
              </w:rPr>
            </w:pPr>
            <w:r w:rsidRPr="00772076">
              <w:rPr>
                <w:rFonts w:ascii="Arial" w:hAnsi="Arial" w:cs="Arial"/>
                <w:b/>
                <w:bCs/>
                <w:color w:val="auto"/>
                <w:sz w:val="16"/>
                <w:szCs w:val="16"/>
              </w:rPr>
              <w:t xml:space="preserve"> Total approved </w:t>
            </w:r>
          </w:p>
        </w:tc>
        <w:tc>
          <w:tcPr>
            <w:tcW w:w="687" w:type="pct"/>
            <w:tcBorders>
              <w:top w:val="nil"/>
              <w:left w:val="nil"/>
              <w:bottom w:val="nil"/>
              <w:right w:val="nil"/>
            </w:tcBorders>
            <w:shd w:val="clear" w:color="auto" w:fill="auto"/>
            <w:noWrap/>
            <w:vAlign w:val="center"/>
            <w:hideMark/>
          </w:tcPr>
          <w:p w14:paraId="2BD11DE7" w14:textId="77777777" w:rsidR="00772076" w:rsidRPr="00772076" w:rsidRDefault="00772076" w:rsidP="00947C1B">
            <w:pPr>
              <w:keepNext/>
              <w:keepLines/>
              <w:spacing w:after="0" w:line="240" w:lineRule="auto"/>
              <w:jc w:val="right"/>
              <w:rPr>
                <w:rFonts w:ascii="Arial" w:hAnsi="Arial" w:cs="Arial"/>
                <w:b/>
                <w:bCs/>
                <w:color w:val="auto"/>
                <w:sz w:val="16"/>
                <w:szCs w:val="16"/>
              </w:rPr>
            </w:pPr>
            <w:r w:rsidRPr="00772076">
              <w:rPr>
                <w:rFonts w:ascii="Arial" w:hAnsi="Arial" w:cs="Arial"/>
                <w:b/>
                <w:bCs/>
                <w:color w:val="auto"/>
                <w:sz w:val="16"/>
                <w:szCs w:val="16"/>
              </w:rPr>
              <w:t>197.7</w:t>
            </w:r>
          </w:p>
        </w:tc>
        <w:tc>
          <w:tcPr>
            <w:tcW w:w="725" w:type="pct"/>
            <w:tcBorders>
              <w:top w:val="nil"/>
              <w:left w:val="nil"/>
              <w:bottom w:val="nil"/>
              <w:right w:val="nil"/>
            </w:tcBorders>
            <w:shd w:val="clear" w:color="auto" w:fill="auto"/>
            <w:noWrap/>
            <w:vAlign w:val="center"/>
            <w:hideMark/>
          </w:tcPr>
          <w:p w14:paraId="1074FF56" w14:textId="77777777" w:rsidR="00772076" w:rsidRPr="00772076" w:rsidRDefault="00772076" w:rsidP="00947C1B">
            <w:pPr>
              <w:keepNext/>
              <w:keepLines/>
              <w:spacing w:after="0" w:line="240" w:lineRule="auto"/>
              <w:jc w:val="right"/>
              <w:rPr>
                <w:rFonts w:ascii="Arial" w:hAnsi="Arial" w:cs="Arial"/>
                <w:b/>
                <w:bCs/>
                <w:color w:val="auto"/>
                <w:sz w:val="16"/>
                <w:szCs w:val="16"/>
              </w:rPr>
            </w:pPr>
            <w:r w:rsidRPr="00772076">
              <w:rPr>
                <w:rFonts w:ascii="Arial" w:hAnsi="Arial" w:cs="Arial"/>
                <w:b/>
                <w:bCs/>
                <w:color w:val="auto"/>
                <w:sz w:val="16"/>
                <w:szCs w:val="16"/>
              </w:rPr>
              <w:t>163.1</w:t>
            </w:r>
          </w:p>
        </w:tc>
        <w:tc>
          <w:tcPr>
            <w:tcW w:w="725" w:type="pct"/>
            <w:tcBorders>
              <w:top w:val="nil"/>
              <w:left w:val="nil"/>
              <w:bottom w:val="nil"/>
              <w:right w:val="nil"/>
            </w:tcBorders>
            <w:shd w:val="clear" w:color="auto" w:fill="auto"/>
            <w:noWrap/>
            <w:vAlign w:val="center"/>
            <w:hideMark/>
          </w:tcPr>
          <w:p w14:paraId="7374469A" w14:textId="77777777" w:rsidR="00772076" w:rsidRPr="00772076" w:rsidRDefault="00772076" w:rsidP="00947C1B">
            <w:pPr>
              <w:keepNext/>
              <w:keepLines/>
              <w:spacing w:after="0" w:line="240" w:lineRule="auto"/>
              <w:jc w:val="right"/>
              <w:rPr>
                <w:rFonts w:ascii="Arial" w:hAnsi="Arial" w:cs="Arial"/>
                <w:b/>
                <w:bCs/>
                <w:color w:val="auto"/>
                <w:sz w:val="16"/>
                <w:szCs w:val="16"/>
              </w:rPr>
            </w:pPr>
            <w:r w:rsidRPr="00772076">
              <w:rPr>
                <w:rFonts w:ascii="Arial" w:hAnsi="Arial" w:cs="Arial"/>
                <w:b/>
                <w:bCs/>
                <w:color w:val="auto"/>
                <w:sz w:val="16"/>
                <w:szCs w:val="16"/>
              </w:rPr>
              <w:t>231.0</w:t>
            </w:r>
          </w:p>
        </w:tc>
        <w:tc>
          <w:tcPr>
            <w:tcW w:w="725" w:type="pct"/>
            <w:tcBorders>
              <w:top w:val="nil"/>
              <w:left w:val="nil"/>
              <w:bottom w:val="nil"/>
              <w:right w:val="nil"/>
            </w:tcBorders>
            <w:shd w:val="clear" w:color="auto" w:fill="F2F2F2" w:themeFill="background1" w:themeFillShade="F2"/>
            <w:noWrap/>
            <w:vAlign w:val="center"/>
            <w:hideMark/>
          </w:tcPr>
          <w:p w14:paraId="4EC58345" w14:textId="77777777" w:rsidR="00772076" w:rsidRPr="00772076" w:rsidRDefault="00772076" w:rsidP="00947C1B">
            <w:pPr>
              <w:keepNext/>
              <w:keepLines/>
              <w:spacing w:after="0" w:line="240" w:lineRule="auto"/>
              <w:jc w:val="right"/>
              <w:rPr>
                <w:rFonts w:ascii="Arial" w:hAnsi="Arial" w:cs="Arial"/>
                <w:b/>
                <w:bCs/>
                <w:color w:val="auto"/>
                <w:sz w:val="16"/>
                <w:szCs w:val="16"/>
              </w:rPr>
            </w:pPr>
            <w:r w:rsidRPr="00772076">
              <w:rPr>
                <w:rFonts w:ascii="Arial" w:hAnsi="Arial" w:cs="Arial"/>
                <w:b/>
                <w:bCs/>
                <w:color w:val="auto"/>
                <w:sz w:val="16"/>
                <w:szCs w:val="16"/>
              </w:rPr>
              <w:t>195.5</w:t>
            </w:r>
          </w:p>
        </w:tc>
      </w:tr>
      <w:tr w:rsidR="00772076" w:rsidRPr="00772076" w14:paraId="486236AE" w14:textId="77777777" w:rsidTr="00D54A82">
        <w:trPr>
          <w:trHeight w:val="225"/>
        </w:trPr>
        <w:tc>
          <w:tcPr>
            <w:tcW w:w="2138" w:type="pct"/>
            <w:tcBorders>
              <w:top w:val="nil"/>
              <w:left w:val="nil"/>
              <w:bottom w:val="nil"/>
              <w:right w:val="nil"/>
            </w:tcBorders>
            <w:shd w:val="clear" w:color="000000" w:fill="FFFFFF"/>
            <w:noWrap/>
            <w:vAlign w:val="center"/>
            <w:hideMark/>
          </w:tcPr>
          <w:p w14:paraId="4E7DBECF" w14:textId="77777777" w:rsidR="00772076" w:rsidRPr="00772076" w:rsidRDefault="00772076" w:rsidP="00772076">
            <w:pPr>
              <w:keepNext/>
              <w:keepLines/>
              <w:spacing w:after="0" w:line="240" w:lineRule="auto"/>
              <w:jc w:val="left"/>
              <w:rPr>
                <w:rFonts w:ascii="Arial" w:hAnsi="Arial" w:cs="Arial"/>
                <w:color w:val="auto"/>
                <w:sz w:val="16"/>
                <w:szCs w:val="16"/>
              </w:rPr>
            </w:pPr>
            <w:r w:rsidRPr="00772076">
              <w:rPr>
                <w:rFonts w:ascii="Arial" w:hAnsi="Arial" w:cs="Arial"/>
                <w:color w:val="auto"/>
                <w:sz w:val="16"/>
                <w:szCs w:val="16"/>
              </w:rPr>
              <w:t xml:space="preserve"> Rejected </w:t>
            </w:r>
          </w:p>
        </w:tc>
        <w:tc>
          <w:tcPr>
            <w:tcW w:w="687" w:type="pct"/>
            <w:tcBorders>
              <w:top w:val="nil"/>
              <w:left w:val="nil"/>
              <w:bottom w:val="nil"/>
              <w:right w:val="nil"/>
            </w:tcBorders>
            <w:shd w:val="clear" w:color="auto" w:fill="auto"/>
            <w:noWrap/>
            <w:vAlign w:val="center"/>
            <w:hideMark/>
          </w:tcPr>
          <w:p w14:paraId="490DFD2A"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20.0</w:t>
            </w:r>
          </w:p>
        </w:tc>
        <w:tc>
          <w:tcPr>
            <w:tcW w:w="725" w:type="pct"/>
            <w:tcBorders>
              <w:top w:val="nil"/>
              <w:left w:val="nil"/>
              <w:bottom w:val="nil"/>
              <w:right w:val="nil"/>
            </w:tcBorders>
            <w:shd w:val="clear" w:color="auto" w:fill="auto"/>
            <w:noWrap/>
            <w:vAlign w:val="center"/>
            <w:hideMark/>
          </w:tcPr>
          <w:p w14:paraId="38B618AA"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0.1</w:t>
            </w:r>
          </w:p>
        </w:tc>
        <w:tc>
          <w:tcPr>
            <w:tcW w:w="725" w:type="pct"/>
            <w:tcBorders>
              <w:top w:val="nil"/>
              <w:left w:val="nil"/>
              <w:bottom w:val="nil"/>
              <w:right w:val="nil"/>
            </w:tcBorders>
            <w:shd w:val="clear" w:color="auto" w:fill="auto"/>
            <w:noWrap/>
            <w:vAlign w:val="center"/>
            <w:hideMark/>
          </w:tcPr>
          <w:p w14:paraId="3CDCF485"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10.0</w:t>
            </w:r>
          </w:p>
        </w:tc>
        <w:tc>
          <w:tcPr>
            <w:tcW w:w="725" w:type="pct"/>
            <w:tcBorders>
              <w:top w:val="nil"/>
              <w:left w:val="nil"/>
              <w:bottom w:val="nil"/>
              <w:right w:val="nil"/>
            </w:tcBorders>
            <w:shd w:val="clear" w:color="auto" w:fill="F2F2F2" w:themeFill="background1" w:themeFillShade="F2"/>
            <w:noWrap/>
            <w:vAlign w:val="center"/>
            <w:hideMark/>
          </w:tcPr>
          <w:p w14:paraId="039D6617"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0.0</w:t>
            </w:r>
          </w:p>
        </w:tc>
      </w:tr>
      <w:tr w:rsidR="00772076" w:rsidRPr="00772076" w14:paraId="7990FE1E" w14:textId="77777777" w:rsidTr="00D54A82">
        <w:trPr>
          <w:trHeight w:val="225"/>
        </w:trPr>
        <w:tc>
          <w:tcPr>
            <w:tcW w:w="2138" w:type="pct"/>
            <w:tcBorders>
              <w:top w:val="nil"/>
              <w:left w:val="nil"/>
              <w:bottom w:val="nil"/>
              <w:right w:val="nil"/>
            </w:tcBorders>
            <w:shd w:val="clear" w:color="auto" w:fill="auto"/>
            <w:noWrap/>
            <w:vAlign w:val="center"/>
            <w:hideMark/>
          </w:tcPr>
          <w:p w14:paraId="7AD87F22" w14:textId="77777777" w:rsidR="00772076" w:rsidRPr="00772076" w:rsidRDefault="00772076" w:rsidP="00772076">
            <w:pPr>
              <w:keepNext/>
              <w:keepLines/>
              <w:spacing w:after="0" w:line="240" w:lineRule="auto"/>
              <w:jc w:val="left"/>
              <w:rPr>
                <w:rFonts w:ascii="Arial" w:hAnsi="Arial" w:cs="Arial"/>
                <w:color w:val="auto"/>
                <w:sz w:val="16"/>
                <w:szCs w:val="16"/>
              </w:rPr>
            </w:pPr>
            <w:r w:rsidRPr="00772076">
              <w:rPr>
                <w:rFonts w:ascii="Arial" w:hAnsi="Arial" w:cs="Arial"/>
                <w:color w:val="auto"/>
                <w:sz w:val="16"/>
                <w:szCs w:val="16"/>
              </w:rPr>
              <w:t xml:space="preserve"> Declined </w:t>
            </w:r>
          </w:p>
        </w:tc>
        <w:tc>
          <w:tcPr>
            <w:tcW w:w="687" w:type="pct"/>
            <w:tcBorders>
              <w:top w:val="nil"/>
              <w:left w:val="nil"/>
              <w:bottom w:val="nil"/>
              <w:right w:val="nil"/>
            </w:tcBorders>
            <w:shd w:val="clear" w:color="auto" w:fill="auto"/>
            <w:noWrap/>
            <w:vAlign w:val="center"/>
            <w:hideMark/>
          </w:tcPr>
          <w:p w14:paraId="5E9237F5" w14:textId="1528D888" w:rsidR="00772076" w:rsidRPr="00772076" w:rsidRDefault="00BD4D19" w:rsidP="00947C1B">
            <w:pPr>
              <w:keepNext/>
              <w:keepLines/>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725" w:type="pct"/>
            <w:tcBorders>
              <w:top w:val="nil"/>
              <w:left w:val="nil"/>
              <w:bottom w:val="single" w:sz="4" w:space="0" w:color="auto"/>
              <w:right w:val="nil"/>
            </w:tcBorders>
            <w:shd w:val="clear" w:color="auto" w:fill="auto"/>
            <w:noWrap/>
            <w:vAlign w:val="center"/>
            <w:hideMark/>
          </w:tcPr>
          <w:p w14:paraId="2A798E8B" w14:textId="77777777" w:rsidR="00772076" w:rsidRPr="00772076" w:rsidRDefault="00772076" w:rsidP="00947C1B">
            <w:pPr>
              <w:keepNext/>
              <w:keepLines/>
              <w:spacing w:after="0" w:line="240" w:lineRule="auto"/>
              <w:jc w:val="right"/>
              <w:rPr>
                <w:rFonts w:ascii="Arial" w:hAnsi="Arial" w:cs="Arial"/>
                <w:color w:val="auto"/>
                <w:sz w:val="16"/>
                <w:szCs w:val="16"/>
              </w:rPr>
            </w:pPr>
            <w:r w:rsidRPr="00772076">
              <w:rPr>
                <w:rFonts w:ascii="Arial" w:hAnsi="Arial" w:cs="Arial"/>
                <w:color w:val="auto"/>
                <w:sz w:val="16"/>
                <w:szCs w:val="16"/>
              </w:rPr>
              <w:t>3.0</w:t>
            </w:r>
          </w:p>
        </w:tc>
        <w:tc>
          <w:tcPr>
            <w:tcW w:w="725" w:type="pct"/>
            <w:tcBorders>
              <w:top w:val="nil"/>
              <w:left w:val="nil"/>
              <w:bottom w:val="single" w:sz="4" w:space="0" w:color="auto"/>
              <w:right w:val="nil"/>
            </w:tcBorders>
            <w:shd w:val="clear" w:color="auto" w:fill="auto"/>
            <w:noWrap/>
            <w:vAlign w:val="center"/>
            <w:hideMark/>
          </w:tcPr>
          <w:p w14:paraId="145E2A7D" w14:textId="4FBC7D58" w:rsidR="00772076" w:rsidRPr="00772076" w:rsidRDefault="00BD4D19" w:rsidP="00947C1B">
            <w:pPr>
              <w:keepNext/>
              <w:keepLines/>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725" w:type="pct"/>
            <w:tcBorders>
              <w:top w:val="nil"/>
              <w:left w:val="nil"/>
              <w:bottom w:val="single" w:sz="4" w:space="0" w:color="auto"/>
              <w:right w:val="nil"/>
            </w:tcBorders>
            <w:shd w:val="clear" w:color="auto" w:fill="F2F2F2" w:themeFill="background1" w:themeFillShade="F2"/>
            <w:noWrap/>
            <w:vAlign w:val="center"/>
            <w:hideMark/>
          </w:tcPr>
          <w:p w14:paraId="7B90B587" w14:textId="59AE04CE" w:rsidR="00772076" w:rsidRPr="00772076" w:rsidRDefault="00BD4D19" w:rsidP="00947C1B">
            <w:pPr>
              <w:keepNext/>
              <w:keepLines/>
              <w:spacing w:after="0" w:line="240" w:lineRule="auto"/>
              <w:jc w:val="right"/>
              <w:rPr>
                <w:rFonts w:ascii="Arial" w:hAnsi="Arial" w:cs="Arial"/>
                <w:color w:val="auto"/>
                <w:sz w:val="16"/>
                <w:szCs w:val="16"/>
              </w:rPr>
            </w:pPr>
            <w:r>
              <w:rPr>
                <w:rFonts w:ascii="Arial" w:hAnsi="Arial" w:cs="Arial"/>
                <w:color w:val="auto"/>
                <w:sz w:val="16"/>
                <w:szCs w:val="16"/>
              </w:rPr>
              <w:noBreakHyphen/>
            </w:r>
          </w:p>
        </w:tc>
      </w:tr>
      <w:tr w:rsidR="00772076" w:rsidRPr="00772076" w14:paraId="245175A1" w14:textId="77777777" w:rsidTr="00D54A82">
        <w:trPr>
          <w:trHeight w:val="225"/>
        </w:trPr>
        <w:tc>
          <w:tcPr>
            <w:tcW w:w="2138" w:type="pct"/>
            <w:tcBorders>
              <w:top w:val="nil"/>
              <w:left w:val="nil"/>
              <w:bottom w:val="single" w:sz="4" w:space="0" w:color="auto"/>
              <w:right w:val="nil"/>
            </w:tcBorders>
            <w:shd w:val="clear" w:color="000000" w:fill="FFFFFF"/>
            <w:noWrap/>
            <w:vAlign w:val="center"/>
            <w:hideMark/>
          </w:tcPr>
          <w:p w14:paraId="4A71AB53" w14:textId="77777777" w:rsidR="00772076" w:rsidRPr="00772076" w:rsidRDefault="00772076" w:rsidP="00772076">
            <w:pPr>
              <w:keepNext/>
              <w:keepLines/>
              <w:spacing w:after="0" w:line="240" w:lineRule="auto"/>
              <w:ind w:firstLineChars="100" w:firstLine="161"/>
              <w:jc w:val="left"/>
              <w:rPr>
                <w:rFonts w:ascii="Arial" w:hAnsi="Arial" w:cs="Arial"/>
                <w:b/>
                <w:bCs/>
                <w:color w:val="auto"/>
                <w:sz w:val="16"/>
                <w:szCs w:val="16"/>
              </w:rPr>
            </w:pPr>
            <w:r w:rsidRPr="00772076">
              <w:rPr>
                <w:rFonts w:ascii="Arial" w:hAnsi="Arial" w:cs="Arial"/>
                <w:b/>
                <w:bCs/>
                <w:color w:val="auto"/>
                <w:sz w:val="16"/>
                <w:szCs w:val="16"/>
              </w:rPr>
              <w:t xml:space="preserve"> Total decided </w:t>
            </w:r>
          </w:p>
        </w:tc>
        <w:tc>
          <w:tcPr>
            <w:tcW w:w="687" w:type="pct"/>
            <w:tcBorders>
              <w:top w:val="single" w:sz="4" w:space="0" w:color="auto"/>
              <w:left w:val="nil"/>
              <w:bottom w:val="single" w:sz="4" w:space="0" w:color="auto"/>
              <w:right w:val="nil"/>
            </w:tcBorders>
            <w:shd w:val="clear" w:color="auto" w:fill="auto"/>
            <w:noWrap/>
            <w:vAlign w:val="center"/>
            <w:hideMark/>
          </w:tcPr>
          <w:p w14:paraId="05C674AF" w14:textId="77777777" w:rsidR="00772076" w:rsidRPr="00772076" w:rsidRDefault="00772076" w:rsidP="00947C1B">
            <w:pPr>
              <w:keepNext/>
              <w:keepLines/>
              <w:spacing w:after="0" w:line="240" w:lineRule="auto"/>
              <w:jc w:val="right"/>
              <w:rPr>
                <w:rFonts w:ascii="Arial" w:hAnsi="Arial" w:cs="Arial"/>
                <w:b/>
                <w:bCs/>
                <w:color w:val="auto"/>
                <w:sz w:val="16"/>
                <w:szCs w:val="16"/>
              </w:rPr>
            </w:pPr>
            <w:r w:rsidRPr="00772076">
              <w:rPr>
                <w:rFonts w:ascii="Arial" w:hAnsi="Arial" w:cs="Arial"/>
                <w:b/>
                <w:bCs/>
                <w:color w:val="auto"/>
                <w:sz w:val="16"/>
                <w:szCs w:val="16"/>
              </w:rPr>
              <w:t>217.7</w:t>
            </w:r>
          </w:p>
        </w:tc>
        <w:tc>
          <w:tcPr>
            <w:tcW w:w="725" w:type="pct"/>
            <w:tcBorders>
              <w:top w:val="nil"/>
              <w:left w:val="nil"/>
              <w:bottom w:val="single" w:sz="4" w:space="0" w:color="auto"/>
              <w:right w:val="nil"/>
            </w:tcBorders>
            <w:shd w:val="clear" w:color="auto" w:fill="auto"/>
            <w:noWrap/>
            <w:vAlign w:val="center"/>
            <w:hideMark/>
          </w:tcPr>
          <w:p w14:paraId="297715C6" w14:textId="77777777" w:rsidR="00772076" w:rsidRPr="00772076" w:rsidRDefault="00772076" w:rsidP="00947C1B">
            <w:pPr>
              <w:keepNext/>
              <w:keepLines/>
              <w:spacing w:after="0" w:line="240" w:lineRule="auto"/>
              <w:jc w:val="right"/>
              <w:rPr>
                <w:rFonts w:ascii="Arial" w:hAnsi="Arial" w:cs="Arial"/>
                <w:b/>
                <w:bCs/>
                <w:color w:val="auto"/>
                <w:sz w:val="16"/>
                <w:szCs w:val="16"/>
              </w:rPr>
            </w:pPr>
            <w:r w:rsidRPr="00772076">
              <w:rPr>
                <w:rFonts w:ascii="Arial" w:hAnsi="Arial" w:cs="Arial"/>
                <w:b/>
                <w:bCs/>
                <w:color w:val="auto"/>
                <w:sz w:val="16"/>
                <w:szCs w:val="16"/>
              </w:rPr>
              <w:t>166.1</w:t>
            </w:r>
          </w:p>
        </w:tc>
        <w:tc>
          <w:tcPr>
            <w:tcW w:w="725" w:type="pct"/>
            <w:tcBorders>
              <w:top w:val="nil"/>
              <w:left w:val="nil"/>
              <w:bottom w:val="single" w:sz="4" w:space="0" w:color="auto"/>
              <w:right w:val="nil"/>
            </w:tcBorders>
            <w:shd w:val="clear" w:color="auto" w:fill="auto"/>
            <w:noWrap/>
            <w:vAlign w:val="center"/>
            <w:hideMark/>
          </w:tcPr>
          <w:p w14:paraId="588B093F" w14:textId="77777777" w:rsidR="00772076" w:rsidRPr="00772076" w:rsidRDefault="00772076" w:rsidP="00947C1B">
            <w:pPr>
              <w:keepNext/>
              <w:keepLines/>
              <w:spacing w:after="0" w:line="240" w:lineRule="auto"/>
              <w:jc w:val="right"/>
              <w:rPr>
                <w:rFonts w:ascii="Arial" w:hAnsi="Arial" w:cs="Arial"/>
                <w:b/>
                <w:bCs/>
                <w:color w:val="auto"/>
                <w:sz w:val="16"/>
                <w:szCs w:val="16"/>
              </w:rPr>
            </w:pPr>
            <w:r w:rsidRPr="00772076">
              <w:rPr>
                <w:rFonts w:ascii="Arial" w:hAnsi="Arial" w:cs="Arial"/>
                <w:b/>
                <w:bCs/>
                <w:color w:val="auto"/>
                <w:sz w:val="16"/>
                <w:szCs w:val="16"/>
              </w:rPr>
              <w:t>241.0</w:t>
            </w:r>
          </w:p>
        </w:tc>
        <w:tc>
          <w:tcPr>
            <w:tcW w:w="725" w:type="pct"/>
            <w:tcBorders>
              <w:top w:val="nil"/>
              <w:left w:val="nil"/>
              <w:bottom w:val="single" w:sz="4" w:space="0" w:color="auto"/>
              <w:right w:val="nil"/>
            </w:tcBorders>
            <w:shd w:val="clear" w:color="auto" w:fill="F2F2F2" w:themeFill="background1" w:themeFillShade="F2"/>
            <w:noWrap/>
            <w:vAlign w:val="center"/>
            <w:hideMark/>
          </w:tcPr>
          <w:p w14:paraId="68EE9831" w14:textId="77777777" w:rsidR="00772076" w:rsidRPr="00772076" w:rsidRDefault="00772076" w:rsidP="00947C1B">
            <w:pPr>
              <w:keepNext/>
              <w:keepLines/>
              <w:spacing w:after="0" w:line="240" w:lineRule="auto"/>
              <w:jc w:val="right"/>
              <w:rPr>
                <w:rFonts w:ascii="Arial" w:hAnsi="Arial" w:cs="Arial"/>
                <w:b/>
                <w:bCs/>
                <w:color w:val="auto"/>
                <w:sz w:val="16"/>
                <w:szCs w:val="16"/>
              </w:rPr>
            </w:pPr>
            <w:r w:rsidRPr="00772076">
              <w:rPr>
                <w:rFonts w:ascii="Arial" w:hAnsi="Arial" w:cs="Arial"/>
                <w:b/>
                <w:bCs/>
                <w:color w:val="auto"/>
                <w:sz w:val="16"/>
                <w:szCs w:val="16"/>
              </w:rPr>
              <w:t>195.5</w:t>
            </w:r>
          </w:p>
        </w:tc>
      </w:tr>
    </w:tbl>
    <w:p w14:paraId="641A758E" w14:textId="77777777" w:rsidR="00A1397C" w:rsidRDefault="00A1397C" w:rsidP="00A1397C">
      <w:pPr>
        <w:pStyle w:val="ChartorTableNote"/>
      </w:pPr>
      <w:r w:rsidRPr="00BF48CD">
        <w:t xml:space="preserve">Before republishing this data or comparing between years, thoroughly review the methodological and data caveats in Appendix B. </w:t>
      </w:r>
    </w:p>
    <w:p w14:paraId="661CC125" w14:textId="77777777" w:rsidR="00A1397C" w:rsidRDefault="00A1397C" w:rsidP="00A1397C">
      <w:pPr>
        <w:pStyle w:val="ChartorTableNote"/>
      </w:pPr>
      <w:r w:rsidRPr="00BF48CD">
        <w:t>Data on declined applications is not separately available for years before 2017</w:t>
      </w:r>
      <w:r w:rsidR="00F26A86">
        <w:t>–</w:t>
      </w:r>
      <w:r w:rsidRPr="00BF48CD">
        <w:t xml:space="preserve">18. </w:t>
      </w:r>
    </w:p>
    <w:p w14:paraId="782A8C3E" w14:textId="77777777" w:rsidR="00177F6D" w:rsidRPr="00177F6D" w:rsidRDefault="00177F6D" w:rsidP="00377D63">
      <w:pPr>
        <w:pStyle w:val="SingleParagraph"/>
      </w:pPr>
    </w:p>
    <w:p w14:paraId="135324A1" w14:textId="327CC149" w:rsidR="00483D26" w:rsidRDefault="00483D26" w:rsidP="00177F6D">
      <w:pPr>
        <w:pStyle w:val="TableMainHeading"/>
        <w:keepLines/>
      </w:pPr>
      <w:bookmarkStart w:id="87" w:name="_Toc63798272"/>
      <w:bookmarkStart w:id="88" w:name="_Toc73984731"/>
      <w:r w:rsidRPr="00A1397C">
        <w:t>Table 3.</w:t>
      </w:r>
      <w:r w:rsidR="00A359D3">
        <w:t>4</w:t>
      </w:r>
      <w:r w:rsidRPr="00A1397C">
        <w:t xml:space="preserve">: Applications decided </w:t>
      </w:r>
      <w:r>
        <w:t>in</w:t>
      </w:r>
      <w:r w:rsidRPr="00A1397C">
        <w:t xml:space="preserve"> 201</w:t>
      </w:r>
      <w:r>
        <w:t>9</w:t>
      </w:r>
      <w:r w:rsidR="00454210" w:rsidRPr="00820C89">
        <w:t>–</w:t>
      </w:r>
      <w:r>
        <w:t xml:space="preserve">20, by </w:t>
      </w:r>
      <w:r w:rsidR="00EA5741">
        <w:t>z</w:t>
      </w:r>
      <w:r w:rsidR="00BC22E4">
        <w:t>ero dollar threshold</w:t>
      </w:r>
      <w:r>
        <w:t xml:space="preserve"> and </w:t>
      </w:r>
      <w:r w:rsidR="00EA5741">
        <w:t>n</w:t>
      </w:r>
      <w:r>
        <w:t>on</w:t>
      </w:r>
      <w:r w:rsidR="00BD4D19">
        <w:noBreakHyphen/>
      </w:r>
      <w:r w:rsidR="00BC22E4">
        <w:t>zero dollar threshold</w:t>
      </w:r>
      <w:r>
        <w:t xml:space="preserve"> </w:t>
      </w:r>
      <w:r w:rsidR="00DE0ED5">
        <w:t>proposals</w:t>
      </w:r>
      <w:r w:rsidR="00DE0ED5" w:rsidRPr="00A1397C">
        <w:t xml:space="preserve"> </w:t>
      </w:r>
      <w:r w:rsidRPr="00A1397C">
        <w:t>(value of proposed investment)</w:t>
      </w:r>
      <w:bookmarkEnd w:id="87"/>
      <w:bookmarkEnd w:id="88"/>
    </w:p>
    <w:tbl>
      <w:tblPr>
        <w:tblW w:w="5000" w:type="pct"/>
        <w:tblCellMar>
          <w:left w:w="0" w:type="dxa"/>
          <w:right w:w="0" w:type="dxa"/>
        </w:tblCellMar>
        <w:tblLook w:val="04A0" w:firstRow="1" w:lastRow="0" w:firstColumn="1" w:lastColumn="0" w:noHBand="0" w:noVBand="1"/>
      </w:tblPr>
      <w:tblGrid>
        <w:gridCol w:w="4274"/>
        <w:gridCol w:w="1565"/>
        <w:gridCol w:w="1871"/>
      </w:tblGrid>
      <w:tr w:rsidR="00947C1B" w:rsidRPr="00947C1B" w14:paraId="49C64429" w14:textId="77777777" w:rsidTr="00514A9F">
        <w:trPr>
          <w:trHeight w:val="227"/>
        </w:trPr>
        <w:tc>
          <w:tcPr>
            <w:tcW w:w="2772" w:type="pct"/>
            <w:tcBorders>
              <w:top w:val="single" w:sz="4" w:space="0" w:color="auto"/>
              <w:left w:val="nil"/>
              <w:bottom w:val="nil"/>
              <w:right w:val="nil"/>
            </w:tcBorders>
            <w:shd w:val="clear" w:color="000000" w:fill="FFFFFF"/>
            <w:noWrap/>
            <w:tcMar>
              <w:top w:w="15" w:type="dxa"/>
              <w:left w:w="15" w:type="dxa"/>
              <w:bottom w:w="0" w:type="dxa"/>
              <w:right w:w="15" w:type="dxa"/>
            </w:tcMar>
            <w:vAlign w:val="center"/>
            <w:hideMark/>
          </w:tcPr>
          <w:p w14:paraId="77B102EF" w14:textId="77777777" w:rsidR="00947C1B" w:rsidRPr="00947C1B" w:rsidRDefault="00947C1B" w:rsidP="000853B3">
            <w:pPr>
              <w:spacing w:after="0" w:line="240" w:lineRule="auto"/>
              <w:jc w:val="left"/>
              <w:rPr>
                <w:rFonts w:ascii="Arial" w:hAnsi="Arial" w:cs="Arial"/>
                <w:color w:val="auto"/>
                <w:sz w:val="16"/>
                <w:szCs w:val="16"/>
              </w:rPr>
            </w:pPr>
            <w:r w:rsidRPr="00947C1B">
              <w:rPr>
                <w:rFonts w:ascii="Arial" w:hAnsi="Arial" w:cs="Arial"/>
                <w:color w:val="auto"/>
                <w:sz w:val="16"/>
                <w:szCs w:val="16"/>
              </w:rPr>
              <w:t> </w:t>
            </w:r>
          </w:p>
        </w:tc>
        <w:tc>
          <w:tcPr>
            <w:tcW w:w="1015"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CCA91D8" w14:textId="77777777" w:rsidR="00947C1B" w:rsidRPr="00947C1B" w:rsidRDefault="00947C1B" w:rsidP="00BC22E4">
            <w:pPr>
              <w:spacing w:after="0" w:line="240" w:lineRule="auto"/>
              <w:jc w:val="right"/>
              <w:rPr>
                <w:rFonts w:ascii="Arial" w:hAnsi="Arial" w:cs="Arial"/>
                <w:color w:val="auto"/>
                <w:sz w:val="16"/>
                <w:szCs w:val="16"/>
              </w:rPr>
            </w:pPr>
            <w:r w:rsidRPr="00947C1B">
              <w:rPr>
                <w:rFonts w:ascii="Arial" w:hAnsi="Arial" w:cs="Arial"/>
                <w:color w:val="auto"/>
                <w:sz w:val="16"/>
                <w:szCs w:val="16"/>
              </w:rPr>
              <w:t xml:space="preserve"> Z</w:t>
            </w:r>
            <w:r w:rsidR="00BC22E4">
              <w:rPr>
                <w:rFonts w:ascii="Arial" w:hAnsi="Arial" w:cs="Arial"/>
                <w:color w:val="auto"/>
                <w:sz w:val="16"/>
                <w:szCs w:val="16"/>
              </w:rPr>
              <w:t>ero dollar threshold</w:t>
            </w:r>
            <w:r w:rsidRPr="00947C1B">
              <w:rPr>
                <w:rFonts w:ascii="Arial" w:hAnsi="Arial" w:cs="Arial"/>
                <w:color w:val="auto"/>
                <w:sz w:val="16"/>
                <w:szCs w:val="16"/>
              </w:rPr>
              <w:t xml:space="preserve"> </w:t>
            </w:r>
          </w:p>
        </w:tc>
        <w:tc>
          <w:tcPr>
            <w:tcW w:w="1213" w:type="pct"/>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249F198" w14:textId="22C5BADA" w:rsidR="00947C1B" w:rsidRPr="00947C1B" w:rsidRDefault="00947C1B" w:rsidP="00A720EF">
            <w:pPr>
              <w:spacing w:after="0" w:line="240" w:lineRule="auto"/>
              <w:jc w:val="right"/>
              <w:rPr>
                <w:rFonts w:ascii="Arial" w:hAnsi="Arial" w:cs="Arial"/>
                <w:color w:val="auto"/>
                <w:sz w:val="16"/>
                <w:szCs w:val="16"/>
              </w:rPr>
            </w:pPr>
            <w:r w:rsidRPr="00947C1B">
              <w:rPr>
                <w:rFonts w:ascii="Arial" w:hAnsi="Arial" w:cs="Arial"/>
                <w:color w:val="auto"/>
                <w:sz w:val="16"/>
                <w:szCs w:val="16"/>
              </w:rPr>
              <w:t xml:space="preserve"> Non</w:t>
            </w:r>
            <w:r w:rsidR="00BD4D19">
              <w:rPr>
                <w:rFonts w:ascii="Arial" w:hAnsi="Arial" w:cs="Arial"/>
                <w:color w:val="auto"/>
                <w:sz w:val="16"/>
                <w:szCs w:val="16"/>
              </w:rPr>
              <w:noBreakHyphen/>
            </w:r>
            <w:r w:rsidR="00BC22E4">
              <w:rPr>
                <w:rFonts w:ascii="Arial" w:hAnsi="Arial" w:cs="Arial"/>
                <w:color w:val="auto"/>
                <w:sz w:val="16"/>
                <w:szCs w:val="16"/>
              </w:rPr>
              <w:t>zero dollar threshold</w:t>
            </w:r>
            <w:r w:rsidRPr="00947C1B">
              <w:rPr>
                <w:rFonts w:ascii="Arial" w:hAnsi="Arial" w:cs="Arial"/>
                <w:color w:val="auto"/>
                <w:sz w:val="16"/>
                <w:szCs w:val="16"/>
              </w:rPr>
              <w:t xml:space="preserve"> </w:t>
            </w:r>
          </w:p>
        </w:tc>
      </w:tr>
      <w:tr w:rsidR="00947C1B" w:rsidRPr="00947C1B" w14:paraId="6C601FCC" w14:textId="77777777" w:rsidTr="00514A9F">
        <w:tblPrEx>
          <w:tblCellMar>
            <w:left w:w="108" w:type="dxa"/>
            <w:right w:w="108" w:type="dxa"/>
          </w:tblCellMar>
        </w:tblPrEx>
        <w:trPr>
          <w:trHeight w:val="227"/>
        </w:trPr>
        <w:tc>
          <w:tcPr>
            <w:tcW w:w="2772" w:type="pct"/>
            <w:tcBorders>
              <w:top w:val="nil"/>
              <w:left w:val="nil"/>
              <w:bottom w:val="single" w:sz="4" w:space="0" w:color="auto"/>
              <w:right w:val="nil"/>
            </w:tcBorders>
            <w:shd w:val="clear" w:color="000000" w:fill="FFFFFF"/>
            <w:noWrap/>
            <w:vAlign w:val="center"/>
            <w:hideMark/>
          </w:tcPr>
          <w:p w14:paraId="5631C0F8" w14:textId="77777777" w:rsidR="00947C1B" w:rsidRPr="00947C1B" w:rsidRDefault="00947C1B" w:rsidP="000853B3">
            <w:pPr>
              <w:spacing w:after="0" w:line="240" w:lineRule="auto"/>
              <w:jc w:val="left"/>
              <w:rPr>
                <w:rFonts w:ascii="Arial" w:hAnsi="Arial" w:cs="Arial"/>
                <w:color w:val="auto"/>
                <w:sz w:val="16"/>
                <w:szCs w:val="16"/>
              </w:rPr>
            </w:pPr>
            <w:r w:rsidRPr="00947C1B">
              <w:rPr>
                <w:rFonts w:ascii="Arial" w:hAnsi="Arial" w:cs="Arial"/>
                <w:color w:val="auto"/>
                <w:sz w:val="16"/>
                <w:szCs w:val="16"/>
              </w:rPr>
              <w:t>Outcome</w:t>
            </w:r>
          </w:p>
        </w:tc>
        <w:tc>
          <w:tcPr>
            <w:tcW w:w="1015" w:type="pct"/>
            <w:tcBorders>
              <w:top w:val="nil"/>
              <w:left w:val="nil"/>
              <w:bottom w:val="single" w:sz="4" w:space="0" w:color="auto"/>
              <w:right w:val="nil"/>
            </w:tcBorders>
            <w:shd w:val="clear" w:color="auto" w:fill="auto"/>
            <w:noWrap/>
            <w:vAlign w:val="center"/>
            <w:hideMark/>
          </w:tcPr>
          <w:p w14:paraId="4DC4CF65" w14:textId="77777777" w:rsidR="00947C1B" w:rsidRPr="00947C1B" w:rsidRDefault="00947C1B" w:rsidP="000853B3">
            <w:pPr>
              <w:spacing w:after="0" w:line="240" w:lineRule="auto"/>
              <w:jc w:val="right"/>
              <w:rPr>
                <w:rFonts w:ascii="Arial" w:hAnsi="Arial" w:cs="Arial"/>
                <w:color w:val="auto"/>
                <w:sz w:val="16"/>
                <w:szCs w:val="16"/>
              </w:rPr>
            </w:pPr>
            <w:r w:rsidRPr="00947C1B">
              <w:rPr>
                <w:rFonts w:ascii="Arial" w:hAnsi="Arial" w:cs="Arial"/>
                <w:color w:val="auto"/>
                <w:sz w:val="16"/>
                <w:szCs w:val="16"/>
              </w:rPr>
              <w:t xml:space="preserve"> $b </w:t>
            </w:r>
          </w:p>
        </w:tc>
        <w:tc>
          <w:tcPr>
            <w:tcW w:w="1213" w:type="pct"/>
            <w:tcBorders>
              <w:top w:val="nil"/>
              <w:left w:val="nil"/>
              <w:bottom w:val="single" w:sz="4" w:space="0" w:color="auto"/>
              <w:right w:val="nil"/>
            </w:tcBorders>
            <w:shd w:val="clear" w:color="auto" w:fill="auto"/>
            <w:noWrap/>
            <w:vAlign w:val="center"/>
            <w:hideMark/>
          </w:tcPr>
          <w:p w14:paraId="125545B6" w14:textId="77777777" w:rsidR="00947C1B" w:rsidRPr="00947C1B" w:rsidRDefault="00947C1B" w:rsidP="000853B3">
            <w:pPr>
              <w:spacing w:after="0" w:line="240" w:lineRule="auto"/>
              <w:jc w:val="right"/>
              <w:rPr>
                <w:rFonts w:ascii="Arial" w:hAnsi="Arial" w:cs="Arial"/>
                <w:color w:val="auto"/>
                <w:sz w:val="16"/>
                <w:szCs w:val="16"/>
              </w:rPr>
            </w:pPr>
            <w:r w:rsidRPr="00947C1B">
              <w:rPr>
                <w:rFonts w:ascii="Arial" w:hAnsi="Arial" w:cs="Arial"/>
                <w:color w:val="auto"/>
                <w:sz w:val="16"/>
                <w:szCs w:val="16"/>
              </w:rPr>
              <w:t xml:space="preserve"> $b </w:t>
            </w:r>
          </w:p>
        </w:tc>
      </w:tr>
      <w:tr w:rsidR="00947C1B" w:rsidRPr="00947C1B" w14:paraId="60149C1B" w14:textId="77777777" w:rsidTr="00514A9F">
        <w:tblPrEx>
          <w:tblCellMar>
            <w:left w:w="108" w:type="dxa"/>
            <w:right w:w="108" w:type="dxa"/>
          </w:tblCellMar>
        </w:tblPrEx>
        <w:trPr>
          <w:trHeight w:val="227"/>
        </w:trPr>
        <w:tc>
          <w:tcPr>
            <w:tcW w:w="2772" w:type="pct"/>
            <w:tcBorders>
              <w:top w:val="nil"/>
              <w:left w:val="nil"/>
              <w:bottom w:val="nil"/>
              <w:right w:val="nil"/>
            </w:tcBorders>
            <w:shd w:val="clear" w:color="000000" w:fill="FFFFFF"/>
            <w:noWrap/>
            <w:vAlign w:val="center"/>
            <w:hideMark/>
          </w:tcPr>
          <w:p w14:paraId="3EB0B64B" w14:textId="77777777" w:rsidR="00947C1B" w:rsidRPr="00947C1B" w:rsidRDefault="00947C1B" w:rsidP="00CA14A1">
            <w:pPr>
              <w:spacing w:after="0" w:line="240" w:lineRule="auto"/>
              <w:jc w:val="left"/>
              <w:rPr>
                <w:rFonts w:ascii="Arial" w:hAnsi="Arial" w:cs="Arial"/>
                <w:color w:val="auto"/>
                <w:sz w:val="16"/>
                <w:szCs w:val="16"/>
              </w:rPr>
            </w:pPr>
            <w:r w:rsidRPr="00947C1B">
              <w:rPr>
                <w:rFonts w:ascii="Arial" w:hAnsi="Arial" w:cs="Arial"/>
                <w:color w:val="auto"/>
                <w:sz w:val="16"/>
                <w:szCs w:val="16"/>
              </w:rPr>
              <w:t xml:space="preserve"> Approved without conditions </w:t>
            </w:r>
          </w:p>
        </w:tc>
        <w:tc>
          <w:tcPr>
            <w:tcW w:w="1015" w:type="pct"/>
            <w:tcBorders>
              <w:top w:val="nil"/>
              <w:left w:val="nil"/>
              <w:bottom w:val="nil"/>
              <w:right w:val="nil"/>
            </w:tcBorders>
            <w:shd w:val="clear" w:color="auto" w:fill="auto"/>
            <w:noWrap/>
            <w:vAlign w:val="center"/>
            <w:hideMark/>
          </w:tcPr>
          <w:p w14:paraId="1C4E255A" w14:textId="77777777" w:rsidR="00947C1B" w:rsidRPr="00947C1B" w:rsidRDefault="00947C1B" w:rsidP="000853B3">
            <w:pPr>
              <w:spacing w:after="0" w:line="240" w:lineRule="auto"/>
              <w:jc w:val="right"/>
              <w:rPr>
                <w:rFonts w:ascii="Arial" w:hAnsi="Arial" w:cs="Arial"/>
                <w:color w:val="auto"/>
                <w:sz w:val="16"/>
                <w:szCs w:val="16"/>
              </w:rPr>
            </w:pPr>
            <w:r w:rsidRPr="00947C1B">
              <w:rPr>
                <w:rFonts w:ascii="Arial" w:hAnsi="Arial" w:cs="Arial"/>
                <w:color w:val="auto"/>
                <w:sz w:val="16"/>
                <w:szCs w:val="16"/>
              </w:rPr>
              <w:t>2.2</w:t>
            </w:r>
          </w:p>
        </w:tc>
        <w:tc>
          <w:tcPr>
            <w:tcW w:w="1213" w:type="pct"/>
            <w:tcBorders>
              <w:top w:val="nil"/>
              <w:left w:val="nil"/>
              <w:bottom w:val="nil"/>
              <w:right w:val="nil"/>
            </w:tcBorders>
            <w:shd w:val="clear" w:color="auto" w:fill="auto"/>
            <w:noWrap/>
            <w:vAlign w:val="center"/>
            <w:hideMark/>
          </w:tcPr>
          <w:p w14:paraId="7CFBB9D2" w14:textId="77777777" w:rsidR="00947C1B" w:rsidRPr="00947C1B" w:rsidRDefault="00947C1B" w:rsidP="000853B3">
            <w:pPr>
              <w:spacing w:after="0" w:line="240" w:lineRule="auto"/>
              <w:jc w:val="right"/>
              <w:rPr>
                <w:rFonts w:ascii="Arial" w:hAnsi="Arial" w:cs="Arial"/>
                <w:color w:val="auto"/>
                <w:sz w:val="16"/>
                <w:szCs w:val="16"/>
              </w:rPr>
            </w:pPr>
            <w:r w:rsidRPr="00947C1B">
              <w:rPr>
                <w:rFonts w:ascii="Arial" w:hAnsi="Arial" w:cs="Arial"/>
                <w:color w:val="auto"/>
                <w:sz w:val="16"/>
                <w:szCs w:val="16"/>
              </w:rPr>
              <w:t>54.3</w:t>
            </w:r>
          </w:p>
        </w:tc>
      </w:tr>
      <w:tr w:rsidR="00947C1B" w:rsidRPr="00947C1B" w14:paraId="234CC72A" w14:textId="77777777" w:rsidTr="00514A9F">
        <w:tblPrEx>
          <w:tblCellMar>
            <w:left w:w="108" w:type="dxa"/>
            <w:right w:w="108" w:type="dxa"/>
          </w:tblCellMar>
        </w:tblPrEx>
        <w:trPr>
          <w:trHeight w:val="227"/>
        </w:trPr>
        <w:tc>
          <w:tcPr>
            <w:tcW w:w="2772" w:type="pct"/>
            <w:tcBorders>
              <w:top w:val="nil"/>
              <w:left w:val="nil"/>
              <w:bottom w:val="nil"/>
              <w:right w:val="nil"/>
            </w:tcBorders>
            <w:shd w:val="clear" w:color="000000" w:fill="FFFFFF"/>
            <w:noWrap/>
            <w:vAlign w:val="center"/>
            <w:hideMark/>
          </w:tcPr>
          <w:p w14:paraId="11B5AA87" w14:textId="77777777" w:rsidR="00947C1B" w:rsidRPr="00947C1B" w:rsidRDefault="00947C1B" w:rsidP="000853B3">
            <w:pPr>
              <w:spacing w:after="0" w:line="240" w:lineRule="auto"/>
              <w:jc w:val="left"/>
              <w:rPr>
                <w:rFonts w:ascii="Arial" w:hAnsi="Arial" w:cs="Arial"/>
                <w:color w:val="auto"/>
                <w:sz w:val="16"/>
                <w:szCs w:val="16"/>
              </w:rPr>
            </w:pPr>
            <w:r w:rsidRPr="00947C1B">
              <w:rPr>
                <w:rFonts w:ascii="Arial" w:hAnsi="Arial" w:cs="Arial"/>
                <w:color w:val="auto"/>
                <w:sz w:val="16"/>
                <w:szCs w:val="16"/>
              </w:rPr>
              <w:t xml:space="preserve"> Approved with conditions </w:t>
            </w:r>
          </w:p>
        </w:tc>
        <w:tc>
          <w:tcPr>
            <w:tcW w:w="1015" w:type="pct"/>
            <w:tcBorders>
              <w:top w:val="nil"/>
              <w:left w:val="nil"/>
              <w:bottom w:val="single" w:sz="4" w:space="0" w:color="auto"/>
              <w:right w:val="nil"/>
            </w:tcBorders>
            <w:shd w:val="clear" w:color="auto" w:fill="auto"/>
            <w:noWrap/>
            <w:vAlign w:val="center"/>
            <w:hideMark/>
          </w:tcPr>
          <w:p w14:paraId="015BB40B" w14:textId="77777777" w:rsidR="00947C1B" w:rsidRPr="00947C1B" w:rsidRDefault="00947C1B" w:rsidP="000853B3">
            <w:pPr>
              <w:spacing w:after="0" w:line="240" w:lineRule="auto"/>
              <w:jc w:val="right"/>
              <w:rPr>
                <w:rFonts w:ascii="Arial" w:hAnsi="Arial" w:cs="Arial"/>
                <w:color w:val="auto"/>
                <w:sz w:val="16"/>
                <w:szCs w:val="16"/>
              </w:rPr>
            </w:pPr>
            <w:r w:rsidRPr="00947C1B">
              <w:rPr>
                <w:rFonts w:ascii="Arial" w:hAnsi="Arial" w:cs="Arial"/>
                <w:color w:val="auto"/>
                <w:sz w:val="16"/>
                <w:szCs w:val="16"/>
              </w:rPr>
              <w:t>0.5</w:t>
            </w:r>
          </w:p>
        </w:tc>
        <w:tc>
          <w:tcPr>
            <w:tcW w:w="1213" w:type="pct"/>
            <w:tcBorders>
              <w:top w:val="nil"/>
              <w:left w:val="nil"/>
              <w:bottom w:val="single" w:sz="4" w:space="0" w:color="auto"/>
              <w:right w:val="nil"/>
            </w:tcBorders>
            <w:shd w:val="clear" w:color="auto" w:fill="auto"/>
            <w:noWrap/>
            <w:vAlign w:val="center"/>
            <w:hideMark/>
          </w:tcPr>
          <w:p w14:paraId="3616C9E9" w14:textId="77777777" w:rsidR="00947C1B" w:rsidRPr="00947C1B" w:rsidRDefault="00947C1B" w:rsidP="000853B3">
            <w:pPr>
              <w:spacing w:after="0" w:line="240" w:lineRule="auto"/>
              <w:jc w:val="right"/>
              <w:rPr>
                <w:rFonts w:ascii="Arial" w:hAnsi="Arial" w:cs="Arial"/>
                <w:color w:val="auto"/>
                <w:sz w:val="16"/>
                <w:szCs w:val="16"/>
              </w:rPr>
            </w:pPr>
            <w:r w:rsidRPr="00947C1B">
              <w:rPr>
                <w:rFonts w:ascii="Arial" w:hAnsi="Arial" w:cs="Arial"/>
                <w:color w:val="auto"/>
                <w:sz w:val="16"/>
                <w:szCs w:val="16"/>
              </w:rPr>
              <w:t>138.5</w:t>
            </w:r>
          </w:p>
        </w:tc>
      </w:tr>
      <w:tr w:rsidR="00947C1B" w:rsidRPr="00947C1B" w14:paraId="0FB78B85" w14:textId="77777777" w:rsidTr="00514A9F">
        <w:tblPrEx>
          <w:tblCellMar>
            <w:left w:w="108" w:type="dxa"/>
            <w:right w:w="108" w:type="dxa"/>
          </w:tblCellMar>
        </w:tblPrEx>
        <w:trPr>
          <w:trHeight w:val="227"/>
        </w:trPr>
        <w:tc>
          <w:tcPr>
            <w:tcW w:w="2772" w:type="pct"/>
            <w:tcBorders>
              <w:top w:val="nil"/>
              <w:left w:val="nil"/>
              <w:bottom w:val="nil"/>
              <w:right w:val="nil"/>
            </w:tcBorders>
            <w:shd w:val="clear" w:color="000000" w:fill="FFFFFF"/>
            <w:noWrap/>
            <w:vAlign w:val="center"/>
            <w:hideMark/>
          </w:tcPr>
          <w:p w14:paraId="53815B31" w14:textId="77777777" w:rsidR="00947C1B" w:rsidRPr="00947C1B" w:rsidRDefault="00947C1B" w:rsidP="000853B3">
            <w:pPr>
              <w:spacing w:after="0" w:line="240" w:lineRule="auto"/>
              <w:ind w:firstLineChars="100" w:firstLine="161"/>
              <w:jc w:val="left"/>
              <w:rPr>
                <w:rFonts w:ascii="Arial" w:hAnsi="Arial" w:cs="Arial"/>
                <w:b/>
                <w:bCs/>
                <w:color w:val="auto"/>
                <w:sz w:val="16"/>
                <w:szCs w:val="16"/>
              </w:rPr>
            </w:pPr>
            <w:r w:rsidRPr="00947C1B">
              <w:rPr>
                <w:rFonts w:ascii="Arial" w:hAnsi="Arial" w:cs="Arial"/>
                <w:b/>
                <w:bCs/>
                <w:color w:val="auto"/>
                <w:sz w:val="16"/>
                <w:szCs w:val="16"/>
              </w:rPr>
              <w:t xml:space="preserve"> Total approved </w:t>
            </w:r>
          </w:p>
        </w:tc>
        <w:tc>
          <w:tcPr>
            <w:tcW w:w="1015" w:type="pct"/>
            <w:tcBorders>
              <w:top w:val="nil"/>
              <w:left w:val="nil"/>
              <w:bottom w:val="nil"/>
              <w:right w:val="nil"/>
            </w:tcBorders>
            <w:shd w:val="clear" w:color="auto" w:fill="auto"/>
            <w:noWrap/>
            <w:vAlign w:val="center"/>
            <w:hideMark/>
          </w:tcPr>
          <w:p w14:paraId="249444D6" w14:textId="77777777" w:rsidR="00947C1B" w:rsidRPr="00947C1B" w:rsidRDefault="00947C1B" w:rsidP="000853B3">
            <w:pPr>
              <w:spacing w:after="0" w:line="240" w:lineRule="auto"/>
              <w:jc w:val="right"/>
              <w:rPr>
                <w:rFonts w:ascii="Arial" w:hAnsi="Arial" w:cs="Arial"/>
                <w:b/>
                <w:bCs/>
                <w:color w:val="auto"/>
                <w:sz w:val="16"/>
                <w:szCs w:val="16"/>
              </w:rPr>
            </w:pPr>
            <w:r w:rsidRPr="00947C1B">
              <w:rPr>
                <w:rFonts w:ascii="Arial" w:hAnsi="Arial" w:cs="Arial"/>
                <w:b/>
                <w:bCs/>
                <w:color w:val="auto"/>
                <w:sz w:val="16"/>
                <w:szCs w:val="16"/>
              </w:rPr>
              <w:t>2.7</w:t>
            </w:r>
          </w:p>
        </w:tc>
        <w:tc>
          <w:tcPr>
            <w:tcW w:w="1213" w:type="pct"/>
            <w:tcBorders>
              <w:top w:val="nil"/>
              <w:left w:val="nil"/>
              <w:bottom w:val="nil"/>
              <w:right w:val="nil"/>
            </w:tcBorders>
            <w:shd w:val="clear" w:color="auto" w:fill="auto"/>
            <w:noWrap/>
            <w:vAlign w:val="center"/>
            <w:hideMark/>
          </w:tcPr>
          <w:p w14:paraId="67219E01" w14:textId="77777777" w:rsidR="00947C1B" w:rsidRPr="00947C1B" w:rsidRDefault="00947C1B" w:rsidP="000853B3">
            <w:pPr>
              <w:spacing w:after="0" w:line="240" w:lineRule="auto"/>
              <w:jc w:val="right"/>
              <w:rPr>
                <w:rFonts w:ascii="Arial" w:hAnsi="Arial" w:cs="Arial"/>
                <w:b/>
                <w:bCs/>
                <w:color w:val="auto"/>
                <w:sz w:val="16"/>
                <w:szCs w:val="16"/>
              </w:rPr>
            </w:pPr>
            <w:r w:rsidRPr="00947C1B">
              <w:rPr>
                <w:rFonts w:ascii="Arial" w:hAnsi="Arial" w:cs="Arial"/>
                <w:b/>
                <w:bCs/>
                <w:color w:val="auto"/>
                <w:sz w:val="16"/>
                <w:szCs w:val="16"/>
              </w:rPr>
              <w:t>192.8</w:t>
            </w:r>
          </w:p>
        </w:tc>
      </w:tr>
      <w:tr w:rsidR="00947C1B" w:rsidRPr="00947C1B" w14:paraId="6490A0E9" w14:textId="77777777" w:rsidTr="00514A9F">
        <w:tblPrEx>
          <w:tblCellMar>
            <w:left w:w="108" w:type="dxa"/>
            <w:right w:w="108" w:type="dxa"/>
          </w:tblCellMar>
        </w:tblPrEx>
        <w:trPr>
          <w:trHeight w:val="227"/>
        </w:trPr>
        <w:tc>
          <w:tcPr>
            <w:tcW w:w="2772" w:type="pct"/>
            <w:tcBorders>
              <w:top w:val="nil"/>
              <w:left w:val="nil"/>
              <w:bottom w:val="nil"/>
              <w:right w:val="nil"/>
            </w:tcBorders>
            <w:shd w:val="clear" w:color="000000" w:fill="FFFFFF"/>
            <w:noWrap/>
            <w:vAlign w:val="center"/>
            <w:hideMark/>
          </w:tcPr>
          <w:p w14:paraId="0F702A29" w14:textId="77777777" w:rsidR="00947C1B" w:rsidRPr="00947C1B" w:rsidRDefault="00947C1B" w:rsidP="000853B3">
            <w:pPr>
              <w:spacing w:after="0" w:line="240" w:lineRule="auto"/>
              <w:jc w:val="left"/>
              <w:rPr>
                <w:rFonts w:ascii="Arial" w:hAnsi="Arial" w:cs="Arial"/>
                <w:color w:val="auto"/>
                <w:sz w:val="16"/>
                <w:szCs w:val="16"/>
              </w:rPr>
            </w:pPr>
            <w:r w:rsidRPr="00947C1B">
              <w:rPr>
                <w:rFonts w:ascii="Arial" w:hAnsi="Arial" w:cs="Arial"/>
                <w:color w:val="auto"/>
                <w:sz w:val="16"/>
                <w:szCs w:val="16"/>
              </w:rPr>
              <w:t xml:space="preserve"> Rejected </w:t>
            </w:r>
          </w:p>
        </w:tc>
        <w:tc>
          <w:tcPr>
            <w:tcW w:w="1015" w:type="pct"/>
            <w:tcBorders>
              <w:top w:val="nil"/>
              <w:left w:val="nil"/>
              <w:bottom w:val="nil"/>
              <w:right w:val="nil"/>
            </w:tcBorders>
            <w:shd w:val="clear" w:color="auto" w:fill="auto"/>
            <w:noWrap/>
            <w:vAlign w:val="center"/>
            <w:hideMark/>
          </w:tcPr>
          <w:p w14:paraId="5D0E2D40" w14:textId="44CD80A8" w:rsidR="00947C1B" w:rsidRPr="00947C1B" w:rsidRDefault="00BD4D19" w:rsidP="000853B3">
            <w:pPr>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1213" w:type="pct"/>
            <w:tcBorders>
              <w:top w:val="nil"/>
              <w:left w:val="nil"/>
              <w:bottom w:val="nil"/>
              <w:right w:val="nil"/>
            </w:tcBorders>
            <w:shd w:val="clear" w:color="auto" w:fill="auto"/>
            <w:noWrap/>
            <w:vAlign w:val="center"/>
            <w:hideMark/>
          </w:tcPr>
          <w:p w14:paraId="03EADF99" w14:textId="77777777" w:rsidR="00947C1B" w:rsidRPr="00947C1B" w:rsidRDefault="00947C1B" w:rsidP="000853B3">
            <w:pPr>
              <w:spacing w:after="0" w:line="240" w:lineRule="auto"/>
              <w:jc w:val="right"/>
              <w:rPr>
                <w:rFonts w:ascii="Arial" w:hAnsi="Arial" w:cs="Arial"/>
                <w:color w:val="auto"/>
                <w:sz w:val="16"/>
                <w:szCs w:val="16"/>
              </w:rPr>
            </w:pPr>
            <w:r w:rsidRPr="00947C1B">
              <w:rPr>
                <w:rFonts w:ascii="Arial" w:hAnsi="Arial" w:cs="Arial"/>
                <w:color w:val="auto"/>
                <w:sz w:val="16"/>
                <w:szCs w:val="16"/>
              </w:rPr>
              <w:t>0.0</w:t>
            </w:r>
          </w:p>
        </w:tc>
      </w:tr>
      <w:tr w:rsidR="00947C1B" w:rsidRPr="00947C1B" w14:paraId="4768F272" w14:textId="77777777" w:rsidTr="00514A9F">
        <w:tblPrEx>
          <w:tblCellMar>
            <w:left w:w="108" w:type="dxa"/>
            <w:right w:w="108" w:type="dxa"/>
          </w:tblCellMar>
        </w:tblPrEx>
        <w:trPr>
          <w:trHeight w:val="227"/>
        </w:trPr>
        <w:tc>
          <w:tcPr>
            <w:tcW w:w="2772" w:type="pct"/>
            <w:tcBorders>
              <w:top w:val="nil"/>
              <w:left w:val="nil"/>
              <w:bottom w:val="nil"/>
              <w:right w:val="nil"/>
            </w:tcBorders>
            <w:shd w:val="clear" w:color="auto" w:fill="auto"/>
            <w:noWrap/>
            <w:vAlign w:val="center"/>
            <w:hideMark/>
          </w:tcPr>
          <w:p w14:paraId="1B79EA8E" w14:textId="77777777" w:rsidR="00947C1B" w:rsidRPr="00947C1B" w:rsidRDefault="00947C1B" w:rsidP="000853B3">
            <w:pPr>
              <w:spacing w:after="0" w:line="240" w:lineRule="auto"/>
              <w:jc w:val="left"/>
              <w:rPr>
                <w:rFonts w:ascii="Arial" w:hAnsi="Arial" w:cs="Arial"/>
                <w:color w:val="auto"/>
                <w:sz w:val="16"/>
                <w:szCs w:val="16"/>
              </w:rPr>
            </w:pPr>
            <w:r w:rsidRPr="00947C1B">
              <w:rPr>
                <w:rFonts w:ascii="Arial" w:hAnsi="Arial" w:cs="Arial"/>
                <w:color w:val="auto"/>
                <w:sz w:val="16"/>
                <w:szCs w:val="16"/>
              </w:rPr>
              <w:t xml:space="preserve"> Declined </w:t>
            </w:r>
          </w:p>
        </w:tc>
        <w:tc>
          <w:tcPr>
            <w:tcW w:w="1015" w:type="pct"/>
            <w:tcBorders>
              <w:top w:val="nil"/>
              <w:left w:val="nil"/>
              <w:bottom w:val="single" w:sz="4" w:space="0" w:color="auto"/>
              <w:right w:val="nil"/>
            </w:tcBorders>
            <w:shd w:val="clear" w:color="auto" w:fill="auto"/>
            <w:noWrap/>
            <w:vAlign w:val="center"/>
            <w:hideMark/>
          </w:tcPr>
          <w:p w14:paraId="2F28103F" w14:textId="58577AB8" w:rsidR="00947C1B" w:rsidRPr="00947C1B" w:rsidRDefault="00BD4D19" w:rsidP="000853B3">
            <w:pPr>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1213" w:type="pct"/>
            <w:tcBorders>
              <w:top w:val="nil"/>
              <w:left w:val="nil"/>
              <w:bottom w:val="single" w:sz="4" w:space="0" w:color="auto"/>
              <w:right w:val="nil"/>
            </w:tcBorders>
            <w:shd w:val="clear" w:color="auto" w:fill="auto"/>
            <w:noWrap/>
            <w:vAlign w:val="center"/>
            <w:hideMark/>
          </w:tcPr>
          <w:p w14:paraId="2F03FF61" w14:textId="72653CCF" w:rsidR="00947C1B" w:rsidRPr="00947C1B" w:rsidRDefault="00BD4D19" w:rsidP="000853B3">
            <w:pPr>
              <w:spacing w:after="0" w:line="240" w:lineRule="auto"/>
              <w:jc w:val="right"/>
              <w:rPr>
                <w:rFonts w:ascii="Arial" w:hAnsi="Arial" w:cs="Arial"/>
                <w:color w:val="auto"/>
                <w:sz w:val="16"/>
                <w:szCs w:val="16"/>
              </w:rPr>
            </w:pPr>
            <w:r>
              <w:rPr>
                <w:rFonts w:ascii="Arial" w:hAnsi="Arial" w:cs="Arial"/>
                <w:color w:val="auto"/>
                <w:sz w:val="16"/>
                <w:szCs w:val="16"/>
              </w:rPr>
              <w:noBreakHyphen/>
            </w:r>
          </w:p>
        </w:tc>
      </w:tr>
      <w:tr w:rsidR="00947C1B" w:rsidRPr="00947C1B" w14:paraId="1267E65A" w14:textId="77777777" w:rsidTr="00514A9F">
        <w:tblPrEx>
          <w:tblCellMar>
            <w:left w:w="108" w:type="dxa"/>
            <w:right w:w="108" w:type="dxa"/>
          </w:tblCellMar>
        </w:tblPrEx>
        <w:trPr>
          <w:trHeight w:val="227"/>
        </w:trPr>
        <w:tc>
          <w:tcPr>
            <w:tcW w:w="2772" w:type="pct"/>
            <w:tcBorders>
              <w:top w:val="nil"/>
              <w:left w:val="nil"/>
              <w:bottom w:val="single" w:sz="4" w:space="0" w:color="auto"/>
              <w:right w:val="nil"/>
            </w:tcBorders>
            <w:shd w:val="clear" w:color="000000" w:fill="FFFFFF"/>
            <w:noWrap/>
            <w:vAlign w:val="center"/>
            <w:hideMark/>
          </w:tcPr>
          <w:p w14:paraId="2029E0D3" w14:textId="77777777" w:rsidR="00947C1B" w:rsidRPr="00947C1B" w:rsidRDefault="00947C1B" w:rsidP="000853B3">
            <w:pPr>
              <w:spacing w:after="0" w:line="240" w:lineRule="auto"/>
              <w:ind w:firstLineChars="100" w:firstLine="161"/>
              <w:jc w:val="left"/>
              <w:rPr>
                <w:rFonts w:ascii="Arial" w:hAnsi="Arial" w:cs="Arial"/>
                <w:b/>
                <w:bCs/>
                <w:color w:val="auto"/>
                <w:sz w:val="16"/>
                <w:szCs w:val="16"/>
              </w:rPr>
            </w:pPr>
            <w:r w:rsidRPr="00947C1B">
              <w:rPr>
                <w:rFonts w:ascii="Arial" w:hAnsi="Arial" w:cs="Arial"/>
                <w:b/>
                <w:bCs/>
                <w:color w:val="auto"/>
                <w:sz w:val="16"/>
                <w:szCs w:val="16"/>
              </w:rPr>
              <w:t xml:space="preserve"> Total decided </w:t>
            </w:r>
          </w:p>
        </w:tc>
        <w:tc>
          <w:tcPr>
            <w:tcW w:w="1015" w:type="pct"/>
            <w:tcBorders>
              <w:top w:val="nil"/>
              <w:left w:val="nil"/>
              <w:bottom w:val="single" w:sz="4" w:space="0" w:color="auto"/>
              <w:right w:val="nil"/>
            </w:tcBorders>
            <w:shd w:val="clear" w:color="auto" w:fill="auto"/>
            <w:noWrap/>
            <w:vAlign w:val="center"/>
            <w:hideMark/>
          </w:tcPr>
          <w:p w14:paraId="01A2B73A" w14:textId="77777777" w:rsidR="00947C1B" w:rsidRPr="00947C1B" w:rsidRDefault="00947C1B" w:rsidP="000853B3">
            <w:pPr>
              <w:spacing w:after="0" w:line="240" w:lineRule="auto"/>
              <w:jc w:val="right"/>
              <w:rPr>
                <w:rFonts w:ascii="Arial" w:hAnsi="Arial" w:cs="Arial"/>
                <w:b/>
                <w:bCs/>
                <w:color w:val="auto"/>
                <w:sz w:val="16"/>
                <w:szCs w:val="16"/>
              </w:rPr>
            </w:pPr>
            <w:r w:rsidRPr="00947C1B">
              <w:rPr>
                <w:rFonts w:ascii="Arial" w:hAnsi="Arial" w:cs="Arial"/>
                <w:b/>
                <w:bCs/>
                <w:color w:val="auto"/>
                <w:sz w:val="16"/>
                <w:szCs w:val="16"/>
              </w:rPr>
              <w:t>2.7</w:t>
            </w:r>
          </w:p>
        </w:tc>
        <w:tc>
          <w:tcPr>
            <w:tcW w:w="1213" w:type="pct"/>
            <w:tcBorders>
              <w:top w:val="nil"/>
              <w:left w:val="nil"/>
              <w:bottom w:val="single" w:sz="4" w:space="0" w:color="auto"/>
              <w:right w:val="nil"/>
            </w:tcBorders>
            <w:shd w:val="clear" w:color="auto" w:fill="auto"/>
            <w:noWrap/>
            <w:vAlign w:val="center"/>
            <w:hideMark/>
          </w:tcPr>
          <w:p w14:paraId="5A5BE4DD" w14:textId="77777777" w:rsidR="00947C1B" w:rsidRPr="00947C1B" w:rsidRDefault="00947C1B" w:rsidP="000853B3">
            <w:pPr>
              <w:spacing w:after="0" w:line="240" w:lineRule="auto"/>
              <w:jc w:val="right"/>
              <w:rPr>
                <w:rFonts w:ascii="Arial" w:hAnsi="Arial" w:cs="Arial"/>
                <w:b/>
                <w:bCs/>
                <w:color w:val="auto"/>
                <w:sz w:val="16"/>
                <w:szCs w:val="16"/>
              </w:rPr>
            </w:pPr>
            <w:r w:rsidRPr="00947C1B">
              <w:rPr>
                <w:rFonts w:ascii="Arial" w:hAnsi="Arial" w:cs="Arial"/>
                <w:b/>
                <w:bCs/>
                <w:color w:val="auto"/>
                <w:sz w:val="16"/>
                <w:szCs w:val="16"/>
              </w:rPr>
              <w:t>192.8</w:t>
            </w:r>
          </w:p>
        </w:tc>
      </w:tr>
    </w:tbl>
    <w:p w14:paraId="36FCD77F" w14:textId="77777777" w:rsidR="00A359D3" w:rsidRDefault="00A359D3" w:rsidP="00A359D3">
      <w:pPr>
        <w:pStyle w:val="ChartorTableNote"/>
      </w:pPr>
      <w:r w:rsidRPr="00BF48CD">
        <w:t xml:space="preserve">Before republishing this data or comparing between years, thoroughly review the methodological and data caveats in Appendix B. </w:t>
      </w:r>
    </w:p>
    <w:p w14:paraId="1CE403F2" w14:textId="77777777" w:rsidR="00483D26" w:rsidRPr="00483D26" w:rsidRDefault="00483D26" w:rsidP="00377D63">
      <w:pPr>
        <w:pStyle w:val="SingleParagraph"/>
      </w:pPr>
    </w:p>
    <w:p w14:paraId="72782876" w14:textId="257FA3A7" w:rsidR="00507081" w:rsidRPr="00820C89" w:rsidRDefault="00A359D3" w:rsidP="000A08C2">
      <w:pPr>
        <w:pStyle w:val="TableMainHeading"/>
        <w:suppressAutoHyphens/>
      </w:pPr>
      <w:bookmarkStart w:id="89" w:name="_Toc63798273"/>
      <w:bookmarkStart w:id="90" w:name="_Toc73984732"/>
      <w:r>
        <w:t>Table 3.5</w:t>
      </w:r>
      <w:r w:rsidR="00507081" w:rsidRPr="00820C89">
        <w:t>: Total approvals by value of proposed investment range 201</w:t>
      </w:r>
      <w:r w:rsidR="00507081">
        <w:t>6</w:t>
      </w:r>
      <w:r w:rsidR="00454210">
        <w:rPr>
          <w:rFonts w:ascii="Arial" w:hAnsi="Arial" w:cs="Arial"/>
          <w:sz w:val="16"/>
          <w:szCs w:val="16"/>
        </w:rPr>
        <w:t>–</w:t>
      </w:r>
      <w:r w:rsidR="00507081" w:rsidRPr="00820C89">
        <w:t>1</w:t>
      </w:r>
      <w:r w:rsidR="00507081">
        <w:t>7</w:t>
      </w:r>
      <w:r w:rsidR="00507081" w:rsidRPr="00820C89">
        <w:t xml:space="preserve"> to </w:t>
      </w:r>
      <w:r w:rsidR="00454210">
        <w:br/>
      </w:r>
      <w:r w:rsidR="00507081" w:rsidRPr="00820C89">
        <w:t>201</w:t>
      </w:r>
      <w:r w:rsidR="00507081">
        <w:t>9</w:t>
      </w:r>
      <w:r w:rsidR="00454210" w:rsidRPr="00820C89">
        <w:t>–</w:t>
      </w:r>
      <w:r w:rsidR="00507081">
        <w:t>20</w:t>
      </w:r>
      <w:r w:rsidR="00507081" w:rsidRPr="00820C89">
        <w:t xml:space="preserve"> (number and value of approvals)</w:t>
      </w:r>
      <w:bookmarkEnd w:id="89"/>
      <w:bookmarkEnd w:id="90"/>
    </w:p>
    <w:tbl>
      <w:tblPr>
        <w:tblW w:w="5000" w:type="pct"/>
        <w:tblLayout w:type="fixed"/>
        <w:tblLook w:val="04A0" w:firstRow="1" w:lastRow="0" w:firstColumn="1" w:lastColumn="0" w:noHBand="0" w:noVBand="1"/>
      </w:tblPr>
      <w:tblGrid>
        <w:gridCol w:w="2454"/>
        <w:gridCol w:w="725"/>
        <w:gridCol w:w="635"/>
        <w:gridCol w:w="725"/>
        <w:gridCol w:w="635"/>
        <w:gridCol w:w="634"/>
        <w:gridCol w:w="634"/>
        <w:gridCol w:w="634"/>
        <w:gridCol w:w="634"/>
      </w:tblGrid>
      <w:tr w:rsidR="004A1B38" w:rsidRPr="004A1B38" w14:paraId="49356848" w14:textId="77777777" w:rsidTr="00454210">
        <w:trPr>
          <w:trHeight w:val="228"/>
        </w:trPr>
        <w:tc>
          <w:tcPr>
            <w:tcW w:w="1591" w:type="pct"/>
            <w:tcBorders>
              <w:top w:val="single" w:sz="4" w:space="0" w:color="auto"/>
              <w:left w:val="nil"/>
              <w:bottom w:val="nil"/>
              <w:right w:val="nil"/>
            </w:tcBorders>
            <w:shd w:val="clear" w:color="000000" w:fill="FFFFFF"/>
            <w:noWrap/>
            <w:vAlign w:val="center"/>
            <w:hideMark/>
          </w:tcPr>
          <w:p w14:paraId="06B53700"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 </w:t>
            </w:r>
          </w:p>
        </w:tc>
        <w:tc>
          <w:tcPr>
            <w:tcW w:w="882" w:type="pct"/>
            <w:gridSpan w:val="2"/>
            <w:tcBorders>
              <w:top w:val="single" w:sz="4" w:space="0" w:color="auto"/>
              <w:left w:val="nil"/>
              <w:bottom w:val="single" w:sz="4" w:space="0" w:color="auto"/>
              <w:right w:val="nil"/>
            </w:tcBorders>
            <w:shd w:val="clear" w:color="000000" w:fill="FFFFFF"/>
            <w:noWrap/>
            <w:vAlign w:val="center"/>
            <w:hideMark/>
          </w:tcPr>
          <w:p w14:paraId="710B9F7D" w14:textId="37ECF5D3"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2016</w:t>
            </w:r>
            <w:r w:rsidR="00454210">
              <w:rPr>
                <w:rFonts w:ascii="Arial" w:hAnsi="Arial" w:cs="Arial"/>
                <w:sz w:val="16"/>
                <w:szCs w:val="16"/>
              </w:rPr>
              <w:t>–</w:t>
            </w:r>
            <w:r w:rsidRPr="004A1B38">
              <w:rPr>
                <w:rFonts w:ascii="Arial" w:hAnsi="Arial" w:cs="Arial"/>
                <w:sz w:val="16"/>
                <w:szCs w:val="16"/>
              </w:rPr>
              <w:t>17</w:t>
            </w:r>
          </w:p>
        </w:tc>
        <w:tc>
          <w:tcPr>
            <w:tcW w:w="882" w:type="pct"/>
            <w:gridSpan w:val="2"/>
            <w:tcBorders>
              <w:top w:val="single" w:sz="4" w:space="0" w:color="auto"/>
              <w:left w:val="nil"/>
              <w:bottom w:val="single" w:sz="4" w:space="0" w:color="auto"/>
              <w:right w:val="nil"/>
            </w:tcBorders>
            <w:shd w:val="clear" w:color="000000" w:fill="FFFFFF"/>
            <w:noWrap/>
            <w:vAlign w:val="center"/>
            <w:hideMark/>
          </w:tcPr>
          <w:p w14:paraId="65F269DB"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2017</w:t>
            </w:r>
            <w:r w:rsidR="00F26A86">
              <w:rPr>
                <w:rFonts w:ascii="Arial" w:hAnsi="Arial" w:cs="Arial"/>
                <w:sz w:val="16"/>
                <w:szCs w:val="16"/>
              </w:rPr>
              <w:t>–</w:t>
            </w:r>
            <w:r w:rsidRPr="004A1B38">
              <w:rPr>
                <w:rFonts w:ascii="Arial" w:hAnsi="Arial" w:cs="Arial"/>
                <w:sz w:val="16"/>
                <w:szCs w:val="16"/>
              </w:rPr>
              <w:t>18</w:t>
            </w:r>
          </w:p>
        </w:tc>
        <w:tc>
          <w:tcPr>
            <w:tcW w:w="822" w:type="pct"/>
            <w:gridSpan w:val="2"/>
            <w:tcBorders>
              <w:top w:val="single" w:sz="4" w:space="0" w:color="auto"/>
              <w:left w:val="nil"/>
              <w:bottom w:val="single" w:sz="4" w:space="0" w:color="auto"/>
              <w:right w:val="nil"/>
            </w:tcBorders>
            <w:shd w:val="clear" w:color="000000" w:fill="FFFFFF"/>
            <w:noWrap/>
            <w:vAlign w:val="center"/>
            <w:hideMark/>
          </w:tcPr>
          <w:p w14:paraId="1FD3E2AF"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2018</w:t>
            </w:r>
            <w:r w:rsidR="00F26A86">
              <w:rPr>
                <w:rFonts w:ascii="Arial" w:hAnsi="Arial" w:cs="Arial"/>
                <w:sz w:val="16"/>
                <w:szCs w:val="16"/>
              </w:rPr>
              <w:t>–</w:t>
            </w:r>
            <w:r w:rsidRPr="004A1B38">
              <w:rPr>
                <w:rFonts w:ascii="Arial" w:hAnsi="Arial" w:cs="Arial"/>
                <w:sz w:val="16"/>
                <w:szCs w:val="16"/>
              </w:rPr>
              <w:t>19</w:t>
            </w:r>
          </w:p>
        </w:tc>
        <w:tc>
          <w:tcPr>
            <w:tcW w:w="822" w:type="pct"/>
            <w:gridSpan w:val="2"/>
            <w:tcBorders>
              <w:top w:val="single" w:sz="4" w:space="0" w:color="auto"/>
              <w:left w:val="nil"/>
              <w:bottom w:val="single" w:sz="4" w:space="0" w:color="auto"/>
              <w:right w:val="nil"/>
            </w:tcBorders>
            <w:shd w:val="clear" w:color="auto" w:fill="F2F2F2" w:themeFill="background1" w:themeFillShade="F2"/>
            <w:noWrap/>
            <w:vAlign w:val="center"/>
            <w:hideMark/>
          </w:tcPr>
          <w:p w14:paraId="1EAC0B2C" w14:textId="305351B9"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2019</w:t>
            </w:r>
            <w:r w:rsidR="00454210">
              <w:rPr>
                <w:rFonts w:ascii="Arial" w:hAnsi="Arial" w:cs="Arial"/>
                <w:sz w:val="16"/>
                <w:szCs w:val="16"/>
              </w:rPr>
              <w:t>–</w:t>
            </w:r>
            <w:r w:rsidRPr="004A1B38">
              <w:rPr>
                <w:rFonts w:ascii="Arial" w:hAnsi="Arial" w:cs="Arial"/>
                <w:sz w:val="16"/>
                <w:szCs w:val="16"/>
              </w:rPr>
              <w:t>20</w:t>
            </w:r>
          </w:p>
        </w:tc>
      </w:tr>
      <w:tr w:rsidR="004A1B38" w:rsidRPr="004A1B38" w14:paraId="39A0FAE5" w14:textId="77777777" w:rsidTr="00454210">
        <w:trPr>
          <w:trHeight w:val="228"/>
        </w:trPr>
        <w:tc>
          <w:tcPr>
            <w:tcW w:w="1591" w:type="pct"/>
            <w:tcBorders>
              <w:top w:val="nil"/>
              <w:left w:val="nil"/>
              <w:bottom w:val="single" w:sz="4" w:space="0" w:color="000000"/>
              <w:right w:val="nil"/>
            </w:tcBorders>
            <w:shd w:val="clear" w:color="000000" w:fill="FFFFFF"/>
            <w:noWrap/>
            <w:vAlign w:val="center"/>
            <w:hideMark/>
          </w:tcPr>
          <w:p w14:paraId="20EE6F12" w14:textId="77777777" w:rsidR="004A1B38" w:rsidRPr="004A1B38" w:rsidRDefault="004A1B38" w:rsidP="004A1B38">
            <w:pPr>
              <w:spacing w:after="0" w:line="240" w:lineRule="auto"/>
              <w:jc w:val="left"/>
              <w:rPr>
                <w:rFonts w:ascii="Arial" w:hAnsi="Arial" w:cs="Arial"/>
                <w:sz w:val="16"/>
                <w:szCs w:val="16"/>
              </w:rPr>
            </w:pPr>
            <w:r w:rsidRPr="004A1B38">
              <w:rPr>
                <w:rFonts w:ascii="Arial" w:hAnsi="Arial" w:cs="Arial"/>
                <w:sz w:val="16"/>
                <w:szCs w:val="16"/>
              </w:rPr>
              <w:t>Value of approval</w:t>
            </w:r>
          </w:p>
        </w:tc>
        <w:tc>
          <w:tcPr>
            <w:tcW w:w="470" w:type="pct"/>
            <w:tcBorders>
              <w:top w:val="nil"/>
              <w:left w:val="nil"/>
              <w:bottom w:val="single" w:sz="4" w:space="0" w:color="auto"/>
              <w:right w:val="nil"/>
            </w:tcBorders>
            <w:shd w:val="clear" w:color="000000" w:fill="FFFFFF"/>
            <w:noWrap/>
            <w:vAlign w:val="center"/>
            <w:hideMark/>
          </w:tcPr>
          <w:p w14:paraId="7627C201"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No.</w:t>
            </w:r>
          </w:p>
        </w:tc>
        <w:tc>
          <w:tcPr>
            <w:tcW w:w="412" w:type="pct"/>
            <w:tcBorders>
              <w:top w:val="nil"/>
              <w:left w:val="nil"/>
              <w:bottom w:val="single" w:sz="4" w:space="0" w:color="auto"/>
              <w:right w:val="nil"/>
            </w:tcBorders>
            <w:shd w:val="clear" w:color="000000" w:fill="FFFFFF"/>
            <w:noWrap/>
            <w:vAlign w:val="center"/>
            <w:hideMark/>
          </w:tcPr>
          <w:p w14:paraId="6E4A909A"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$b</w:t>
            </w:r>
          </w:p>
        </w:tc>
        <w:tc>
          <w:tcPr>
            <w:tcW w:w="470" w:type="pct"/>
            <w:tcBorders>
              <w:top w:val="nil"/>
              <w:left w:val="nil"/>
              <w:bottom w:val="single" w:sz="4" w:space="0" w:color="auto"/>
              <w:right w:val="nil"/>
            </w:tcBorders>
            <w:shd w:val="clear" w:color="000000" w:fill="FFFFFF"/>
            <w:noWrap/>
            <w:vAlign w:val="center"/>
            <w:hideMark/>
          </w:tcPr>
          <w:p w14:paraId="3D9A680B"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No.</w:t>
            </w:r>
          </w:p>
        </w:tc>
        <w:tc>
          <w:tcPr>
            <w:tcW w:w="412" w:type="pct"/>
            <w:tcBorders>
              <w:top w:val="nil"/>
              <w:left w:val="nil"/>
              <w:bottom w:val="single" w:sz="4" w:space="0" w:color="auto"/>
              <w:right w:val="nil"/>
            </w:tcBorders>
            <w:shd w:val="clear" w:color="000000" w:fill="FFFFFF"/>
            <w:noWrap/>
            <w:vAlign w:val="center"/>
            <w:hideMark/>
          </w:tcPr>
          <w:p w14:paraId="679650D3"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$b</w:t>
            </w:r>
          </w:p>
        </w:tc>
        <w:tc>
          <w:tcPr>
            <w:tcW w:w="411" w:type="pct"/>
            <w:tcBorders>
              <w:top w:val="nil"/>
              <w:left w:val="nil"/>
              <w:bottom w:val="single" w:sz="4" w:space="0" w:color="auto"/>
              <w:right w:val="nil"/>
            </w:tcBorders>
            <w:shd w:val="clear" w:color="000000" w:fill="FFFFFF"/>
            <w:noWrap/>
            <w:vAlign w:val="center"/>
            <w:hideMark/>
          </w:tcPr>
          <w:p w14:paraId="0CA79EE6"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No.</w:t>
            </w:r>
          </w:p>
        </w:tc>
        <w:tc>
          <w:tcPr>
            <w:tcW w:w="411" w:type="pct"/>
            <w:tcBorders>
              <w:top w:val="nil"/>
              <w:left w:val="nil"/>
              <w:bottom w:val="single" w:sz="4" w:space="0" w:color="auto"/>
              <w:right w:val="nil"/>
            </w:tcBorders>
            <w:shd w:val="clear" w:color="000000" w:fill="FFFFFF"/>
            <w:noWrap/>
            <w:vAlign w:val="center"/>
            <w:hideMark/>
          </w:tcPr>
          <w:p w14:paraId="158794C8"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$b</w:t>
            </w:r>
          </w:p>
        </w:tc>
        <w:tc>
          <w:tcPr>
            <w:tcW w:w="411" w:type="pct"/>
            <w:tcBorders>
              <w:top w:val="nil"/>
              <w:left w:val="nil"/>
              <w:bottom w:val="single" w:sz="4" w:space="0" w:color="auto"/>
              <w:right w:val="nil"/>
            </w:tcBorders>
            <w:shd w:val="clear" w:color="auto" w:fill="F2F2F2" w:themeFill="background1" w:themeFillShade="F2"/>
            <w:noWrap/>
            <w:vAlign w:val="center"/>
            <w:hideMark/>
          </w:tcPr>
          <w:p w14:paraId="0D636B1D"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No.</w:t>
            </w:r>
          </w:p>
        </w:tc>
        <w:tc>
          <w:tcPr>
            <w:tcW w:w="411" w:type="pct"/>
            <w:tcBorders>
              <w:top w:val="nil"/>
              <w:left w:val="nil"/>
              <w:bottom w:val="single" w:sz="4" w:space="0" w:color="auto"/>
              <w:right w:val="nil"/>
            </w:tcBorders>
            <w:shd w:val="clear" w:color="auto" w:fill="F2F2F2" w:themeFill="background1" w:themeFillShade="F2"/>
            <w:noWrap/>
            <w:vAlign w:val="center"/>
            <w:hideMark/>
          </w:tcPr>
          <w:p w14:paraId="3A1102B0"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$b</w:t>
            </w:r>
          </w:p>
        </w:tc>
      </w:tr>
      <w:tr w:rsidR="004A1B38" w:rsidRPr="004A1B38" w14:paraId="16E55119" w14:textId="77777777" w:rsidTr="00454210">
        <w:trPr>
          <w:trHeight w:val="228"/>
        </w:trPr>
        <w:tc>
          <w:tcPr>
            <w:tcW w:w="1591" w:type="pct"/>
            <w:tcBorders>
              <w:top w:val="nil"/>
              <w:left w:val="nil"/>
              <w:bottom w:val="nil"/>
              <w:right w:val="nil"/>
            </w:tcBorders>
            <w:shd w:val="clear" w:color="000000" w:fill="FFFFFF"/>
            <w:noWrap/>
            <w:vAlign w:val="center"/>
            <w:hideMark/>
          </w:tcPr>
          <w:p w14:paraId="6FC5FEAD" w14:textId="77777777" w:rsidR="004A1B38" w:rsidRPr="004A1B38" w:rsidRDefault="004A1B38" w:rsidP="004A1B38">
            <w:pPr>
              <w:spacing w:after="0" w:line="240" w:lineRule="auto"/>
              <w:jc w:val="left"/>
              <w:rPr>
                <w:rFonts w:ascii="Arial" w:hAnsi="Arial" w:cs="Arial"/>
                <w:sz w:val="16"/>
                <w:szCs w:val="16"/>
              </w:rPr>
            </w:pPr>
            <w:r w:rsidRPr="004A1B38">
              <w:rPr>
                <w:rFonts w:ascii="Arial" w:hAnsi="Arial" w:cs="Arial"/>
                <w:sz w:val="16"/>
                <w:szCs w:val="16"/>
              </w:rPr>
              <w:t>&lt; $1 million</w:t>
            </w:r>
          </w:p>
        </w:tc>
        <w:tc>
          <w:tcPr>
            <w:tcW w:w="470" w:type="pct"/>
            <w:tcBorders>
              <w:top w:val="nil"/>
              <w:left w:val="nil"/>
              <w:bottom w:val="nil"/>
              <w:right w:val="nil"/>
            </w:tcBorders>
            <w:shd w:val="clear" w:color="000000" w:fill="FFFFFF"/>
            <w:noWrap/>
            <w:vAlign w:val="center"/>
            <w:hideMark/>
          </w:tcPr>
          <w:p w14:paraId="19C82ABC"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10,285</w:t>
            </w:r>
          </w:p>
        </w:tc>
        <w:tc>
          <w:tcPr>
            <w:tcW w:w="412" w:type="pct"/>
            <w:tcBorders>
              <w:top w:val="nil"/>
              <w:left w:val="nil"/>
              <w:bottom w:val="nil"/>
              <w:right w:val="nil"/>
            </w:tcBorders>
            <w:shd w:val="clear" w:color="000000" w:fill="FFFFFF"/>
            <w:noWrap/>
            <w:vAlign w:val="center"/>
            <w:hideMark/>
          </w:tcPr>
          <w:p w14:paraId="2F1C39C0"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5.7</w:t>
            </w:r>
          </w:p>
        </w:tc>
        <w:tc>
          <w:tcPr>
            <w:tcW w:w="470" w:type="pct"/>
            <w:tcBorders>
              <w:top w:val="nil"/>
              <w:left w:val="nil"/>
              <w:bottom w:val="nil"/>
              <w:right w:val="nil"/>
            </w:tcBorders>
            <w:shd w:val="clear" w:color="000000" w:fill="FFFFFF"/>
            <w:noWrap/>
            <w:vAlign w:val="center"/>
            <w:hideMark/>
          </w:tcPr>
          <w:p w14:paraId="68E05137"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7,618</w:t>
            </w:r>
          </w:p>
        </w:tc>
        <w:tc>
          <w:tcPr>
            <w:tcW w:w="412" w:type="pct"/>
            <w:tcBorders>
              <w:top w:val="nil"/>
              <w:left w:val="nil"/>
              <w:bottom w:val="nil"/>
              <w:right w:val="nil"/>
            </w:tcBorders>
            <w:shd w:val="clear" w:color="000000" w:fill="FFFFFF"/>
            <w:noWrap/>
            <w:vAlign w:val="center"/>
            <w:hideMark/>
          </w:tcPr>
          <w:p w14:paraId="00989C5A"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4.1</w:t>
            </w:r>
          </w:p>
        </w:tc>
        <w:tc>
          <w:tcPr>
            <w:tcW w:w="411" w:type="pct"/>
            <w:tcBorders>
              <w:top w:val="nil"/>
              <w:left w:val="nil"/>
              <w:bottom w:val="nil"/>
              <w:right w:val="nil"/>
            </w:tcBorders>
            <w:shd w:val="clear" w:color="000000" w:fill="FFFFFF"/>
            <w:noWrap/>
            <w:vAlign w:val="center"/>
            <w:hideMark/>
          </w:tcPr>
          <w:p w14:paraId="79B2D559"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6,021</w:t>
            </w:r>
          </w:p>
        </w:tc>
        <w:tc>
          <w:tcPr>
            <w:tcW w:w="411" w:type="pct"/>
            <w:tcBorders>
              <w:top w:val="nil"/>
              <w:left w:val="nil"/>
              <w:bottom w:val="nil"/>
              <w:right w:val="nil"/>
            </w:tcBorders>
            <w:shd w:val="clear" w:color="000000" w:fill="FFFFFF"/>
            <w:noWrap/>
            <w:vAlign w:val="center"/>
            <w:hideMark/>
          </w:tcPr>
          <w:p w14:paraId="5CAFC16D"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3.1</w:t>
            </w:r>
          </w:p>
        </w:tc>
        <w:tc>
          <w:tcPr>
            <w:tcW w:w="411" w:type="pct"/>
            <w:tcBorders>
              <w:top w:val="nil"/>
              <w:left w:val="nil"/>
              <w:bottom w:val="nil"/>
              <w:right w:val="nil"/>
            </w:tcBorders>
            <w:shd w:val="clear" w:color="auto" w:fill="F2F2F2" w:themeFill="background1" w:themeFillShade="F2"/>
            <w:noWrap/>
            <w:vAlign w:val="center"/>
            <w:hideMark/>
          </w:tcPr>
          <w:p w14:paraId="5D9C4EFC"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5,665</w:t>
            </w:r>
          </w:p>
        </w:tc>
        <w:tc>
          <w:tcPr>
            <w:tcW w:w="411" w:type="pct"/>
            <w:tcBorders>
              <w:top w:val="nil"/>
              <w:left w:val="nil"/>
              <w:bottom w:val="nil"/>
              <w:right w:val="nil"/>
            </w:tcBorders>
            <w:shd w:val="clear" w:color="auto" w:fill="F2F2F2" w:themeFill="background1" w:themeFillShade="F2"/>
            <w:noWrap/>
            <w:vAlign w:val="center"/>
            <w:hideMark/>
          </w:tcPr>
          <w:p w14:paraId="508EF1F6"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3.0</w:t>
            </w:r>
          </w:p>
        </w:tc>
      </w:tr>
      <w:tr w:rsidR="004A1B38" w:rsidRPr="004A1B38" w14:paraId="64720D8D" w14:textId="77777777" w:rsidTr="00454210">
        <w:trPr>
          <w:trHeight w:val="228"/>
        </w:trPr>
        <w:tc>
          <w:tcPr>
            <w:tcW w:w="1591" w:type="pct"/>
            <w:tcBorders>
              <w:top w:val="nil"/>
              <w:left w:val="nil"/>
              <w:bottom w:val="nil"/>
              <w:right w:val="nil"/>
            </w:tcBorders>
            <w:shd w:val="clear" w:color="000000" w:fill="FFFFFF"/>
            <w:noWrap/>
            <w:vAlign w:val="center"/>
            <w:hideMark/>
          </w:tcPr>
          <w:p w14:paraId="7664E0AE" w14:textId="77777777" w:rsidR="004A1B38" w:rsidRPr="004A1B38" w:rsidRDefault="004A1B38" w:rsidP="004A1B38">
            <w:pPr>
              <w:spacing w:after="0" w:line="240" w:lineRule="auto"/>
              <w:jc w:val="left"/>
              <w:rPr>
                <w:rFonts w:ascii="Arial" w:hAnsi="Arial" w:cs="Arial"/>
                <w:sz w:val="16"/>
                <w:szCs w:val="16"/>
              </w:rPr>
            </w:pPr>
            <w:r w:rsidRPr="004A1B38">
              <w:rPr>
                <w:rFonts w:ascii="Arial" w:hAnsi="Arial" w:cs="Arial"/>
                <w:sz w:val="16"/>
                <w:szCs w:val="16"/>
              </w:rPr>
              <w:t>≥ $1 million &amp; &lt; $50 million</w:t>
            </w:r>
          </w:p>
        </w:tc>
        <w:tc>
          <w:tcPr>
            <w:tcW w:w="470" w:type="pct"/>
            <w:tcBorders>
              <w:top w:val="nil"/>
              <w:left w:val="nil"/>
              <w:bottom w:val="nil"/>
              <w:right w:val="nil"/>
            </w:tcBorders>
            <w:shd w:val="clear" w:color="000000" w:fill="FFFFFF"/>
            <w:noWrap/>
            <w:vAlign w:val="center"/>
            <w:hideMark/>
          </w:tcPr>
          <w:p w14:paraId="170C60AF"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3,516</w:t>
            </w:r>
          </w:p>
        </w:tc>
        <w:tc>
          <w:tcPr>
            <w:tcW w:w="412" w:type="pct"/>
            <w:tcBorders>
              <w:top w:val="nil"/>
              <w:left w:val="nil"/>
              <w:bottom w:val="nil"/>
              <w:right w:val="nil"/>
            </w:tcBorders>
            <w:shd w:val="clear" w:color="000000" w:fill="FFFFFF"/>
            <w:noWrap/>
            <w:vAlign w:val="center"/>
            <w:hideMark/>
          </w:tcPr>
          <w:p w14:paraId="50E5DB96"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13.4</w:t>
            </w:r>
          </w:p>
        </w:tc>
        <w:tc>
          <w:tcPr>
            <w:tcW w:w="470" w:type="pct"/>
            <w:tcBorders>
              <w:top w:val="nil"/>
              <w:left w:val="nil"/>
              <w:bottom w:val="nil"/>
              <w:right w:val="nil"/>
            </w:tcBorders>
            <w:shd w:val="clear" w:color="000000" w:fill="FFFFFF"/>
            <w:noWrap/>
            <w:vAlign w:val="center"/>
            <w:hideMark/>
          </w:tcPr>
          <w:p w14:paraId="1D25E44F"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2,995</w:t>
            </w:r>
          </w:p>
        </w:tc>
        <w:tc>
          <w:tcPr>
            <w:tcW w:w="412" w:type="pct"/>
            <w:tcBorders>
              <w:top w:val="nil"/>
              <w:left w:val="nil"/>
              <w:bottom w:val="nil"/>
              <w:right w:val="nil"/>
            </w:tcBorders>
            <w:shd w:val="clear" w:color="000000" w:fill="FFFFFF"/>
            <w:noWrap/>
            <w:vAlign w:val="center"/>
            <w:hideMark/>
          </w:tcPr>
          <w:p w14:paraId="51B463DE"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11.3</w:t>
            </w:r>
          </w:p>
        </w:tc>
        <w:tc>
          <w:tcPr>
            <w:tcW w:w="411" w:type="pct"/>
            <w:tcBorders>
              <w:top w:val="nil"/>
              <w:left w:val="nil"/>
              <w:bottom w:val="nil"/>
              <w:right w:val="nil"/>
            </w:tcBorders>
            <w:shd w:val="clear" w:color="000000" w:fill="FFFFFF"/>
            <w:noWrap/>
            <w:vAlign w:val="center"/>
            <w:hideMark/>
          </w:tcPr>
          <w:p w14:paraId="10682C32"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2,160</w:t>
            </w:r>
          </w:p>
        </w:tc>
        <w:tc>
          <w:tcPr>
            <w:tcW w:w="411" w:type="pct"/>
            <w:tcBorders>
              <w:top w:val="nil"/>
              <w:left w:val="nil"/>
              <w:bottom w:val="nil"/>
              <w:right w:val="nil"/>
            </w:tcBorders>
            <w:shd w:val="clear" w:color="000000" w:fill="FFFFFF"/>
            <w:noWrap/>
            <w:vAlign w:val="center"/>
            <w:hideMark/>
          </w:tcPr>
          <w:p w14:paraId="077426E6"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10.0</w:t>
            </w:r>
          </w:p>
        </w:tc>
        <w:tc>
          <w:tcPr>
            <w:tcW w:w="411" w:type="pct"/>
            <w:tcBorders>
              <w:top w:val="nil"/>
              <w:left w:val="nil"/>
              <w:bottom w:val="nil"/>
              <w:right w:val="nil"/>
            </w:tcBorders>
            <w:shd w:val="clear" w:color="auto" w:fill="F2F2F2" w:themeFill="background1" w:themeFillShade="F2"/>
            <w:noWrap/>
            <w:vAlign w:val="center"/>
            <w:hideMark/>
          </w:tcPr>
          <w:p w14:paraId="0E0509E5"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2,062</w:t>
            </w:r>
          </w:p>
        </w:tc>
        <w:tc>
          <w:tcPr>
            <w:tcW w:w="411" w:type="pct"/>
            <w:tcBorders>
              <w:top w:val="nil"/>
              <w:left w:val="nil"/>
              <w:bottom w:val="nil"/>
              <w:right w:val="nil"/>
            </w:tcBorders>
            <w:shd w:val="clear" w:color="auto" w:fill="F2F2F2" w:themeFill="background1" w:themeFillShade="F2"/>
            <w:noWrap/>
            <w:vAlign w:val="center"/>
            <w:hideMark/>
          </w:tcPr>
          <w:p w14:paraId="72593C7A"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9.7</w:t>
            </w:r>
          </w:p>
        </w:tc>
      </w:tr>
      <w:tr w:rsidR="004A1B38" w:rsidRPr="004A1B38" w14:paraId="4ACF9511" w14:textId="77777777" w:rsidTr="00454210">
        <w:trPr>
          <w:trHeight w:val="228"/>
        </w:trPr>
        <w:tc>
          <w:tcPr>
            <w:tcW w:w="1591" w:type="pct"/>
            <w:tcBorders>
              <w:top w:val="nil"/>
              <w:left w:val="nil"/>
              <w:bottom w:val="nil"/>
              <w:right w:val="nil"/>
            </w:tcBorders>
            <w:shd w:val="clear" w:color="000000" w:fill="FFFFFF"/>
            <w:noWrap/>
            <w:vAlign w:val="center"/>
            <w:hideMark/>
          </w:tcPr>
          <w:p w14:paraId="067ED688" w14:textId="77777777" w:rsidR="004A1B38" w:rsidRPr="004A1B38" w:rsidRDefault="004A1B38" w:rsidP="004A1B38">
            <w:pPr>
              <w:spacing w:after="0" w:line="240" w:lineRule="auto"/>
              <w:jc w:val="left"/>
              <w:rPr>
                <w:rFonts w:ascii="Arial" w:hAnsi="Arial" w:cs="Arial"/>
                <w:sz w:val="16"/>
                <w:szCs w:val="16"/>
              </w:rPr>
            </w:pPr>
            <w:r w:rsidRPr="004A1B38">
              <w:rPr>
                <w:rFonts w:ascii="Arial" w:hAnsi="Arial" w:cs="Arial"/>
                <w:sz w:val="16"/>
                <w:szCs w:val="16"/>
              </w:rPr>
              <w:t>≥ $50 million &amp; &lt; $100 million</w:t>
            </w:r>
          </w:p>
        </w:tc>
        <w:tc>
          <w:tcPr>
            <w:tcW w:w="470" w:type="pct"/>
            <w:tcBorders>
              <w:top w:val="nil"/>
              <w:left w:val="nil"/>
              <w:bottom w:val="nil"/>
              <w:right w:val="nil"/>
            </w:tcBorders>
            <w:shd w:val="clear" w:color="000000" w:fill="FFFFFF"/>
            <w:noWrap/>
            <w:vAlign w:val="center"/>
            <w:hideMark/>
          </w:tcPr>
          <w:p w14:paraId="4AF8DFFE"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147</w:t>
            </w:r>
          </w:p>
        </w:tc>
        <w:tc>
          <w:tcPr>
            <w:tcW w:w="412" w:type="pct"/>
            <w:tcBorders>
              <w:top w:val="nil"/>
              <w:left w:val="nil"/>
              <w:bottom w:val="nil"/>
              <w:right w:val="nil"/>
            </w:tcBorders>
            <w:shd w:val="clear" w:color="000000" w:fill="FFFFFF"/>
            <w:noWrap/>
            <w:vAlign w:val="center"/>
            <w:hideMark/>
          </w:tcPr>
          <w:p w14:paraId="48B60324"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10.3</w:t>
            </w:r>
          </w:p>
        </w:tc>
        <w:tc>
          <w:tcPr>
            <w:tcW w:w="470" w:type="pct"/>
            <w:tcBorders>
              <w:top w:val="nil"/>
              <w:left w:val="nil"/>
              <w:bottom w:val="nil"/>
              <w:right w:val="nil"/>
            </w:tcBorders>
            <w:shd w:val="clear" w:color="000000" w:fill="FFFFFF"/>
            <w:noWrap/>
            <w:vAlign w:val="center"/>
            <w:hideMark/>
          </w:tcPr>
          <w:p w14:paraId="09A35D30"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103</w:t>
            </w:r>
          </w:p>
        </w:tc>
        <w:tc>
          <w:tcPr>
            <w:tcW w:w="412" w:type="pct"/>
            <w:tcBorders>
              <w:top w:val="nil"/>
              <w:left w:val="nil"/>
              <w:bottom w:val="nil"/>
              <w:right w:val="nil"/>
            </w:tcBorders>
            <w:shd w:val="clear" w:color="000000" w:fill="FFFFFF"/>
            <w:noWrap/>
            <w:vAlign w:val="center"/>
            <w:hideMark/>
          </w:tcPr>
          <w:p w14:paraId="5B3ABD7F"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7.3</w:t>
            </w:r>
          </w:p>
        </w:tc>
        <w:tc>
          <w:tcPr>
            <w:tcW w:w="411" w:type="pct"/>
            <w:tcBorders>
              <w:top w:val="nil"/>
              <w:left w:val="nil"/>
              <w:bottom w:val="nil"/>
              <w:right w:val="nil"/>
            </w:tcBorders>
            <w:shd w:val="clear" w:color="000000" w:fill="FFFFFF"/>
            <w:noWrap/>
            <w:vAlign w:val="center"/>
            <w:hideMark/>
          </w:tcPr>
          <w:p w14:paraId="7784A0C7"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103</w:t>
            </w:r>
          </w:p>
        </w:tc>
        <w:tc>
          <w:tcPr>
            <w:tcW w:w="411" w:type="pct"/>
            <w:tcBorders>
              <w:top w:val="nil"/>
              <w:left w:val="nil"/>
              <w:bottom w:val="nil"/>
              <w:right w:val="nil"/>
            </w:tcBorders>
            <w:shd w:val="clear" w:color="000000" w:fill="FFFFFF"/>
            <w:noWrap/>
            <w:vAlign w:val="center"/>
            <w:hideMark/>
          </w:tcPr>
          <w:p w14:paraId="3618E4DC"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7.2</w:t>
            </w:r>
          </w:p>
        </w:tc>
        <w:tc>
          <w:tcPr>
            <w:tcW w:w="411" w:type="pct"/>
            <w:tcBorders>
              <w:top w:val="nil"/>
              <w:left w:val="nil"/>
              <w:bottom w:val="nil"/>
              <w:right w:val="nil"/>
            </w:tcBorders>
            <w:shd w:val="clear" w:color="auto" w:fill="F2F2F2" w:themeFill="background1" w:themeFillShade="F2"/>
            <w:noWrap/>
            <w:vAlign w:val="center"/>
            <w:hideMark/>
          </w:tcPr>
          <w:p w14:paraId="74109B6B"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88</w:t>
            </w:r>
          </w:p>
        </w:tc>
        <w:tc>
          <w:tcPr>
            <w:tcW w:w="411" w:type="pct"/>
            <w:tcBorders>
              <w:top w:val="nil"/>
              <w:left w:val="nil"/>
              <w:bottom w:val="nil"/>
              <w:right w:val="nil"/>
            </w:tcBorders>
            <w:shd w:val="clear" w:color="auto" w:fill="F2F2F2" w:themeFill="background1" w:themeFillShade="F2"/>
            <w:noWrap/>
            <w:vAlign w:val="center"/>
            <w:hideMark/>
          </w:tcPr>
          <w:p w14:paraId="3C274D5C"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6.1</w:t>
            </w:r>
          </w:p>
        </w:tc>
      </w:tr>
      <w:tr w:rsidR="004A1B38" w:rsidRPr="004A1B38" w14:paraId="16A49AE1" w14:textId="77777777" w:rsidTr="00454210">
        <w:trPr>
          <w:trHeight w:val="228"/>
        </w:trPr>
        <w:tc>
          <w:tcPr>
            <w:tcW w:w="1591" w:type="pct"/>
            <w:tcBorders>
              <w:top w:val="nil"/>
              <w:left w:val="nil"/>
              <w:bottom w:val="nil"/>
              <w:right w:val="nil"/>
            </w:tcBorders>
            <w:shd w:val="clear" w:color="000000" w:fill="FFFFFF"/>
            <w:noWrap/>
            <w:vAlign w:val="center"/>
            <w:hideMark/>
          </w:tcPr>
          <w:p w14:paraId="1896946E" w14:textId="77777777" w:rsidR="004A1B38" w:rsidRPr="004A1B38" w:rsidRDefault="004A1B38" w:rsidP="004A1B38">
            <w:pPr>
              <w:spacing w:after="0" w:line="240" w:lineRule="auto"/>
              <w:jc w:val="left"/>
              <w:rPr>
                <w:rFonts w:ascii="Arial" w:hAnsi="Arial" w:cs="Arial"/>
                <w:sz w:val="16"/>
                <w:szCs w:val="16"/>
              </w:rPr>
            </w:pPr>
            <w:r w:rsidRPr="004A1B38">
              <w:rPr>
                <w:rFonts w:ascii="Arial" w:hAnsi="Arial" w:cs="Arial"/>
                <w:sz w:val="16"/>
                <w:szCs w:val="16"/>
              </w:rPr>
              <w:t>≥ $100 million &amp; &lt; $500 million</w:t>
            </w:r>
          </w:p>
        </w:tc>
        <w:tc>
          <w:tcPr>
            <w:tcW w:w="470" w:type="pct"/>
            <w:tcBorders>
              <w:top w:val="nil"/>
              <w:left w:val="nil"/>
              <w:bottom w:val="nil"/>
              <w:right w:val="nil"/>
            </w:tcBorders>
            <w:shd w:val="clear" w:color="000000" w:fill="FFFFFF"/>
            <w:noWrap/>
            <w:vAlign w:val="center"/>
            <w:hideMark/>
          </w:tcPr>
          <w:p w14:paraId="63C8FEF9"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235</w:t>
            </w:r>
          </w:p>
        </w:tc>
        <w:tc>
          <w:tcPr>
            <w:tcW w:w="412" w:type="pct"/>
            <w:tcBorders>
              <w:top w:val="nil"/>
              <w:left w:val="nil"/>
              <w:bottom w:val="nil"/>
              <w:right w:val="nil"/>
            </w:tcBorders>
            <w:shd w:val="clear" w:color="000000" w:fill="FFFFFF"/>
            <w:noWrap/>
            <w:vAlign w:val="center"/>
            <w:hideMark/>
          </w:tcPr>
          <w:p w14:paraId="30EA8D72"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53.3</w:t>
            </w:r>
          </w:p>
        </w:tc>
        <w:tc>
          <w:tcPr>
            <w:tcW w:w="470" w:type="pct"/>
            <w:tcBorders>
              <w:top w:val="nil"/>
              <w:left w:val="nil"/>
              <w:bottom w:val="nil"/>
              <w:right w:val="nil"/>
            </w:tcBorders>
            <w:shd w:val="clear" w:color="000000" w:fill="FFFFFF"/>
            <w:noWrap/>
            <w:vAlign w:val="center"/>
            <w:hideMark/>
          </w:tcPr>
          <w:p w14:paraId="314112FA"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213</w:t>
            </w:r>
          </w:p>
        </w:tc>
        <w:tc>
          <w:tcPr>
            <w:tcW w:w="412" w:type="pct"/>
            <w:tcBorders>
              <w:top w:val="nil"/>
              <w:left w:val="nil"/>
              <w:bottom w:val="nil"/>
              <w:right w:val="nil"/>
            </w:tcBorders>
            <w:shd w:val="clear" w:color="000000" w:fill="FFFFFF"/>
            <w:noWrap/>
            <w:vAlign w:val="center"/>
            <w:hideMark/>
          </w:tcPr>
          <w:p w14:paraId="2881BC04"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44.9</w:t>
            </w:r>
          </w:p>
        </w:tc>
        <w:tc>
          <w:tcPr>
            <w:tcW w:w="411" w:type="pct"/>
            <w:tcBorders>
              <w:top w:val="nil"/>
              <w:left w:val="nil"/>
              <w:bottom w:val="nil"/>
              <w:right w:val="nil"/>
            </w:tcBorders>
            <w:shd w:val="clear" w:color="000000" w:fill="FFFFFF"/>
            <w:noWrap/>
            <w:vAlign w:val="center"/>
            <w:hideMark/>
          </w:tcPr>
          <w:p w14:paraId="1416ABF7"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219</w:t>
            </w:r>
          </w:p>
        </w:tc>
        <w:tc>
          <w:tcPr>
            <w:tcW w:w="411" w:type="pct"/>
            <w:tcBorders>
              <w:top w:val="nil"/>
              <w:left w:val="nil"/>
              <w:bottom w:val="nil"/>
              <w:right w:val="nil"/>
            </w:tcBorders>
            <w:shd w:val="clear" w:color="000000" w:fill="FFFFFF"/>
            <w:noWrap/>
            <w:vAlign w:val="center"/>
            <w:hideMark/>
          </w:tcPr>
          <w:p w14:paraId="44CFD349"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47.3</w:t>
            </w:r>
          </w:p>
        </w:tc>
        <w:tc>
          <w:tcPr>
            <w:tcW w:w="411" w:type="pct"/>
            <w:tcBorders>
              <w:top w:val="nil"/>
              <w:left w:val="nil"/>
              <w:bottom w:val="nil"/>
              <w:right w:val="nil"/>
            </w:tcBorders>
            <w:shd w:val="clear" w:color="auto" w:fill="F2F2F2" w:themeFill="background1" w:themeFillShade="F2"/>
            <w:noWrap/>
            <w:vAlign w:val="center"/>
            <w:hideMark/>
          </w:tcPr>
          <w:p w14:paraId="73E965F7"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216</w:t>
            </w:r>
          </w:p>
        </w:tc>
        <w:tc>
          <w:tcPr>
            <w:tcW w:w="411" w:type="pct"/>
            <w:tcBorders>
              <w:top w:val="nil"/>
              <w:left w:val="nil"/>
              <w:bottom w:val="nil"/>
              <w:right w:val="nil"/>
            </w:tcBorders>
            <w:shd w:val="clear" w:color="auto" w:fill="F2F2F2" w:themeFill="background1" w:themeFillShade="F2"/>
            <w:noWrap/>
            <w:vAlign w:val="center"/>
            <w:hideMark/>
          </w:tcPr>
          <w:p w14:paraId="5BF9BBC0"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50.5</w:t>
            </w:r>
          </w:p>
        </w:tc>
      </w:tr>
      <w:tr w:rsidR="004A1B38" w:rsidRPr="004A1B38" w14:paraId="110820EE" w14:textId="77777777" w:rsidTr="00454210">
        <w:trPr>
          <w:trHeight w:val="228"/>
        </w:trPr>
        <w:tc>
          <w:tcPr>
            <w:tcW w:w="1591" w:type="pct"/>
            <w:tcBorders>
              <w:top w:val="nil"/>
              <w:left w:val="nil"/>
              <w:bottom w:val="nil"/>
              <w:right w:val="nil"/>
            </w:tcBorders>
            <w:shd w:val="clear" w:color="000000" w:fill="FFFFFF"/>
            <w:noWrap/>
            <w:vAlign w:val="center"/>
            <w:hideMark/>
          </w:tcPr>
          <w:p w14:paraId="43D67351" w14:textId="77777777" w:rsidR="004A1B38" w:rsidRPr="004A1B38" w:rsidRDefault="004A1B38" w:rsidP="004A1B38">
            <w:pPr>
              <w:spacing w:after="0" w:line="240" w:lineRule="auto"/>
              <w:jc w:val="left"/>
              <w:rPr>
                <w:rFonts w:ascii="Arial" w:hAnsi="Arial" w:cs="Arial"/>
                <w:sz w:val="16"/>
                <w:szCs w:val="16"/>
              </w:rPr>
            </w:pPr>
            <w:r w:rsidRPr="004A1B38">
              <w:rPr>
                <w:rFonts w:ascii="Arial" w:hAnsi="Arial" w:cs="Arial"/>
                <w:sz w:val="16"/>
                <w:szCs w:val="16"/>
              </w:rPr>
              <w:t>≥ $500 million &amp; &lt; $1 billion</w:t>
            </w:r>
          </w:p>
        </w:tc>
        <w:tc>
          <w:tcPr>
            <w:tcW w:w="470" w:type="pct"/>
            <w:tcBorders>
              <w:top w:val="nil"/>
              <w:left w:val="nil"/>
              <w:bottom w:val="nil"/>
              <w:right w:val="nil"/>
            </w:tcBorders>
            <w:shd w:val="clear" w:color="000000" w:fill="FFFFFF"/>
            <w:noWrap/>
            <w:vAlign w:val="center"/>
            <w:hideMark/>
          </w:tcPr>
          <w:p w14:paraId="1512D281"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45</w:t>
            </w:r>
          </w:p>
        </w:tc>
        <w:tc>
          <w:tcPr>
            <w:tcW w:w="412" w:type="pct"/>
            <w:tcBorders>
              <w:top w:val="nil"/>
              <w:left w:val="nil"/>
              <w:bottom w:val="nil"/>
              <w:right w:val="nil"/>
            </w:tcBorders>
            <w:shd w:val="clear" w:color="000000" w:fill="FFFFFF"/>
            <w:noWrap/>
            <w:vAlign w:val="center"/>
            <w:hideMark/>
          </w:tcPr>
          <w:p w14:paraId="0E225DCE"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29.7</w:t>
            </w:r>
          </w:p>
        </w:tc>
        <w:tc>
          <w:tcPr>
            <w:tcW w:w="470" w:type="pct"/>
            <w:tcBorders>
              <w:top w:val="nil"/>
              <w:left w:val="nil"/>
              <w:bottom w:val="nil"/>
              <w:right w:val="nil"/>
            </w:tcBorders>
            <w:shd w:val="clear" w:color="000000" w:fill="FFFFFF"/>
            <w:noWrap/>
            <w:vAlign w:val="center"/>
            <w:hideMark/>
          </w:tcPr>
          <w:p w14:paraId="5775717D"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53</w:t>
            </w:r>
          </w:p>
        </w:tc>
        <w:tc>
          <w:tcPr>
            <w:tcW w:w="412" w:type="pct"/>
            <w:tcBorders>
              <w:top w:val="nil"/>
              <w:left w:val="nil"/>
              <w:bottom w:val="nil"/>
              <w:right w:val="nil"/>
            </w:tcBorders>
            <w:shd w:val="clear" w:color="000000" w:fill="FFFFFF"/>
            <w:noWrap/>
            <w:vAlign w:val="center"/>
            <w:hideMark/>
          </w:tcPr>
          <w:p w14:paraId="4F8FB774"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34.8</w:t>
            </w:r>
          </w:p>
        </w:tc>
        <w:tc>
          <w:tcPr>
            <w:tcW w:w="411" w:type="pct"/>
            <w:tcBorders>
              <w:top w:val="nil"/>
              <w:left w:val="nil"/>
              <w:bottom w:val="nil"/>
              <w:right w:val="nil"/>
            </w:tcBorders>
            <w:shd w:val="clear" w:color="000000" w:fill="FFFFFF"/>
            <w:noWrap/>
            <w:vAlign w:val="center"/>
            <w:hideMark/>
          </w:tcPr>
          <w:p w14:paraId="577DBE52"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49</w:t>
            </w:r>
          </w:p>
        </w:tc>
        <w:tc>
          <w:tcPr>
            <w:tcW w:w="411" w:type="pct"/>
            <w:tcBorders>
              <w:top w:val="nil"/>
              <w:left w:val="nil"/>
              <w:bottom w:val="nil"/>
              <w:right w:val="nil"/>
            </w:tcBorders>
            <w:shd w:val="clear" w:color="000000" w:fill="FFFFFF"/>
            <w:noWrap/>
            <w:vAlign w:val="center"/>
            <w:hideMark/>
          </w:tcPr>
          <w:p w14:paraId="0DFB402F"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33.5</w:t>
            </w:r>
          </w:p>
        </w:tc>
        <w:tc>
          <w:tcPr>
            <w:tcW w:w="411" w:type="pct"/>
            <w:tcBorders>
              <w:top w:val="nil"/>
              <w:left w:val="nil"/>
              <w:bottom w:val="nil"/>
              <w:right w:val="nil"/>
            </w:tcBorders>
            <w:shd w:val="clear" w:color="auto" w:fill="F2F2F2" w:themeFill="background1" w:themeFillShade="F2"/>
            <w:noWrap/>
            <w:vAlign w:val="center"/>
            <w:hideMark/>
          </w:tcPr>
          <w:p w14:paraId="7ADA103B"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48</w:t>
            </w:r>
          </w:p>
        </w:tc>
        <w:tc>
          <w:tcPr>
            <w:tcW w:w="411" w:type="pct"/>
            <w:tcBorders>
              <w:top w:val="nil"/>
              <w:left w:val="nil"/>
              <w:bottom w:val="nil"/>
              <w:right w:val="nil"/>
            </w:tcBorders>
            <w:shd w:val="clear" w:color="auto" w:fill="F2F2F2" w:themeFill="background1" w:themeFillShade="F2"/>
            <w:noWrap/>
            <w:vAlign w:val="center"/>
            <w:hideMark/>
          </w:tcPr>
          <w:p w14:paraId="1AAD9A60"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34.7</w:t>
            </w:r>
          </w:p>
        </w:tc>
      </w:tr>
      <w:tr w:rsidR="004A1B38" w:rsidRPr="004A1B38" w14:paraId="4925DCB0" w14:textId="77777777" w:rsidTr="00454210">
        <w:trPr>
          <w:trHeight w:val="228"/>
        </w:trPr>
        <w:tc>
          <w:tcPr>
            <w:tcW w:w="1591" w:type="pct"/>
            <w:tcBorders>
              <w:top w:val="nil"/>
              <w:left w:val="nil"/>
              <w:bottom w:val="nil"/>
              <w:right w:val="nil"/>
            </w:tcBorders>
            <w:shd w:val="clear" w:color="000000" w:fill="FFFFFF"/>
            <w:noWrap/>
            <w:vAlign w:val="center"/>
            <w:hideMark/>
          </w:tcPr>
          <w:p w14:paraId="7FE40BF2" w14:textId="77777777" w:rsidR="004A1B38" w:rsidRPr="004A1B38" w:rsidRDefault="004A1B38" w:rsidP="004A1B38">
            <w:pPr>
              <w:spacing w:after="0" w:line="240" w:lineRule="auto"/>
              <w:jc w:val="left"/>
              <w:rPr>
                <w:rFonts w:ascii="Arial" w:hAnsi="Arial" w:cs="Arial"/>
                <w:sz w:val="16"/>
                <w:szCs w:val="16"/>
              </w:rPr>
            </w:pPr>
            <w:r w:rsidRPr="004A1B38">
              <w:rPr>
                <w:rFonts w:ascii="Arial" w:hAnsi="Arial" w:cs="Arial"/>
                <w:sz w:val="16"/>
                <w:szCs w:val="16"/>
              </w:rPr>
              <w:t>≥ $1 billion &amp; &lt; $2 billion</w:t>
            </w:r>
          </w:p>
        </w:tc>
        <w:tc>
          <w:tcPr>
            <w:tcW w:w="470" w:type="pct"/>
            <w:tcBorders>
              <w:top w:val="nil"/>
              <w:left w:val="nil"/>
              <w:bottom w:val="nil"/>
              <w:right w:val="nil"/>
            </w:tcBorders>
            <w:shd w:val="clear" w:color="000000" w:fill="FFFFFF"/>
            <w:noWrap/>
            <w:vAlign w:val="center"/>
            <w:hideMark/>
          </w:tcPr>
          <w:p w14:paraId="6AAB39AC"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15</w:t>
            </w:r>
          </w:p>
        </w:tc>
        <w:tc>
          <w:tcPr>
            <w:tcW w:w="412" w:type="pct"/>
            <w:tcBorders>
              <w:top w:val="nil"/>
              <w:left w:val="nil"/>
              <w:bottom w:val="nil"/>
              <w:right w:val="nil"/>
            </w:tcBorders>
            <w:shd w:val="clear" w:color="000000" w:fill="FFFFFF"/>
            <w:noWrap/>
            <w:vAlign w:val="center"/>
            <w:hideMark/>
          </w:tcPr>
          <w:p w14:paraId="45D077F1"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16.9</w:t>
            </w:r>
          </w:p>
        </w:tc>
        <w:tc>
          <w:tcPr>
            <w:tcW w:w="470" w:type="pct"/>
            <w:tcBorders>
              <w:top w:val="nil"/>
              <w:left w:val="nil"/>
              <w:bottom w:val="nil"/>
              <w:right w:val="nil"/>
            </w:tcBorders>
            <w:shd w:val="clear" w:color="000000" w:fill="FFFFFF"/>
            <w:noWrap/>
            <w:vAlign w:val="center"/>
            <w:hideMark/>
          </w:tcPr>
          <w:p w14:paraId="69962713"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22</w:t>
            </w:r>
          </w:p>
        </w:tc>
        <w:tc>
          <w:tcPr>
            <w:tcW w:w="412" w:type="pct"/>
            <w:tcBorders>
              <w:top w:val="nil"/>
              <w:left w:val="nil"/>
              <w:bottom w:val="nil"/>
              <w:right w:val="nil"/>
            </w:tcBorders>
            <w:shd w:val="clear" w:color="000000" w:fill="FFFFFF"/>
            <w:noWrap/>
            <w:vAlign w:val="center"/>
            <w:hideMark/>
          </w:tcPr>
          <w:p w14:paraId="4065EB87"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28.4</w:t>
            </w:r>
          </w:p>
        </w:tc>
        <w:tc>
          <w:tcPr>
            <w:tcW w:w="411" w:type="pct"/>
            <w:tcBorders>
              <w:top w:val="nil"/>
              <w:left w:val="nil"/>
              <w:bottom w:val="nil"/>
              <w:right w:val="nil"/>
            </w:tcBorders>
            <w:shd w:val="clear" w:color="000000" w:fill="FFFFFF"/>
            <w:noWrap/>
            <w:vAlign w:val="center"/>
            <w:hideMark/>
          </w:tcPr>
          <w:p w14:paraId="21097BE7"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14</w:t>
            </w:r>
          </w:p>
        </w:tc>
        <w:tc>
          <w:tcPr>
            <w:tcW w:w="411" w:type="pct"/>
            <w:tcBorders>
              <w:top w:val="nil"/>
              <w:left w:val="nil"/>
              <w:bottom w:val="nil"/>
              <w:right w:val="nil"/>
            </w:tcBorders>
            <w:shd w:val="clear" w:color="000000" w:fill="FFFFFF"/>
            <w:noWrap/>
            <w:vAlign w:val="center"/>
            <w:hideMark/>
          </w:tcPr>
          <w:p w14:paraId="03E308F1"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18.5</w:t>
            </w:r>
          </w:p>
        </w:tc>
        <w:tc>
          <w:tcPr>
            <w:tcW w:w="411" w:type="pct"/>
            <w:tcBorders>
              <w:top w:val="nil"/>
              <w:left w:val="nil"/>
              <w:bottom w:val="nil"/>
              <w:right w:val="nil"/>
            </w:tcBorders>
            <w:shd w:val="clear" w:color="auto" w:fill="F2F2F2" w:themeFill="background1" w:themeFillShade="F2"/>
            <w:noWrap/>
            <w:vAlign w:val="center"/>
            <w:hideMark/>
          </w:tcPr>
          <w:p w14:paraId="37DAA59F"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21</w:t>
            </w:r>
          </w:p>
        </w:tc>
        <w:tc>
          <w:tcPr>
            <w:tcW w:w="411" w:type="pct"/>
            <w:tcBorders>
              <w:top w:val="nil"/>
              <w:left w:val="nil"/>
              <w:bottom w:val="nil"/>
              <w:right w:val="nil"/>
            </w:tcBorders>
            <w:shd w:val="clear" w:color="auto" w:fill="F2F2F2" w:themeFill="background1" w:themeFillShade="F2"/>
            <w:noWrap/>
            <w:vAlign w:val="center"/>
            <w:hideMark/>
          </w:tcPr>
          <w:p w14:paraId="5A1094B5"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29.1</w:t>
            </w:r>
          </w:p>
        </w:tc>
      </w:tr>
      <w:tr w:rsidR="004A1B38" w:rsidRPr="004A1B38" w14:paraId="075F258C" w14:textId="77777777" w:rsidTr="00454210">
        <w:trPr>
          <w:trHeight w:val="228"/>
        </w:trPr>
        <w:tc>
          <w:tcPr>
            <w:tcW w:w="1591" w:type="pct"/>
            <w:tcBorders>
              <w:top w:val="nil"/>
              <w:left w:val="nil"/>
              <w:bottom w:val="nil"/>
              <w:right w:val="nil"/>
            </w:tcBorders>
            <w:shd w:val="clear" w:color="000000" w:fill="FFFFFF"/>
            <w:noWrap/>
            <w:vAlign w:val="center"/>
            <w:hideMark/>
          </w:tcPr>
          <w:p w14:paraId="4C902C38" w14:textId="77777777" w:rsidR="004A1B38" w:rsidRPr="004A1B38" w:rsidRDefault="004A1B38" w:rsidP="004A1B38">
            <w:pPr>
              <w:spacing w:after="0" w:line="240" w:lineRule="auto"/>
              <w:jc w:val="left"/>
              <w:rPr>
                <w:rFonts w:ascii="Arial" w:hAnsi="Arial" w:cs="Arial"/>
                <w:sz w:val="16"/>
                <w:szCs w:val="16"/>
              </w:rPr>
            </w:pPr>
            <w:r w:rsidRPr="004A1B38">
              <w:rPr>
                <w:rFonts w:ascii="Arial" w:hAnsi="Arial" w:cs="Arial"/>
                <w:sz w:val="16"/>
                <w:szCs w:val="16"/>
              </w:rPr>
              <w:t>≥ $2 billion</w:t>
            </w:r>
          </w:p>
        </w:tc>
        <w:tc>
          <w:tcPr>
            <w:tcW w:w="470" w:type="pct"/>
            <w:tcBorders>
              <w:top w:val="nil"/>
              <w:left w:val="nil"/>
              <w:bottom w:val="nil"/>
              <w:right w:val="nil"/>
            </w:tcBorders>
            <w:shd w:val="clear" w:color="000000" w:fill="FFFFFF"/>
            <w:noWrap/>
            <w:vAlign w:val="center"/>
            <w:hideMark/>
          </w:tcPr>
          <w:p w14:paraId="51FD49D8"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13</w:t>
            </w:r>
          </w:p>
        </w:tc>
        <w:tc>
          <w:tcPr>
            <w:tcW w:w="412" w:type="pct"/>
            <w:tcBorders>
              <w:top w:val="nil"/>
              <w:left w:val="nil"/>
              <w:bottom w:val="nil"/>
              <w:right w:val="nil"/>
            </w:tcBorders>
            <w:shd w:val="clear" w:color="000000" w:fill="FFFFFF"/>
            <w:noWrap/>
            <w:vAlign w:val="center"/>
            <w:hideMark/>
          </w:tcPr>
          <w:p w14:paraId="7D06B3B7"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68</w:t>
            </w:r>
          </w:p>
        </w:tc>
        <w:tc>
          <w:tcPr>
            <w:tcW w:w="470" w:type="pct"/>
            <w:tcBorders>
              <w:top w:val="nil"/>
              <w:left w:val="nil"/>
              <w:bottom w:val="nil"/>
              <w:right w:val="nil"/>
            </w:tcBorders>
            <w:shd w:val="clear" w:color="000000" w:fill="FFFFFF"/>
            <w:noWrap/>
            <w:vAlign w:val="center"/>
            <w:hideMark/>
          </w:tcPr>
          <w:p w14:paraId="052961EE"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w:t>
            </w:r>
          </w:p>
        </w:tc>
        <w:tc>
          <w:tcPr>
            <w:tcW w:w="412" w:type="pct"/>
            <w:tcBorders>
              <w:top w:val="nil"/>
              <w:left w:val="nil"/>
              <w:bottom w:val="nil"/>
              <w:right w:val="nil"/>
            </w:tcBorders>
            <w:shd w:val="clear" w:color="000000" w:fill="FFFFFF"/>
            <w:noWrap/>
            <w:vAlign w:val="center"/>
            <w:hideMark/>
          </w:tcPr>
          <w:p w14:paraId="1F9E910C"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32</w:t>
            </w:r>
          </w:p>
        </w:tc>
        <w:tc>
          <w:tcPr>
            <w:tcW w:w="411" w:type="pct"/>
            <w:tcBorders>
              <w:top w:val="nil"/>
              <w:left w:val="nil"/>
              <w:bottom w:val="nil"/>
              <w:right w:val="nil"/>
            </w:tcBorders>
            <w:shd w:val="clear" w:color="000000" w:fill="FFFFFF"/>
            <w:noWrap/>
            <w:vAlign w:val="center"/>
            <w:hideMark/>
          </w:tcPr>
          <w:p w14:paraId="212F4BEF"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23</w:t>
            </w:r>
          </w:p>
        </w:tc>
        <w:tc>
          <w:tcPr>
            <w:tcW w:w="411" w:type="pct"/>
            <w:tcBorders>
              <w:top w:val="nil"/>
              <w:left w:val="nil"/>
              <w:bottom w:val="nil"/>
              <w:right w:val="nil"/>
            </w:tcBorders>
            <w:shd w:val="clear" w:color="000000" w:fill="FFFFFF"/>
            <w:noWrap/>
            <w:vAlign w:val="center"/>
            <w:hideMark/>
          </w:tcPr>
          <w:p w14:paraId="2E80C9BF"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111</w:t>
            </w:r>
          </w:p>
        </w:tc>
        <w:tc>
          <w:tcPr>
            <w:tcW w:w="411" w:type="pct"/>
            <w:tcBorders>
              <w:top w:val="nil"/>
              <w:left w:val="nil"/>
              <w:bottom w:val="single" w:sz="4" w:space="0" w:color="auto"/>
              <w:right w:val="nil"/>
            </w:tcBorders>
            <w:shd w:val="clear" w:color="auto" w:fill="F2F2F2" w:themeFill="background1" w:themeFillShade="F2"/>
            <w:noWrap/>
            <w:vAlign w:val="center"/>
            <w:hideMark/>
          </w:tcPr>
          <w:p w14:paraId="1DC86786"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11</w:t>
            </w:r>
          </w:p>
        </w:tc>
        <w:tc>
          <w:tcPr>
            <w:tcW w:w="411" w:type="pct"/>
            <w:tcBorders>
              <w:top w:val="nil"/>
              <w:left w:val="nil"/>
              <w:bottom w:val="single" w:sz="4" w:space="0" w:color="auto"/>
              <w:right w:val="nil"/>
            </w:tcBorders>
            <w:shd w:val="clear" w:color="auto" w:fill="F2F2F2" w:themeFill="background1" w:themeFillShade="F2"/>
            <w:noWrap/>
            <w:vAlign w:val="center"/>
            <w:hideMark/>
          </w:tcPr>
          <w:p w14:paraId="2C384FEE"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62.4</w:t>
            </w:r>
          </w:p>
        </w:tc>
      </w:tr>
      <w:tr w:rsidR="004A1B38" w:rsidRPr="004A1B38" w14:paraId="1228A501" w14:textId="77777777" w:rsidTr="00454210">
        <w:trPr>
          <w:trHeight w:val="228"/>
        </w:trPr>
        <w:tc>
          <w:tcPr>
            <w:tcW w:w="1591" w:type="pct"/>
            <w:tcBorders>
              <w:top w:val="nil"/>
              <w:left w:val="nil"/>
              <w:bottom w:val="single" w:sz="4" w:space="0" w:color="auto"/>
              <w:right w:val="nil"/>
            </w:tcBorders>
            <w:shd w:val="clear" w:color="000000" w:fill="FFFFFF"/>
            <w:noWrap/>
            <w:vAlign w:val="center"/>
            <w:hideMark/>
          </w:tcPr>
          <w:p w14:paraId="6830154B" w14:textId="77777777" w:rsidR="004A1B38" w:rsidRPr="004A1B38" w:rsidRDefault="004A1B38" w:rsidP="004A1B38">
            <w:pPr>
              <w:spacing w:after="0" w:line="240" w:lineRule="auto"/>
              <w:jc w:val="left"/>
              <w:rPr>
                <w:rFonts w:ascii="Arial" w:hAnsi="Arial" w:cs="Arial"/>
                <w:b/>
                <w:bCs/>
                <w:sz w:val="16"/>
                <w:szCs w:val="16"/>
              </w:rPr>
            </w:pPr>
            <w:r w:rsidRPr="004A1B38">
              <w:rPr>
                <w:rFonts w:ascii="Arial" w:hAnsi="Arial" w:cs="Arial"/>
                <w:b/>
                <w:bCs/>
                <w:sz w:val="16"/>
                <w:szCs w:val="16"/>
              </w:rPr>
              <w:t>Total</w:t>
            </w:r>
          </w:p>
        </w:tc>
        <w:tc>
          <w:tcPr>
            <w:tcW w:w="470" w:type="pct"/>
            <w:tcBorders>
              <w:top w:val="single" w:sz="4" w:space="0" w:color="000000"/>
              <w:left w:val="nil"/>
              <w:bottom w:val="single" w:sz="4" w:space="0" w:color="auto"/>
              <w:right w:val="nil"/>
            </w:tcBorders>
            <w:shd w:val="clear" w:color="000000" w:fill="FFFFFF"/>
            <w:noWrap/>
            <w:vAlign w:val="center"/>
            <w:hideMark/>
          </w:tcPr>
          <w:p w14:paraId="17ADC93F"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14,256</w:t>
            </w:r>
          </w:p>
        </w:tc>
        <w:tc>
          <w:tcPr>
            <w:tcW w:w="412" w:type="pct"/>
            <w:tcBorders>
              <w:top w:val="single" w:sz="4" w:space="0" w:color="000000"/>
              <w:left w:val="nil"/>
              <w:bottom w:val="single" w:sz="4" w:space="0" w:color="auto"/>
              <w:right w:val="nil"/>
            </w:tcBorders>
            <w:shd w:val="clear" w:color="000000" w:fill="FFFFFF"/>
            <w:noWrap/>
            <w:vAlign w:val="center"/>
            <w:hideMark/>
          </w:tcPr>
          <w:p w14:paraId="010E380D"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197.7</w:t>
            </w:r>
          </w:p>
        </w:tc>
        <w:tc>
          <w:tcPr>
            <w:tcW w:w="470" w:type="pct"/>
            <w:tcBorders>
              <w:top w:val="single" w:sz="4" w:space="0" w:color="000000"/>
              <w:left w:val="nil"/>
              <w:bottom w:val="single" w:sz="4" w:space="0" w:color="auto"/>
              <w:right w:val="nil"/>
            </w:tcBorders>
            <w:shd w:val="clear" w:color="000000" w:fill="FFFFFF"/>
            <w:noWrap/>
            <w:vAlign w:val="center"/>
            <w:hideMark/>
          </w:tcPr>
          <w:p w14:paraId="19890D1D"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11,006</w:t>
            </w:r>
          </w:p>
        </w:tc>
        <w:tc>
          <w:tcPr>
            <w:tcW w:w="412" w:type="pct"/>
            <w:tcBorders>
              <w:top w:val="single" w:sz="4" w:space="0" w:color="000000"/>
              <w:left w:val="nil"/>
              <w:bottom w:val="single" w:sz="4" w:space="0" w:color="auto"/>
              <w:right w:val="nil"/>
            </w:tcBorders>
            <w:shd w:val="clear" w:color="000000" w:fill="FFFFFF"/>
            <w:noWrap/>
            <w:vAlign w:val="center"/>
            <w:hideMark/>
          </w:tcPr>
          <w:p w14:paraId="39C8C277"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163.1</w:t>
            </w:r>
          </w:p>
        </w:tc>
        <w:tc>
          <w:tcPr>
            <w:tcW w:w="411" w:type="pct"/>
            <w:tcBorders>
              <w:top w:val="single" w:sz="4" w:space="0" w:color="000000"/>
              <w:left w:val="nil"/>
              <w:bottom w:val="single" w:sz="4" w:space="0" w:color="auto"/>
              <w:right w:val="nil"/>
            </w:tcBorders>
            <w:shd w:val="clear" w:color="000000" w:fill="FFFFFF"/>
            <w:noWrap/>
            <w:vAlign w:val="center"/>
            <w:hideMark/>
          </w:tcPr>
          <w:p w14:paraId="65D925A9"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8,589</w:t>
            </w:r>
          </w:p>
        </w:tc>
        <w:tc>
          <w:tcPr>
            <w:tcW w:w="411" w:type="pct"/>
            <w:tcBorders>
              <w:top w:val="single" w:sz="4" w:space="0" w:color="000000"/>
              <w:left w:val="nil"/>
              <w:bottom w:val="single" w:sz="4" w:space="0" w:color="auto"/>
              <w:right w:val="nil"/>
            </w:tcBorders>
            <w:shd w:val="clear" w:color="000000" w:fill="FFFFFF"/>
            <w:noWrap/>
            <w:vAlign w:val="center"/>
            <w:hideMark/>
          </w:tcPr>
          <w:p w14:paraId="56869F0F" w14:textId="77777777" w:rsidR="004A1B38" w:rsidRPr="004A1B38" w:rsidRDefault="004A1B38" w:rsidP="004A1B38">
            <w:pPr>
              <w:spacing w:after="0" w:line="240" w:lineRule="auto"/>
              <w:jc w:val="right"/>
              <w:rPr>
                <w:rFonts w:ascii="Arial" w:hAnsi="Arial" w:cs="Arial"/>
                <w:sz w:val="16"/>
                <w:szCs w:val="16"/>
              </w:rPr>
            </w:pPr>
            <w:r w:rsidRPr="004A1B38">
              <w:rPr>
                <w:rFonts w:ascii="Arial" w:hAnsi="Arial" w:cs="Arial"/>
                <w:sz w:val="16"/>
                <w:szCs w:val="16"/>
              </w:rPr>
              <w:t>231.0</w:t>
            </w:r>
          </w:p>
        </w:tc>
        <w:tc>
          <w:tcPr>
            <w:tcW w:w="411" w:type="pct"/>
            <w:tcBorders>
              <w:top w:val="single" w:sz="4" w:space="0" w:color="auto"/>
              <w:left w:val="nil"/>
              <w:bottom w:val="single" w:sz="4" w:space="0" w:color="auto"/>
              <w:right w:val="nil"/>
            </w:tcBorders>
            <w:shd w:val="clear" w:color="auto" w:fill="F2F2F2" w:themeFill="background1" w:themeFillShade="F2"/>
            <w:noWrap/>
            <w:vAlign w:val="center"/>
            <w:hideMark/>
          </w:tcPr>
          <w:p w14:paraId="0590D40D" w14:textId="77777777" w:rsidR="004A1B38" w:rsidRPr="004A1B38" w:rsidRDefault="004A1B38" w:rsidP="004A1B38">
            <w:pPr>
              <w:spacing w:after="0" w:line="240" w:lineRule="auto"/>
              <w:jc w:val="right"/>
              <w:rPr>
                <w:rFonts w:ascii="Arial" w:hAnsi="Arial" w:cs="Arial"/>
                <w:b/>
                <w:bCs/>
                <w:sz w:val="16"/>
                <w:szCs w:val="16"/>
              </w:rPr>
            </w:pPr>
            <w:r w:rsidRPr="004A1B38">
              <w:rPr>
                <w:rFonts w:ascii="Arial" w:hAnsi="Arial" w:cs="Arial"/>
                <w:b/>
                <w:bCs/>
                <w:sz w:val="16"/>
                <w:szCs w:val="16"/>
              </w:rPr>
              <w:t>8,111</w:t>
            </w:r>
          </w:p>
        </w:tc>
        <w:tc>
          <w:tcPr>
            <w:tcW w:w="411" w:type="pct"/>
            <w:tcBorders>
              <w:top w:val="single" w:sz="4" w:space="0" w:color="auto"/>
              <w:left w:val="nil"/>
              <w:bottom w:val="single" w:sz="4" w:space="0" w:color="auto"/>
              <w:right w:val="nil"/>
            </w:tcBorders>
            <w:shd w:val="clear" w:color="auto" w:fill="F2F2F2" w:themeFill="background1" w:themeFillShade="F2"/>
            <w:noWrap/>
            <w:vAlign w:val="center"/>
            <w:hideMark/>
          </w:tcPr>
          <w:p w14:paraId="2023A2C8" w14:textId="77777777" w:rsidR="004A1B38" w:rsidRPr="004A1B38" w:rsidRDefault="004A1B38" w:rsidP="004A1B38">
            <w:pPr>
              <w:spacing w:after="0" w:line="240" w:lineRule="auto"/>
              <w:jc w:val="right"/>
              <w:rPr>
                <w:rFonts w:ascii="Arial" w:hAnsi="Arial" w:cs="Arial"/>
                <w:b/>
                <w:bCs/>
                <w:sz w:val="16"/>
                <w:szCs w:val="16"/>
              </w:rPr>
            </w:pPr>
            <w:r w:rsidRPr="004A1B38">
              <w:rPr>
                <w:rFonts w:ascii="Arial" w:hAnsi="Arial" w:cs="Arial"/>
                <w:b/>
                <w:bCs/>
                <w:sz w:val="16"/>
                <w:szCs w:val="16"/>
              </w:rPr>
              <w:t>195.5</w:t>
            </w:r>
          </w:p>
        </w:tc>
      </w:tr>
    </w:tbl>
    <w:p w14:paraId="3C4EE2BE" w14:textId="77777777" w:rsidR="00507081" w:rsidRDefault="00507081" w:rsidP="00F71E4D">
      <w:pPr>
        <w:pStyle w:val="ChartorTableNote"/>
        <w:keepNext/>
      </w:pPr>
      <w:r w:rsidRPr="00BF48CD">
        <w:t xml:space="preserve">Before republishing this data or comparing between years, thoroughly review the methodological and data caveats in Appendix B. </w:t>
      </w:r>
    </w:p>
    <w:p w14:paraId="395D6286" w14:textId="77777777" w:rsidR="00507081" w:rsidRDefault="00507081" w:rsidP="000C481E">
      <w:pPr>
        <w:pStyle w:val="Caveat"/>
      </w:pPr>
      <w:r>
        <w:t>Data from previous financial years have been updated to exclude new businesses.</w:t>
      </w:r>
    </w:p>
    <w:p w14:paraId="4E997DCE" w14:textId="77777777" w:rsidR="000C481E" w:rsidRDefault="000C481E" w:rsidP="00377D63">
      <w:pPr>
        <w:pStyle w:val="SingleParagraph"/>
      </w:pPr>
    </w:p>
    <w:p w14:paraId="717C1A7B" w14:textId="1E88695C" w:rsidR="00483D26" w:rsidRPr="00820C89" w:rsidRDefault="00483D26" w:rsidP="000C481E">
      <w:pPr>
        <w:pStyle w:val="TableMainHeading"/>
        <w:keepLines/>
      </w:pPr>
      <w:bookmarkStart w:id="91" w:name="_Toc63798274"/>
      <w:bookmarkStart w:id="92" w:name="_Toc73984733"/>
      <w:r w:rsidRPr="00820C89">
        <w:t>Table 3.</w:t>
      </w:r>
      <w:r w:rsidR="00A359D3">
        <w:t>6</w:t>
      </w:r>
      <w:r w:rsidRPr="00820C89">
        <w:t xml:space="preserve">: Total approvals by value of proposed investment range </w:t>
      </w:r>
      <w:r w:rsidR="00A359D3">
        <w:t>in</w:t>
      </w:r>
      <w:r w:rsidRPr="00820C89">
        <w:t xml:space="preserve"> 201</w:t>
      </w:r>
      <w:r>
        <w:t>9</w:t>
      </w:r>
      <w:r w:rsidR="007E5EF1" w:rsidRPr="00820C89">
        <w:t>–</w:t>
      </w:r>
      <w:r>
        <w:t>20</w:t>
      </w:r>
      <w:r w:rsidR="00A359D3">
        <w:t xml:space="preserve">, by </w:t>
      </w:r>
      <w:r w:rsidR="00EA5741">
        <w:t>z</w:t>
      </w:r>
      <w:r w:rsidR="0077468F">
        <w:t>ero dollar threshold</w:t>
      </w:r>
      <w:r w:rsidR="00A359D3">
        <w:t xml:space="preserve"> and </w:t>
      </w:r>
      <w:r w:rsidR="00EA5741">
        <w:t>n</w:t>
      </w:r>
      <w:r w:rsidR="00A359D3">
        <w:t>on</w:t>
      </w:r>
      <w:r w:rsidR="00BD4D19">
        <w:noBreakHyphen/>
      </w:r>
      <w:r w:rsidR="0077468F">
        <w:t>zero dollar threshold</w:t>
      </w:r>
      <w:r w:rsidRPr="00820C89">
        <w:t xml:space="preserve"> (number and value of approvals)</w:t>
      </w:r>
      <w:bookmarkEnd w:id="91"/>
      <w:bookmarkEnd w:id="92"/>
    </w:p>
    <w:tbl>
      <w:tblPr>
        <w:tblW w:w="5000" w:type="pct"/>
        <w:tblLook w:val="04A0" w:firstRow="1" w:lastRow="0" w:firstColumn="1" w:lastColumn="0" w:noHBand="0" w:noVBand="1"/>
      </w:tblPr>
      <w:tblGrid>
        <w:gridCol w:w="1028"/>
        <w:gridCol w:w="2014"/>
        <w:gridCol w:w="1357"/>
        <w:gridCol w:w="1149"/>
        <w:gridCol w:w="1022"/>
        <w:gridCol w:w="1140"/>
      </w:tblGrid>
      <w:tr w:rsidR="00947C1B" w:rsidRPr="006647F9" w14:paraId="46D7B78D" w14:textId="77777777" w:rsidTr="003A0934">
        <w:trPr>
          <w:trHeight w:val="227"/>
        </w:trPr>
        <w:tc>
          <w:tcPr>
            <w:tcW w:w="667" w:type="pct"/>
            <w:tcBorders>
              <w:top w:val="single" w:sz="4" w:space="0" w:color="auto"/>
              <w:left w:val="nil"/>
              <w:bottom w:val="nil"/>
              <w:right w:val="nil"/>
            </w:tcBorders>
            <w:shd w:val="clear" w:color="auto" w:fill="auto"/>
            <w:noWrap/>
            <w:vAlign w:val="bottom"/>
            <w:hideMark/>
          </w:tcPr>
          <w:p w14:paraId="4110C7EF"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 </w:t>
            </w:r>
          </w:p>
        </w:tc>
        <w:tc>
          <w:tcPr>
            <w:tcW w:w="1306" w:type="pct"/>
            <w:tcBorders>
              <w:top w:val="single" w:sz="4" w:space="0" w:color="auto"/>
              <w:left w:val="nil"/>
              <w:bottom w:val="nil"/>
              <w:right w:val="nil"/>
            </w:tcBorders>
            <w:shd w:val="clear" w:color="auto" w:fill="auto"/>
            <w:noWrap/>
            <w:vAlign w:val="bottom"/>
            <w:hideMark/>
          </w:tcPr>
          <w:p w14:paraId="3BD3015A"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 </w:t>
            </w:r>
          </w:p>
        </w:tc>
        <w:tc>
          <w:tcPr>
            <w:tcW w:w="1625" w:type="pct"/>
            <w:gridSpan w:val="2"/>
            <w:tcBorders>
              <w:top w:val="single" w:sz="4" w:space="0" w:color="auto"/>
              <w:left w:val="nil"/>
              <w:bottom w:val="single" w:sz="4" w:space="0" w:color="auto"/>
              <w:right w:val="nil"/>
            </w:tcBorders>
            <w:shd w:val="clear" w:color="auto" w:fill="auto"/>
            <w:noWrap/>
            <w:vAlign w:val="bottom"/>
            <w:hideMark/>
          </w:tcPr>
          <w:p w14:paraId="28E7B842" w14:textId="77777777" w:rsidR="00947C1B" w:rsidRPr="006647F9" w:rsidRDefault="006A1396" w:rsidP="006A1396">
            <w:pPr>
              <w:keepNext/>
              <w:keepLines/>
              <w:spacing w:after="0" w:line="240" w:lineRule="auto"/>
              <w:jc w:val="center"/>
              <w:rPr>
                <w:rFonts w:ascii="Arial" w:hAnsi="Arial" w:cs="Arial"/>
                <w:sz w:val="16"/>
                <w:szCs w:val="16"/>
              </w:rPr>
            </w:pPr>
            <w:r>
              <w:rPr>
                <w:rFonts w:ascii="Arial" w:hAnsi="Arial" w:cs="Arial"/>
                <w:sz w:val="16"/>
                <w:szCs w:val="16"/>
              </w:rPr>
              <w:t>Zero dollar threshold</w:t>
            </w:r>
          </w:p>
        </w:tc>
        <w:tc>
          <w:tcPr>
            <w:tcW w:w="1402" w:type="pct"/>
            <w:gridSpan w:val="2"/>
            <w:tcBorders>
              <w:top w:val="single" w:sz="4" w:space="0" w:color="auto"/>
              <w:left w:val="nil"/>
              <w:bottom w:val="single" w:sz="4" w:space="0" w:color="auto"/>
              <w:right w:val="nil"/>
            </w:tcBorders>
            <w:shd w:val="clear" w:color="auto" w:fill="auto"/>
            <w:noWrap/>
            <w:vAlign w:val="bottom"/>
            <w:hideMark/>
          </w:tcPr>
          <w:p w14:paraId="5C94784B" w14:textId="30BCD56E" w:rsidR="00947C1B" w:rsidRPr="006647F9" w:rsidRDefault="00947C1B" w:rsidP="00947C1B">
            <w:pPr>
              <w:keepNext/>
              <w:keepLines/>
              <w:spacing w:after="0" w:line="240" w:lineRule="auto"/>
              <w:jc w:val="center"/>
              <w:rPr>
                <w:rFonts w:ascii="Arial" w:hAnsi="Arial" w:cs="Arial"/>
                <w:sz w:val="16"/>
                <w:szCs w:val="16"/>
              </w:rPr>
            </w:pPr>
            <w:r w:rsidRPr="006647F9">
              <w:rPr>
                <w:rFonts w:ascii="Arial" w:hAnsi="Arial" w:cs="Arial"/>
                <w:sz w:val="16"/>
                <w:szCs w:val="16"/>
              </w:rPr>
              <w:t>Non</w:t>
            </w:r>
            <w:r w:rsidR="00BD4D19">
              <w:rPr>
                <w:rFonts w:ascii="Arial" w:hAnsi="Arial" w:cs="Arial"/>
                <w:sz w:val="16"/>
                <w:szCs w:val="16"/>
              </w:rPr>
              <w:noBreakHyphen/>
            </w:r>
            <w:r w:rsidR="006A1396">
              <w:rPr>
                <w:rFonts w:ascii="Arial" w:hAnsi="Arial" w:cs="Arial"/>
                <w:sz w:val="16"/>
                <w:szCs w:val="16"/>
              </w:rPr>
              <w:t>zero dollar threshold</w:t>
            </w:r>
          </w:p>
        </w:tc>
      </w:tr>
      <w:tr w:rsidR="00947C1B" w:rsidRPr="006647F9" w14:paraId="16023CBE" w14:textId="77777777" w:rsidTr="003A0934">
        <w:trPr>
          <w:trHeight w:val="227"/>
        </w:trPr>
        <w:tc>
          <w:tcPr>
            <w:tcW w:w="1973" w:type="pct"/>
            <w:gridSpan w:val="2"/>
            <w:tcBorders>
              <w:top w:val="nil"/>
              <w:left w:val="nil"/>
              <w:bottom w:val="single" w:sz="4" w:space="0" w:color="auto"/>
              <w:right w:val="nil"/>
            </w:tcBorders>
            <w:shd w:val="clear" w:color="auto" w:fill="auto"/>
            <w:noWrap/>
            <w:vAlign w:val="bottom"/>
            <w:hideMark/>
          </w:tcPr>
          <w:p w14:paraId="5CA9820C"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Value of approval</w:t>
            </w:r>
          </w:p>
        </w:tc>
        <w:tc>
          <w:tcPr>
            <w:tcW w:w="880" w:type="pct"/>
            <w:tcBorders>
              <w:top w:val="nil"/>
              <w:left w:val="nil"/>
              <w:bottom w:val="single" w:sz="4" w:space="0" w:color="auto"/>
              <w:right w:val="nil"/>
            </w:tcBorders>
            <w:shd w:val="clear" w:color="auto" w:fill="auto"/>
            <w:noWrap/>
            <w:vAlign w:val="bottom"/>
            <w:hideMark/>
          </w:tcPr>
          <w:p w14:paraId="6DEF00CA"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No.</w:t>
            </w:r>
          </w:p>
        </w:tc>
        <w:tc>
          <w:tcPr>
            <w:tcW w:w="745" w:type="pct"/>
            <w:tcBorders>
              <w:top w:val="nil"/>
              <w:left w:val="nil"/>
              <w:bottom w:val="single" w:sz="4" w:space="0" w:color="auto"/>
              <w:right w:val="nil"/>
            </w:tcBorders>
            <w:shd w:val="clear" w:color="auto" w:fill="auto"/>
            <w:noWrap/>
            <w:vAlign w:val="bottom"/>
            <w:hideMark/>
          </w:tcPr>
          <w:p w14:paraId="04FE3DF2"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$b</w:t>
            </w:r>
          </w:p>
        </w:tc>
        <w:tc>
          <w:tcPr>
            <w:tcW w:w="663" w:type="pct"/>
            <w:tcBorders>
              <w:top w:val="nil"/>
              <w:left w:val="nil"/>
              <w:bottom w:val="single" w:sz="4" w:space="0" w:color="auto"/>
              <w:right w:val="nil"/>
            </w:tcBorders>
            <w:shd w:val="clear" w:color="auto" w:fill="auto"/>
            <w:noWrap/>
            <w:vAlign w:val="bottom"/>
            <w:hideMark/>
          </w:tcPr>
          <w:p w14:paraId="289B2A6F"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No.</w:t>
            </w:r>
          </w:p>
        </w:tc>
        <w:tc>
          <w:tcPr>
            <w:tcW w:w="739" w:type="pct"/>
            <w:tcBorders>
              <w:top w:val="nil"/>
              <w:left w:val="nil"/>
              <w:bottom w:val="single" w:sz="4" w:space="0" w:color="auto"/>
              <w:right w:val="nil"/>
            </w:tcBorders>
            <w:shd w:val="clear" w:color="auto" w:fill="auto"/>
            <w:noWrap/>
            <w:vAlign w:val="bottom"/>
            <w:hideMark/>
          </w:tcPr>
          <w:p w14:paraId="63B79CAB"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$b</w:t>
            </w:r>
          </w:p>
        </w:tc>
      </w:tr>
      <w:tr w:rsidR="00947C1B" w:rsidRPr="006647F9" w14:paraId="7D9F1C6C" w14:textId="77777777" w:rsidTr="003A0934">
        <w:trPr>
          <w:trHeight w:val="227"/>
        </w:trPr>
        <w:tc>
          <w:tcPr>
            <w:tcW w:w="1973" w:type="pct"/>
            <w:gridSpan w:val="2"/>
            <w:tcBorders>
              <w:top w:val="nil"/>
              <w:left w:val="nil"/>
              <w:bottom w:val="nil"/>
              <w:right w:val="nil"/>
            </w:tcBorders>
            <w:shd w:val="clear" w:color="auto" w:fill="auto"/>
            <w:noWrap/>
            <w:vAlign w:val="bottom"/>
            <w:hideMark/>
          </w:tcPr>
          <w:p w14:paraId="6EE0F8B9"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&lt; $1 million</w:t>
            </w:r>
          </w:p>
        </w:tc>
        <w:tc>
          <w:tcPr>
            <w:tcW w:w="880" w:type="pct"/>
            <w:tcBorders>
              <w:top w:val="nil"/>
              <w:left w:val="nil"/>
              <w:bottom w:val="nil"/>
              <w:right w:val="nil"/>
            </w:tcBorders>
            <w:shd w:val="clear" w:color="auto" w:fill="auto"/>
            <w:noWrap/>
            <w:vAlign w:val="bottom"/>
            <w:hideMark/>
          </w:tcPr>
          <w:p w14:paraId="47B2B7C9"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33</w:t>
            </w:r>
          </w:p>
        </w:tc>
        <w:tc>
          <w:tcPr>
            <w:tcW w:w="745" w:type="pct"/>
            <w:tcBorders>
              <w:top w:val="nil"/>
              <w:left w:val="nil"/>
              <w:bottom w:val="nil"/>
              <w:right w:val="nil"/>
            </w:tcBorders>
            <w:shd w:val="clear" w:color="auto" w:fill="auto"/>
            <w:noWrap/>
            <w:vAlign w:val="bottom"/>
            <w:hideMark/>
          </w:tcPr>
          <w:p w14:paraId="2E41671F"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0.0</w:t>
            </w:r>
          </w:p>
        </w:tc>
        <w:tc>
          <w:tcPr>
            <w:tcW w:w="663" w:type="pct"/>
            <w:tcBorders>
              <w:top w:val="nil"/>
              <w:left w:val="nil"/>
              <w:bottom w:val="nil"/>
              <w:right w:val="nil"/>
            </w:tcBorders>
            <w:shd w:val="clear" w:color="auto" w:fill="auto"/>
            <w:noWrap/>
            <w:vAlign w:val="bottom"/>
            <w:hideMark/>
          </w:tcPr>
          <w:p w14:paraId="1E1DE695"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5</w:t>
            </w:r>
            <w:r w:rsidR="006647F9" w:rsidRPr="006647F9">
              <w:rPr>
                <w:rFonts w:ascii="Arial" w:hAnsi="Arial" w:cs="Arial"/>
                <w:sz w:val="16"/>
                <w:szCs w:val="16"/>
              </w:rPr>
              <w:t>,</w:t>
            </w:r>
            <w:r w:rsidRPr="006647F9">
              <w:rPr>
                <w:rFonts w:ascii="Arial" w:hAnsi="Arial" w:cs="Arial"/>
                <w:sz w:val="16"/>
                <w:szCs w:val="16"/>
              </w:rPr>
              <w:t>632</w:t>
            </w:r>
          </w:p>
        </w:tc>
        <w:tc>
          <w:tcPr>
            <w:tcW w:w="739" w:type="pct"/>
            <w:tcBorders>
              <w:top w:val="nil"/>
              <w:left w:val="nil"/>
              <w:bottom w:val="nil"/>
              <w:right w:val="nil"/>
            </w:tcBorders>
            <w:shd w:val="clear" w:color="auto" w:fill="auto"/>
            <w:noWrap/>
            <w:vAlign w:val="bottom"/>
            <w:hideMark/>
          </w:tcPr>
          <w:p w14:paraId="7C239F31"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3.0</w:t>
            </w:r>
          </w:p>
        </w:tc>
      </w:tr>
      <w:tr w:rsidR="00947C1B" w:rsidRPr="006647F9" w14:paraId="43CA26F6" w14:textId="77777777" w:rsidTr="003A0934">
        <w:trPr>
          <w:trHeight w:val="227"/>
        </w:trPr>
        <w:tc>
          <w:tcPr>
            <w:tcW w:w="1973" w:type="pct"/>
            <w:gridSpan w:val="2"/>
            <w:tcBorders>
              <w:top w:val="nil"/>
              <w:left w:val="nil"/>
              <w:bottom w:val="nil"/>
              <w:right w:val="nil"/>
            </w:tcBorders>
            <w:shd w:val="clear" w:color="auto" w:fill="auto"/>
            <w:noWrap/>
            <w:vAlign w:val="bottom"/>
            <w:hideMark/>
          </w:tcPr>
          <w:p w14:paraId="5C1264BA"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 $1 million &amp; &lt; $50 million</w:t>
            </w:r>
          </w:p>
        </w:tc>
        <w:tc>
          <w:tcPr>
            <w:tcW w:w="880" w:type="pct"/>
            <w:tcBorders>
              <w:top w:val="nil"/>
              <w:left w:val="nil"/>
              <w:bottom w:val="nil"/>
              <w:right w:val="nil"/>
            </w:tcBorders>
            <w:shd w:val="clear" w:color="auto" w:fill="auto"/>
            <w:noWrap/>
            <w:vAlign w:val="bottom"/>
            <w:hideMark/>
          </w:tcPr>
          <w:p w14:paraId="48AF1966"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80</w:t>
            </w:r>
          </w:p>
        </w:tc>
        <w:tc>
          <w:tcPr>
            <w:tcW w:w="745" w:type="pct"/>
            <w:tcBorders>
              <w:top w:val="nil"/>
              <w:left w:val="nil"/>
              <w:bottom w:val="nil"/>
              <w:right w:val="nil"/>
            </w:tcBorders>
            <w:shd w:val="clear" w:color="auto" w:fill="auto"/>
            <w:noWrap/>
            <w:vAlign w:val="bottom"/>
            <w:hideMark/>
          </w:tcPr>
          <w:p w14:paraId="006E3221"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0.7</w:t>
            </w:r>
          </w:p>
        </w:tc>
        <w:tc>
          <w:tcPr>
            <w:tcW w:w="663" w:type="pct"/>
            <w:tcBorders>
              <w:top w:val="nil"/>
              <w:left w:val="nil"/>
              <w:bottom w:val="nil"/>
              <w:right w:val="nil"/>
            </w:tcBorders>
            <w:shd w:val="clear" w:color="auto" w:fill="auto"/>
            <w:noWrap/>
            <w:vAlign w:val="bottom"/>
            <w:hideMark/>
          </w:tcPr>
          <w:p w14:paraId="1E85C7D3"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1</w:t>
            </w:r>
            <w:r w:rsidR="006647F9" w:rsidRPr="006647F9">
              <w:rPr>
                <w:rFonts w:ascii="Arial" w:hAnsi="Arial" w:cs="Arial"/>
                <w:sz w:val="16"/>
                <w:szCs w:val="16"/>
              </w:rPr>
              <w:t>,</w:t>
            </w:r>
            <w:r w:rsidRPr="006647F9">
              <w:rPr>
                <w:rFonts w:ascii="Arial" w:hAnsi="Arial" w:cs="Arial"/>
                <w:sz w:val="16"/>
                <w:szCs w:val="16"/>
              </w:rPr>
              <w:t>982</w:t>
            </w:r>
          </w:p>
        </w:tc>
        <w:tc>
          <w:tcPr>
            <w:tcW w:w="739" w:type="pct"/>
            <w:tcBorders>
              <w:top w:val="nil"/>
              <w:left w:val="nil"/>
              <w:bottom w:val="nil"/>
              <w:right w:val="nil"/>
            </w:tcBorders>
            <w:shd w:val="clear" w:color="auto" w:fill="auto"/>
            <w:noWrap/>
            <w:vAlign w:val="bottom"/>
            <w:hideMark/>
          </w:tcPr>
          <w:p w14:paraId="0D4FA719"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9.0</w:t>
            </w:r>
          </w:p>
        </w:tc>
      </w:tr>
      <w:tr w:rsidR="00947C1B" w:rsidRPr="006647F9" w14:paraId="253AE2EA" w14:textId="77777777" w:rsidTr="003A0934">
        <w:trPr>
          <w:trHeight w:val="227"/>
        </w:trPr>
        <w:tc>
          <w:tcPr>
            <w:tcW w:w="1973" w:type="pct"/>
            <w:gridSpan w:val="2"/>
            <w:tcBorders>
              <w:top w:val="nil"/>
              <w:left w:val="nil"/>
              <w:bottom w:val="nil"/>
              <w:right w:val="nil"/>
            </w:tcBorders>
            <w:shd w:val="clear" w:color="auto" w:fill="auto"/>
            <w:noWrap/>
            <w:vAlign w:val="bottom"/>
            <w:hideMark/>
          </w:tcPr>
          <w:p w14:paraId="3D458864"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 $50 million &amp; &lt; $100 million</w:t>
            </w:r>
          </w:p>
        </w:tc>
        <w:tc>
          <w:tcPr>
            <w:tcW w:w="880" w:type="pct"/>
            <w:tcBorders>
              <w:top w:val="nil"/>
              <w:left w:val="nil"/>
              <w:bottom w:val="nil"/>
              <w:right w:val="nil"/>
            </w:tcBorders>
            <w:shd w:val="clear" w:color="auto" w:fill="auto"/>
            <w:noWrap/>
            <w:vAlign w:val="bottom"/>
            <w:hideMark/>
          </w:tcPr>
          <w:p w14:paraId="2F8E3E65"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6</w:t>
            </w:r>
          </w:p>
        </w:tc>
        <w:tc>
          <w:tcPr>
            <w:tcW w:w="745" w:type="pct"/>
            <w:tcBorders>
              <w:top w:val="nil"/>
              <w:left w:val="nil"/>
              <w:bottom w:val="nil"/>
              <w:right w:val="nil"/>
            </w:tcBorders>
            <w:shd w:val="clear" w:color="auto" w:fill="auto"/>
            <w:noWrap/>
            <w:vAlign w:val="bottom"/>
            <w:hideMark/>
          </w:tcPr>
          <w:p w14:paraId="7EFC68E7"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0.3</w:t>
            </w:r>
          </w:p>
        </w:tc>
        <w:tc>
          <w:tcPr>
            <w:tcW w:w="663" w:type="pct"/>
            <w:tcBorders>
              <w:top w:val="nil"/>
              <w:left w:val="nil"/>
              <w:bottom w:val="nil"/>
              <w:right w:val="nil"/>
            </w:tcBorders>
            <w:shd w:val="clear" w:color="auto" w:fill="auto"/>
            <w:noWrap/>
            <w:vAlign w:val="bottom"/>
            <w:hideMark/>
          </w:tcPr>
          <w:p w14:paraId="3451594F"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82</w:t>
            </w:r>
          </w:p>
        </w:tc>
        <w:tc>
          <w:tcPr>
            <w:tcW w:w="739" w:type="pct"/>
            <w:tcBorders>
              <w:top w:val="nil"/>
              <w:left w:val="nil"/>
              <w:bottom w:val="nil"/>
              <w:right w:val="nil"/>
            </w:tcBorders>
            <w:shd w:val="clear" w:color="auto" w:fill="auto"/>
            <w:noWrap/>
            <w:vAlign w:val="bottom"/>
            <w:hideMark/>
          </w:tcPr>
          <w:p w14:paraId="2FDBFB0D"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5.8</w:t>
            </w:r>
          </w:p>
        </w:tc>
      </w:tr>
      <w:tr w:rsidR="00947C1B" w:rsidRPr="006647F9" w14:paraId="7F25664E" w14:textId="77777777" w:rsidTr="003A0934">
        <w:trPr>
          <w:trHeight w:val="227"/>
        </w:trPr>
        <w:tc>
          <w:tcPr>
            <w:tcW w:w="1973" w:type="pct"/>
            <w:gridSpan w:val="2"/>
            <w:tcBorders>
              <w:top w:val="nil"/>
              <w:left w:val="nil"/>
              <w:bottom w:val="nil"/>
              <w:right w:val="nil"/>
            </w:tcBorders>
            <w:shd w:val="clear" w:color="auto" w:fill="auto"/>
            <w:noWrap/>
            <w:vAlign w:val="bottom"/>
            <w:hideMark/>
          </w:tcPr>
          <w:p w14:paraId="5F1FDF88"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 $100 million &amp; &lt; $500 million</w:t>
            </w:r>
          </w:p>
        </w:tc>
        <w:tc>
          <w:tcPr>
            <w:tcW w:w="880" w:type="pct"/>
            <w:tcBorders>
              <w:top w:val="nil"/>
              <w:left w:val="nil"/>
              <w:bottom w:val="nil"/>
              <w:right w:val="nil"/>
            </w:tcBorders>
            <w:shd w:val="clear" w:color="auto" w:fill="auto"/>
            <w:noWrap/>
            <w:vAlign w:val="bottom"/>
            <w:hideMark/>
          </w:tcPr>
          <w:p w14:paraId="64CF4AE8"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4</w:t>
            </w:r>
          </w:p>
        </w:tc>
        <w:tc>
          <w:tcPr>
            <w:tcW w:w="745" w:type="pct"/>
            <w:tcBorders>
              <w:top w:val="nil"/>
              <w:left w:val="nil"/>
              <w:bottom w:val="nil"/>
              <w:right w:val="nil"/>
            </w:tcBorders>
            <w:shd w:val="clear" w:color="auto" w:fill="auto"/>
            <w:noWrap/>
            <w:vAlign w:val="bottom"/>
            <w:hideMark/>
          </w:tcPr>
          <w:p w14:paraId="7F7992B3"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0.6</w:t>
            </w:r>
          </w:p>
        </w:tc>
        <w:tc>
          <w:tcPr>
            <w:tcW w:w="663" w:type="pct"/>
            <w:tcBorders>
              <w:top w:val="nil"/>
              <w:left w:val="nil"/>
              <w:bottom w:val="nil"/>
              <w:right w:val="nil"/>
            </w:tcBorders>
            <w:shd w:val="clear" w:color="auto" w:fill="auto"/>
            <w:noWrap/>
            <w:vAlign w:val="bottom"/>
            <w:hideMark/>
          </w:tcPr>
          <w:p w14:paraId="75FDD6DC"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211</w:t>
            </w:r>
          </w:p>
        </w:tc>
        <w:tc>
          <w:tcPr>
            <w:tcW w:w="739" w:type="pct"/>
            <w:tcBorders>
              <w:top w:val="nil"/>
              <w:left w:val="nil"/>
              <w:bottom w:val="nil"/>
              <w:right w:val="nil"/>
            </w:tcBorders>
            <w:shd w:val="clear" w:color="auto" w:fill="auto"/>
            <w:noWrap/>
            <w:vAlign w:val="bottom"/>
            <w:hideMark/>
          </w:tcPr>
          <w:p w14:paraId="26289D40"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49.9</w:t>
            </w:r>
          </w:p>
        </w:tc>
      </w:tr>
      <w:tr w:rsidR="00947C1B" w:rsidRPr="006647F9" w14:paraId="6B7D2A73" w14:textId="77777777" w:rsidTr="003A0934">
        <w:trPr>
          <w:trHeight w:val="227"/>
        </w:trPr>
        <w:tc>
          <w:tcPr>
            <w:tcW w:w="1973" w:type="pct"/>
            <w:gridSpan w:val="2"/>
            <w:tcBorders>
              <w:top w:val="nil"/>
              <w:left w:val="nil"/>
              <w:bottom w:val="nil"/>
              <w:right w:val="nil"/>
            </w:tcBorders>
            <w:shd w:val="clear" w:color="auto" w:fill="auto"/>
            <w:noWrap/>
            <w:vAlign w:val="bottom"/>
            <w:hideMark/>
          </w:tcPr>
          <w:p w14:paraId="58D2B82B"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 $500 million &amp; &lt; $1 billion</w:t>
            </w:r>
          </w:p>
        </w:tc>
        <w:tc>
          <w:tcPr>
            <w:tcW w:w="880" w:type="pct"/>
            <w:tcBorders>
              <w:top w:val="nil"/>
              <w:left w:val="nil"/>
              <w:bottom w:val="nil"/>
              <w:right w:val="nil"/>
            </w:tcBorders>
            <w:shd w:val="clear" w:color="auto" w:fill="auto"/>
            <w:noWrap/>
            <w:vAlign w:val="bottom"/>
            <w:hideMark/>
          </w:tcPr>
          <w:p w14:paraId="26F030F3"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1</w:t>
            </w:r>
          </w:p>
        </w:tc>
        <w:tc>
          <w:tcPr>
            <w:tcW w:w="745" w:type="pct"/>
            <w:tcBorders>
              <w:top w:val="nil"/>
              <w:left w:val="nil"/>
              <w:bottom w:val="nil"/>
              <w:right w:val="nil"/>
            </w:tcBorders>
            <w:shd w:val="clear" w:color="auto" w:fill="auto"/>
            <w:noWrap/>
            <w:vAlign w:val="bottom"/>
            <w:hideMark/>
          </w:tcPr>
          <w:p w14:paraId="6792A042"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1.0</w:t>
            </w:r>
          </w:p>
        </w:tc>
        <w:tc>
          <w:tcPr>
            <w:tcW w:w="663" w:type="pct"/>
            <w:tcBorders>
              <w:top w:val="nil"/>
              <w:left w:val="nil"/>
              <w:bottom w:val="nil"/>
              <w:right w:val="nil"/>
            </w:tcBorders>
            <w:shd w:val="clear" w:color="auto" w:fill="auto"/>
            <w:noWrap/>
            <w:vAlign w:val="bottom"/>
            <w:hideMark/>
          </w:tcPr>
          <w:p w14:paraId="7F1AF6D7"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47</w:t>
            </w:r>
          </w:p>
        </w:tc>
        <w:tc>
          <w:tcPr>
            <w:tcW w:w="739" w:type="pct"/>
            <w:tcBorders>
              <w:top w:val="nil"/>
              <w:left w:val="nil"/>
              <w:bottom w:val="nil"/>
              <w:right w:val="nil"/>
            </w:tcBorders>
            <w:shd w:val="clear" w:color="auto" w:fill="auto"/>
            <w:noWrap/>
            <w:vAlign w:val="bottom"/>
            <w:hideMark/>
          </w:tcPr>
          <w:p w14:paraId="487C8167"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33.7</w:t>
            </w:r>
          </w:p>
        </w:tc>
      </w:tr>
      <w:tr w:rsidR="00947C1B" w:rsidRPr="006647F9" w14:paraId="4C371C14" w14:textId="77777777" w:rsidTr="003A0934">
        <w:trPr>
          <w:trHeight w:val="227"/>
        </w:trPr>
        <w:tc>
          <w:tcPr>
            <w:tcW w:w="1973" w:type="pct"/>
            <w:gridSpan w:val="2"/>
            <w:tcBorders>
              <w:top w:val="nil"/>
              <w:left w:val="nil"/>
              <w:bottom w:val="nil"/>
              <w:right w:val="nil"/>
            </w:tcBorders>
            <w:shd w:val="clear" w:color="auto" w:fill="auto"/>
            <w:noWrap/>
            <w:vAlign w:val="bottom"/>
            <w:hideMark/>
          </w:tcPr>
          <w:p w14:paraId="3BD27C68"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 $1 billion &amp; &lt; $2 billion</w:t>
            </w:r>
          </w:p>
        </w:tc>
        <w:tc>
          <w:tcPr>
            <w:tcW w:w="880" w:type="pct"/>
            <w:tcBorders>
              <w:top w:val="nil"/>
              <w:left w:val="nil"/>
              <w:bottom w:val="nil"/>
              <w:right w:val="nil"/>
            </w:tcBorders>
            <w:shd w:val="clear" w:color="auto" w:fill="auto"/>
            <w:noWrap/>
            <w:vAlign w:val="bottom"/>
            <w:hideMark/>
          </w:tcPr>
          <w:p w14:paraId="14FB7AB9"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0</w:t>
            </w:r>
          </w:p>
        </w:tc>
        <w:tc>
          <w:tcPr>
            <w:tcW w:w="745" w:type="pct"/>
            <w:tcBorders>
              <w:top w:val="nil"/>
              <w:left w:val="nil"/>
              <w:bottom w:val="nil"/>
              <w:right w:val="nil"/>
            </w:tcBorders>
            <w:shd w:val="clear" w:color="auto" w:fill="auto"/>
            <w:noWrap/>
            <w:vAlign w:val="bottom"/>
            <w:hideMark/>
          </w:tcPr>
          <w:p w14:paraId="0E9FD5FD"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0.0</w:t>
            </w:r>
          </w:p>
        </w:tc>
        <w:tc>
          <w:tcPr>
            <w:tcW w:w="663" w:type="pct"/>
            <w:tcBorders>
              <w:top w:val="nil"/>
              <w:left w:val="nil"/>
              <w:bottom w:val="nil"/>
              <w:right w:val="nil"/>
            </w:tcBorders>
            <w:shd w:val="clear" w:color="auto" w:fill="auto"/>
            <w:noWrap/>
            <w:vAlign w:val="bottom"/>
            <w:hideMark/>
          </w:tcPr>
          <w:p w14:paraId="24E10907"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22</w:t>
            </w:r>
          </w:p>
        </w:tc>
        <w:tc>
          <w:tcPr>
            <w:tcW w:w="739" w:type="pct"/>
            <w:tcBorders>
              <w:top w:val="nil"/>
              <w:left w:val="nil"/>
              <w:bottom w:val="nil"/>
              <w:right w:val="nil"/>
            </w:tcBorders>
            <w:shd w:val="clear" w:color="auto" w:fill="auto"/>
            <w:noWrap/>
            <w:vAlign w:val="bottom"/>
            <w:hideMark/>
          </w:tcPr>
          <w:p w14:paraId="68241B45"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29.1</w:t>
            </w:r>
          </w:p>
        </w:tc>
      </w:tr>
      <w:tr w:rsidR="00947C1B" w:rsidRPr="006647F9" w14:paraId="6A6D102E" w14:textId="77777777" w:rsidTr="003A0934">
        <w:trPr>
          <w:trHeight w:val="227"/>
        </w:trPr>
        <w:tc>
          <w:tcPr>
            <w:tcW w:w="1973" w:type="pct"/>
            <w:gridSpan w:val="2"/>
            <w:tcBorders>
              <w:top w:val="nil"/>
              <w:left w:val="nil"/>
              <w:bottom w:val="nil"/>
              <w:right w:val="nil"/>
            </w:tcBorders>
            <w:shd w:val="clear" w:color="auto" w:fill="auto"/>
            <w:noWrap/>
            <w:vAlign w:val="bottom"/>
            <w:hideMark/>
          </w:tcPr>
          <w:p w14:paraId="793D0853"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 $2 billion</w:t>
            </w:r>
          </w:p>
        </w:tc>
        <w:tc>
          <w:tcPr>
            <w:tcW w:w="880" w:type="pct"/>
            <w:tcBorders>
              <w:top w:val="nil"/>
              <w:left w:val="nil"/>
              <w:bottom w:val="single" w:sz="4" w:space="0" w:color="auto"/>
              <w:right w:val="nil"/>
            </w:tcBorders>
            <w:shd w:val="clear" w:color="auto" w:fill="auto"/>
            <w:noWrap/>
            <w:vAlign w:val="bottom"/>
            <w:hideMark/>
          </w:tcPr>
          <w:p w14:paraId="357548EC"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0</w:t>
            </w:r>
          </w:p>
        </w:tc>
        <w:tc>
          <w:tcPr>
            <w:tcW w:w="745" w:type="pct"/>
            <w:tcBorders>
              <w:top w:val="nil"/>
              <w:left w:val="nil"/>
              <w:bottom w:val="single" w:sz="4" w:space="0" w:color="auto"/>
              <w:right w:val="nil"/>
            </w:tcBorders>
            <w:shd w:val="clear" w:color="auto" w:fill="auto"/>
            <w:noWrap/>
            <w:vAlign w:val="bottom"/>
            <w:hideMark/>
          </w:tcPr>
          <w:p w14:paraId="6F7B4772"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0.0</w:t>
            </w:r>
          </w:p>
        </w:tc>
        <w:tc>
          <w:tcPr>
            <w:tcW w:w="663" w:type="pct"/>
            <w:tcBorders>
              <w:top w:val="nil"/>
              <w:left w:val="nil"/>
              <w:bottom w:val="single" w:sz="4" w:space="0" w:color="auto"/>
              <w:right w:val="nil"/>
            </w:tcBorders>
            <w:shd w:val="clear" w:color="auto" w:fill="auto"/>
            <w:noWrap/>
            <w:vAlign w:val="bottom"/>
            <w:hideMark/>
          </w:tcPr>
          <w:p w14:paraId="6770C5B7"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11</w:t>
            </w:r>
          </w:p>
        </w:tc>
        <w:tc>
          <w:tcPr>
            <w:tcW w:w="739" w:type="pct"/>
            <w:tcBorders>
              <w:top w:val="nil"/>
              <w:left w:val="nil"/>
              <w:bottom w:val="single" w:sz="4" w:space="0" w:color="auto"/>
              <w:right w:val="nil"/>
            </w:tcBorders>
            <w:shd w:val="clear" w:color="auto" w:fill="auto"/>
            <w:noWrap/>
            <w:vAlign w:val="bottom"/>
            <w:hideMark/>
          </w:tcPr>
          <w:p w14:paraId="6C5DED7F"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62.4</w:t>
            </w:r>
          </w:p>
        </w:tc>
      </w:tr>
      <w:tr w:rsidR="00947C1B" w:rsidRPr="006647F9" w14:paraId="3B135947" w14:textId="77777777" w:rsidTr="003A0934">
        <w:trPr>
          <w:trHeight w:val="227"/>
        </w:trPr>
        <w:tc>
          <w:tcPr>
            <w:tcW w:w="667" w:type="pct"/>
            <w:tcBorders>
              <w:top w:val="nil"/>
              <w:left w:val="nil"/>
              <w:bottom w:val="single" w:sz="4" w:space="0" w:color="auto"/>
              <w:right w:val="nil"/>
            </w:tcBorders>
            <w:shd w:val="clear" w:color="auto" w:fill="auto"/>
            <w:noWrap/>
            <w:vAlign w:val="bottom"/>
            <w:hideMark/>
          </w:tcPr>
          <w:p w14:paraId="7512960A"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Total</w:t>
            </w:r>
          </w:p>
        </w:tc>
        <w:tc>
          <w:tcPr>
            <w:tcW w:w="1306" w:type="pct"/>
            <w:tcBorders>
              <w:top w:val="nil"/>
              <w:left w:val="nil"/>
              <w:bottom w:val="single" w:sz="4" w:space="0" w:color="auto"/>
              <w:right w:val="nil"/>
            </w:tcBorders>
            <w:shd w:val="clear" w:color="auto" w:fill="auto"/>
            <w:noWrap/>
            <w:vAlign w:val="bottom"/>
            <w:hideMark/>
          </w:tcPr>
          <w:p w14:paraId="6512FBF6" w14:textId="77777777" w:rsidR="00947C1B" w:rsidRPr="006647F9" w:rsidRDefault="00947C1B" w:rsidP="00947C1B">
            <w:pPr>
              <w:keepNext/>
              <w:keepLines/>
              <w:spacing w:after="0" w:line="240" w:lineRule="auto"/>
              <w:jc w:val="left"/>
              <w:rPr>
                <w:rFonts w:ascii="Arial" w:hAnsi="Arial" w:cs="Arial"/>
                <w:sz w:val="16"/>
                <w:szCs w:val="16"/>
              </w:rPr>
            </w:pPr>
            <w:r w:rsidRPr="006647F9">
              <w:rPr>
                <w:rFonts w:ascii="Arial" w:hAnsi="Arial" w:cs="Arial"/>
                <w:sz w:val="16"/>
                <w:szCs w:val="16"/>
              </w:rPr>
              <w:t> </w:t>
            </w:r>
          </w:p>
        </w:tc>
        <w:tc>
          <w:tcPr>
            <w:tcW w:w="880" w:type="pct"/>
            <w:tcBorders>
              <w:top w:val="nil"/>
              <w:left w:val="nil"/>
              <w:bottom w:val="single" w:sz="4" w:space="0" w:color="auto"/>
              <w:right w:val="nil"/>
            </w:tcBorders>
            <w:shd w:val="clear" w:color="auto" w:fill="auto"/>
            <w:noWrap/>
            <w:vAlign w:val="bottom"/>
            <w:hideMark/>
          </w:tcPr>
          <w:p w14:paraId="2458EFCD"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124</w:t>
            </w:r>
          </w:p>
        </w:tc>
        <w:tc>
          <w:tcPr>
            <w:tcW w:w="745" w:type="pct"/>
            <w:tcBorders>
              <w:top w:val="nil"/>
              <w:left w:val="nil"/>
              <w:bottom w:val="single" w:sz="4" w:space="0" w:color="auto"/>
              <w:right w:val="nil"/>
            </w:tcBorders>
            <w:shd w:val="clear" w:color="auto" w:fill="auto"/>
            <w:noWrap/>
            <w:vAlign w:val="bottom"/>
            <w:hideMark/>
          </w:tcPr>
          <w:p w14:paraId="02F44060"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2.7</w:t>
            </w:r>
          </w:p>
        </w:tc>
        <w:tc>
          <w:tcPr>
            <w:tcW w:w="663" w:type="pct"/>
            <w:tcBorders>
              <w:top w:val="nil"/>
              <w:left w:val="nil"/>
              <w:bottom w:val="single" w:sz="4" w:space="0" w:color="auto"/>
              <w:right w:val="nil"/>
            </w:tcBorders>
            <w:shd w:val="clear" w:color="auto" w:fill="auto"/>
            <w:noWrap/>
            <w:vAlign w:val="bottom"/>
            <w:hideMark/>
          </w:tcPr>
          <w:p w14:paraId="6F565F7D"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7</w:t>
            </w:r>
            <w:r w:rsidR="006647F9" w:rsidRPr="006647F9">
              <w:rPr>
                <w:rFonts w:ascii="Arial" w:hAnsi="Arial" w:cs="Arial"/>
                <w:sz w:val="16"/>
                <w:szCs w:val="16"/>
              </w:rPr>
              <w:t>,</w:t>
            </w:r>
            <w:r w:rsidRPr="006647F9">
              <w:rPr>
                <w:rFonts w:ascii="Arial" w:hAnsi="Arial" w:cs="Arial"/>
                <w:sz w:val="16"/>
                <w:szCs w:val="16"/>
              </w:rPr>
              <w:t>987</w:t>
            </w:r>
          </w:p>
        </w:tc>
        <w:tc>
          <w:tcPr>
            <w:tcW w:w="739" w:type="pct"/>
            <w:tcBorders>
              <w:top w:val="nil"/>
              <w:left w:val="nil"/>
              <w:bottom w:val="single" w:sz="4" w:space="0" w:color="auto"/>
              <w:right w:val="nil"/>
            </w:tcBorders>
            <w:shd w:val="clear" w:color="auto" w:fill="auto"/>
            <w:noWrap/>
            <w:vAlign w:val="bottom"/>
            <w:hideMark/>
          </w:tcPr>
          <w:p w14:paraId="5F9A3C97" w14:textId="77777777" w:rsidR="00947C1B" w:rsidRPr="006647F9" w:rsidRDefault="00947C1B" w:rsidP="00947C1B">
            <w:pPr>
              <w:keepNext/>
              <w:keepLines/>
              <w:spacing w:after="0" w:line="240" w:lineRule="auto"/>
              <w:jc w:val="right"/>
              <w:rPr>
                <w:rFonts w:ascii="Arial" w:hAnsi="Arial" w:cs="Arial"/>
                <w:sz w:val="16"/>
                <w:szCs w:val="16"/>
              </w:rPr>
            </w:pPr>
            <w:r w:rsidRPr="006647F9">
              <w:rPr>
                <w:rFonts w:ascii="Arial" w:hAnsi="Arial" w:cs="Arial"/>
                <w:sz w:val="16"/>
                <w:szCs w:val="16"/>
              </w:rPr>
              <w:t>192.8</w:t>
            </w:r>
          </w:p>
        </w:tc>
      </w:tr>
    </w:tbl>
    <w:p w14:paraId="7054CC43" w14:textId="77777777" w:rsidR="00F71E4D" w:rsidRDefault="00F71E4D" w:rsidP="00F71E4D">
      <w:pPr>
        <w:pStyle w:val="ChartorTableNote"/>
      </w:pPr>
      <w:r w:rsidRPr="00BF48CD">
        <w:t xml:space="preserve">Before republishing this data or comparing between years, thoroughly review the methodological and data caveats in Appendix B. </w:t>
      </w:r>
    </w:p>
    <w:p w14:paraId="002D0D85" w14:textId="77777777" w:rsidR="008F11F0" w:rsidRPr="008F11F0" w:rsidRDefault="008F11F0" w:rsidP="00377D63">
      <w:pPr>
        <w:pStyle w:val="SingleParagraph"/>
      </w:pPr>
    </w:p>
    <w:p w14:paraId="5B6C5F70" w14:textId="77777777" w:rsidR="00DE56DC" w:rsidRPr="00820C89" w:rsidRDefault="00DE56DC" w:rsidP="00DE56DC">
      <w:pPr>
        <w:pStyle w:val="Heading2"/>
      </w:pPr>
      <w:bookmarkStart w:id="93" w:name="_Toc31296904"/>
      <w:bookmarkStart w:id="94" w:name="_Toc31636022"/>
      <w:bookmarkStart w:id="95" w:name="_Toc31642791"/>
      <w:bookmarkStart w:id="96" w:name="_Toc32247800"/>
      <w:bookmarkStart w:id="97" w:name="_Toc63782931"/>
      <w:bookmarkStart w:id="98" w:name="_Toc75244060"/>
      <w:r w:rsidRPr="00820C89">
        <w:t>Approvals by industry sector</w:t>
      </w:r>
      <w:bookmarkEnd w:id="93"/>
      <w:bookmarkEnd w:id="94"/>
      <w:bookmarkEnd w:id="95"/>
      <w:bookmarkEnd w:id="96"/>
      <w:bookmarkEnd w:id="97"/>
      <w:bookmarkEnd w:id="98"/>
    </w:p>
    <w:p w14:paraId="67962766" w14:textId="7B899F7E" w:rsidR="00DE56DC" w:rsidRPr="008F11F0" w:rsidRDefault="00DE56DC" w:rsidP="00DE56DC">
      <w:pPr>
        <w:pStyle w:val="ChartMainHeading"/>
      </w:pPr>
      <w:bookmarkStart w:id="99" w:name="_Toc31716192"/>
      <w:bookmarkStart w:id="100" w:name="_Toc32247758"/>
      <w:bookmarkStart w:id="101" w:name="_Toc63782885"/>
      <w:bookmarkStart w:id="102" w:name="_Toc68697698"/>
      <w:r w:rsidRPr="008F11F0">
        <w:t>Chart 3.1: Approvals value by industry sector: 201</w:t>
      </w:r>
      <w:r w:rsidR="008F11F0">
        <w:t>8</w:t>
      </w:r>
      <w:r w:rsidR="00454210" w:rsidRPr="00820C89">
        <w:t>–</w:t>
      </w:r>
      <w:r w:rsidRPr="008F11F0">
        <w:t>1</w:t>
      </w:r>
      <w:r w:rsidR="008F11F0">
        <w:t>9</w:t>
      </w:r>
      <w:r w:rsidRPr="008F11F0">
        <w:t xml:space="preserve"> and 201</w:t>
      </w:r>
      <w:r w:rsidR="008F11F0">
        <w:t>9</w:t>
      </w:r>
      <w:r w:rsidR="00454210" w:rsidRPr="00820C89">
        <w:t>–</w:t>
      </w:r>
      <w:r w:rsidR="008F11F0">
        <w:t>20</w:t>
      </w:r>
      <w:bookmarkEnd w:id="99"/>
      <w:bookmarkEnd w:id="100"/>
      <w:bookmarkEnd w:id="101"/>
      <w:bookmarkEnd w:id="102"/>
    </w:p>
    <w:p w14:paraId="067268DF" w14:textId="1E2636B2" w:rsidR="00DE56DC" w:rsidRDefault="00E6535D" w:rsidP="00E6535D">
      <w:pPr>
        <w:pStyle w:val="ChartGraphic"/>
        <w:spacing w:after="240"/>
        <w:rPr>
          <w:highlight w:val="yellow"/>
        </w:rPr>
      </w:pPr>
      <w:r>
        <w:rPr>
          <w:noProof/>
        </w:rPr>
        <w:drawing>
          <wp:inline distT="0" distB="0" distL="0" distR="0" wp14:anchorId="3B0D18BD" wp14:editId="4368C8EA">
            <wp:extent cx="4895850" cy="3888000"/>
            <wp:effectExtent l="0" t="0" r="0" b="0"/>
            <wp:docPr id="1" name="Chart 1" descr="Chart 3.1: Approvals value by industry sector: 2018–19 and 2019–20.&#10;&#10;2018-19: Agriculture, forestry and fishing $7.3 billion, Finance and insurance $6.3 billion, Manufacturing, electricity and gas $36.7 billion, Mineral exploration and development $16.9 billion, Services $76.0 billion, Commercial real estate $73.0 billion, Residential real estate $14.8 billion.&#10;&#10;2019-20: Agriculture, forestry and fishing $8.3 billion, Finance and insurance $13.6 billion, Manufacturing, electricity and gas $33.0 billion, Mineral exploration and development $11.2 billion, Services $73.6 billion, Commercial real estate $38.8 billion, Residential real estate $17.1 bill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F5AF50" w14:textId="77777777" w:rsidR="00DE56DC" w:rsidRPr="008F11F0" w:rsidRDefault="00DE56DC" w:rsidP="00DE56DC">
      <w:pPr>
        <w:pStyle w:val="ChartMainHeading"/>
      </w:pPr>
      <w:bookmarkStart w:id="103" w:name="_Toc31716193"/>
      <w:bookmarkStart w:id="104" w:name="_Toc32247759"/>
      <w:bookmarkStart w:id="105" w:name="_Toc63782886"/>
      <w:bookmarkStart w:id="106" w:name="_Toc68697699"/>
      <w:r w:rsidRPr="008F11F0">
        <w:t>Chart 3.2: Share of total value of approvals, by industry sector in 201</w:t>
      </w:r>
      <w:r w:rsidR="008F11F0">
        <w:t>9</w:t>
      </w:r>
      <w:r w:rsidRPr="008F11F0">
        <w:t>–</w:t>
      </w:r>
      <w:r w:rsidR="008F11F0">
        <w:t>20</w:t>
      </w:r>
      <w:bookmarkEnd w:id="103"/>
      <w:bookmarkEnd w:id="104"/>
      <w:bookmarkEnd w:id="105"/>
      <w:bookmarkEnd w:id="106"/>
    </w:p>
    <w:p w14:paraId="56537225" w14:textId="65D3EC89" w:rsidR="00DE56DC" w:rsidRPr="00BC2CDA" w:rsidRDefault="00E6535D" w:rsidP="00377D63">
      <w:pPr>
        <w:pStyle w:val="ChartGraphic"/>
        <w:rPr>
          <w:highlight w:val="yellow"/>
        </w:rPr>
      </w:pPr>
      <w:r>
        <w:rPr>
          <w:noProof/>
        </w:rPr>
        <w:drawing>
          <wp:inline distT="0" distB="0" distL="0" distR="0" wp14:anchorId="0E263FDB" wp14:editId="6C6C603D">
            <wp:extent cx="4762500" cy="2503854"/>
            <wp:effectExtent l="0" t="0" r="0" b="0"/>
            <wp:docPr id="8" name="Chart 8" descr="Chart 3.2: Share of total value of approvals, by industry sector in 2019–20&#10;&#10;Agriculture, forestry and fishing 4%, Finance and insurance 7%, Manufacturing, electricity and gas 17%, Mineral Exploration and development 6%, Services 37%, Commercial real estate 20%, Residential real estat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A4EC670" w14:textId="77777777" w:rsidR="00DE56DC" w:rsidRPr="00E6535D" w:rsidRDefault="00DE56DC" w:rsidP="00E6535D">
      <w:pPr>
        <w:pStyle w:val="ChartorTableNote"/>
        <w:rPr>
          <w:b/>
          <w:bCs/>
        </w:rPr>
      </w:pPr>
      <w:r w:rsidRPr="00E6535D">
        <w:rPr>
          <w:b/>
          <w:bCs/>
        </w:rPr>
        <w:t>Notes applying to Charts 3.1 and 3.2</w:t>
      </w:r>
    </w:p>
    <w:p w14:paraId="1B1F9E17" w14:textId="77777777" w:rsidR="000B2082" w:rsidRDefault="000B2082" w:rsidP="000B2082">
      <w:pPr>
        <w:pStyle w:val="ChartorTableNote"/>
      </w:pPr>
      <w:r w:rsidRPr="00BF48CD">
        <w:t xml:space="preserve">Before republishing this data or comparing between years, thoroughly review the methodological and data caveats in Appendix B. </w:t>
      </w:r>
    </w:p>
    <w:p w14:paraId="5ED29014" w14:textId="77777777" w:rsidR="00077B5C" w:rsidRDefault="00077B5C" w:rsidP="009775D7">
      <w:r>
        <w:t xml:space="preserve">A </w:t>
      </w:r>
      <w:r w:rsidRPr="00736DF0">
        <w:t>total of 1,15</w:t>
      </w:r>
      <w:r w:rsidR="00E94F35">
        <w:t>5</w:t>
      </w:r>
      <w:r w:rsidR="00257007">
        <w:t> </w:t>
      </w:r>
      <w:r w:rsidRPr="00736DF0">
        <w:t xml:space="preserve">business applications </w:t>
      </w:r>
      <w:r w:rsidR="00F05A9D">
        <w:t>(</w:t>
      </w:r>
      <w:r w:rsidR="00E90EFF">
        <w:t xml:space="preserve">applications other than </w:t>
      </w:r>
      <w:r w:rsidR="009775D7">
        <w:t xml:space="preserve">residential real estate applications) </w:t>
      </w:r>
      <w:r w:rsidRPr="00736DF0">
        <w:t>worth $1</w:t>
      </w:r>
      <w:r w:rsidR="00E434B8">
        <w:t>7</w:t>
      </w:r>
      <w:r w:rsidRPr="00736DF0">
        <w:t>8.</w:t>
      </w:r>
      <w:r w:rsidR="00E434B8">
        <w:t>4</w:t>
      </w:r>
      <w:r w:rsidRPr="00736DF0">
        <w:t> billion were approved in 2019</w:t>
      </w:r>
      <w:r w:rsidR="00F26A86">
        <w:t>–</w:t>
      </w:r>
      <w:r w:rsidRPr="00736DF0">
        <w:t>20</w:t>
      </w:r>
      <w:r>
        <w:t xml:space="preserve"> </w:t>
      </w:r>
      <w:r w:rsidRPr="00736DF0">
        <w:t>compared to the 1,175</w:t>
      </w:r>
      <w:r w:rsidR="00257007">
        <w:t> </w:t>
      </w:r>
      <w:r w:rsidRPr="00736DF0">
        <w:t>business approvals worth $216.2 billion of proposed investment in 2018</w:t>
      </w:r>
      <w:r w:rsidR="00F26A86">
        <w:t>–</w:t>
      </w:r>
      <w:r w:rsidRPr="00736DF0">
        <w:t>19</w:t>
      </w:r>
      <w:r w:rsidR="009775D7">
        <w:t xml:space="preserve"> (see Table 3.7)</w:t>
      </w:r>
      <w:r w:rsidR="00E434B8">
        <w:t>.</w:t>
      </w:r>
    </w:p>
    <w:p w14:paraId="4EEE3AF0" w14:textId="77777777" w:rsidR="00DE56DC" w:rsidRPr="00820C89" w:rsidRDefault="00DE56DC" w:rsidP="00DE56DC">
      <w:r w:rsidRPr="00820C89">
        <w:t>In 201</w:t>
      </w:r>
      <w:r w:rsidR="003B642D" w:rsidRPr="00820C89">
        <w:t>9</w:t>
      </w:r>
      <w:r w:rsidR="00F26A86">
        <w:t>–</w:t>
      </w:r>
      <w:r w:rsidR="003B642D" w:rsidRPr="00820C89">
        <w:t>20</w:t>
      </w:r>
      <w:r w:rsidRPr="00820C89">
        <w:t>, the services sector again attracted the highest value of approved investment, totalling $7</w:t>
      </w:r>
      <w:r w:rsidR="003B642D" w:rsidRPr="00820C89">
        <w:t>3.</w:t>
      </w:r>
      <w:r w:rsidRPr="00820C89">
        <w:t>6 billion, followed</w:t>
      </w:r>
      <w:r w:rsidR="003B642D" w:rsidRPr="00820C89">
        <w:t xml:space="preserve"> again</w:t>
      </w:r>
      <w:r w:rsidRPr="00820C89">
        <w:t xml:space="preserve"> by commercial real estate, totalling $</w:t>
      </w:r>
      <w:r w:rsidR="00E434B8">
        <w:t>3</w:t>
      </w:r>
      <w:r w:rsidR="005C0EA3">
        <w:t>8.8</w:t>
      </w:r>
      <w:r w:rsidRPr="00820C89">
        <w:t xml:space="preserve"> billion. </w:t>
      </w:r>
      <w:r w:rsidR="003B642D" w:rsidRPr="00820C89">
        <w:t>In both sectors the approved investment decreased compared to 2018</w:t>
      </w:r>
      <w:r w:rsidR="00F26A86">
        <w:t>–</w:t>
      </w:r>
      <w:r w:rsidR="003B642D" w:rsidRPr="00820C89">
        <w:t>19 approvals (</w:t>
      </w:r>
      <w:r w:rsidR="008F11F0">
        <w:t xml:space="preserve">a decrease of </w:t>
      </w:r>
      <w:r w:rsidR="003B642D" w:rsidRPr="00820C89">
        <w:t>$2.4</w:t>
      </w:r>
      <w:r w:rsidR="008F11F0">
        <w:t> </w:t>
      </w:r>
      <w:r w:rsidR="003B642D" w:rsidRPr="00820C89">
        <w:t xml:space="preserve">billion </w:t>
      </w:r>
      <w:r w:rsidR="00C2626F" w:rsidRPr="00820C89">
        <w:t>and $3</w:t>
      </w:r>
      <w:r w:rsidR="005C0EA3">
        <w:t>4.2</w:t>
      </w:r>
      <w:r w:rsidR="00257007">
        <w:t> </w:t>
      </w:r>
      <w:r w:rsidR="00C2626F" w:rsidRPr="00820C89">
        <w:t>billion</w:t>
      </w:r>
      <w:r w:rsidR="008F11F0">
        <w:t xml:space="preserve"> respectively</w:t>
      </w:r>
      <w:r w:rsidR="00C2626F" w:rsidRPr="00820C89">
        <w:t>).</w:t>
      </w:r>
      <w:r w:rsidR="003B642D" w:rsidRPr="00820C89">
        <w:t xml:space="preserve"> </w:t>
      </w:r>
    </w:p>
    <w:p w14:paraId="2457E3B4" w14:textId="77777777" w:rsidR="00DE56DC" w:rsidRPr="00820C89" w:rsidRDefault="00DE56DC" w:rsidP="00DE56DC">
      <w:r w:rsidRPr="00820C89">
        <w:t xml:space="preserve">The value of approvals in the manufacturing, electricity and gas sector </w:t>
      </w:r>
      <w:r w:rsidR="00B5474F">
        <w:t>decreased</w:t>
      </w:r>
      <w:r w:rsidR="00C2626F" w:rsidRPr="00820C89">
        <w:t xml:space="preserve"> by $3.7</w:t>
      </w:r>
      <w:r w:rsidR="00257007">
        <w:t> </w:t>
      </w:r>
      <w:r w:rsidR="00C2626F" w:rsidRPr="00820C89">
        <w:t xml:space="preserve">billion </w:t>
      </w:r>
      <w:r w:rsidR="00B5474F">
        <w:t>(</w:t>
      </w:r>
      <w:r w:rsidR="00C2626F" w:rsidRPr="00820C89">
        <w:t>to</w:t>
      </w:r>
      <w:r w:rsidR="00B5474F">
        <w:t> </w:t>
      </w:r>
      <w:r w:rsidR="00C2626F" w:rsidRPr="00820C89">
        <w:t>$33.0</w:t>
      </w:r>
      <w:r w:rsidR="00257007">
        <w:t> </w:t>
      </w:r>
      <w:r w:rsidR="00C2626F" w:rsidRPr="00820C89">
        <w:t>billion</w:t>
      </w:r>
      <w:r w:rsidR="00B5474F">
        <w:t>)</w:t>
      </w:r>
      <w:r w:rsidR="00C2626F" w:rsidRPr="00820C89">
        <w:t xml:space="preserve"> compared to 2018</w:t>
      </w:r>
      <w:r w:rsidR="00F26A86">
        <w:t>–</w:t>
      </w:r>
      <w:r w:rsidR="00C2626F" w:rsidRPr="00820C89">
        <w:t xml:space="preserve">19 </w:t>
      </w:r>
      <w:r w:rsidRPr="00820C89">
        <w:t xml:space="preserve">and </w:t>
      </w:r>
      <w:r w:rsidR="00B5474F">
        <w:t xml:space="preserve">the </w:t>
      </w:r>
      <w:r w:rsidR="00B418EC" w:rsidRPr="00820C89">
        <w:t xml:space="preserve">mineral exploration and development sector </w:t>
      </w:r>
      <w:r w:rsidR="00B5474F">
        <w:t xml:space="preserve">decreased </w:t>
      </w:r>
      <w:r w:rsidR="00B418EC" w:rsidRPr="00820C89">
        <w:t xml:space="preserve">by $5.7 billion </w:t>
      </w:r>
      <w:r w:rsidR="00B5474F">
        <w:t>(</w:t>
      </w:r>
      <w:r w:rsidR="00B418EC" w:rsidRPr="00820C89">
        <w:t>to $11.2 billion</w:t>
      </w:r>
      <w:r w:rsidR="00B5474F">
        <w:t>)</w:t>
      </w:r>
      <w:r w:rsidR="00B418EC" w:rsidRPr="00820C89">
        <w:t xml:space="preserve">. </w:t>
      </w:r>
    </w:p>
    <w:p w14:paraId="5AC7340D" w14:textId="77777777" w:rsidR="00DE56DC" w:rsidRPr="00820C89" w:rsidRDefault="00DE56DC" w:rsidP="00DE56DC">
      <w:r w:rsidRPr="00820C89">
        <w:t>In 201</w:t>
      </w:r>
      <w:r w:rsidR="00B418EC" w:rsidRPr="00820C89">
        <w:t>9</w:t>
      </w:r>
      <w:r w:rsidR="00F26A86">
        <w:t>–</w:t>
      </w:r>
      <w:r w:rsidR="00B418EC" w:rsidRPr="00820C89">
        <w:t>20</w:t>
      </w:r>
      <w:r w:rsidRPr="00820C89">
        <w:t xml:space="preserve">, </w:t>
      </w:r>
      <w:r w:rsidR="00B5474F">
        <w:t xml:space="preserve">the </w:t>
      </w:r>
      <w:r w:rsidR="00F6204B">
        <w:t xml:space="preserve">value of approvals in the </w:t>
      </w:r>
      <w:r w:rsidR="00B418EC" w:rsidRPr="00820C89">
        <w:t>finance and insurance</w:t>
      </w:r>
      <w:r w:rsidR="00B5474F">
        <w:t xml:space="preserve"> </w:t>
      </w:r>
      <w:r w:rsidR="00B418EC" w:rsidRPr="00820C89">
        <w:t>s</w:t>
      </w:r>
      <w:r w:rsidR="00B5474F">
        <w:t>ector</w:t>
      </w:r>
      <w:r w:rsidR="00B418EC" w:rsidRPr="00820C89">
        <w:t xml:space="preserve"> increased by $7.3</w:t>
      </w:r>
      <w:r w:rsidR="00257007">
        <w:t> </w:t>
      </w:r>
      <w:r w:rsidR="00B418EC" w:rsidRPr="00820C89">
        <w:t>billion (to $13.6</w:t>
      </w:r>
      <w:r w:rsidR="00257007">
        <w:t> </w:t>
      </w:r>
      <w:r w:rsidR="00B418EC" w:rsidRPr="00820C89">
        <w:t>billion</w:t>
      </w:r>
      <w:r w:rsidR="00A7017F" w:rsidRPr="00820C89">
        <w:t xml:space="preserve">), </w:t>
      </w:r>
      <w:r w:rsidRPr="00820C89">
        <w:t xml:space="preserve">residential real estate saw an increase in the value of approvals </w:t>
      </w:r>
      <w:r w:rsidR="00B418EC" w:rsidRPr="00820C89">
        <w:t>of $</w:t>
      </w:r>
      <w:r w:rsidR="001951C9">
        <w:t>2.3</w:t>
      </w:r>
      <w:r w:rsidR="00257007">
        <w:t> </w:t>
      </w:r>
      <w:r w:rsidR="00B418EC" w:rsidRPr="00820C89">
        <w:t>billion (to $1</w:t>
      </w:r>
      <w:r w:rsidR="001951C9">
        <w:t>7.1</w:t>
      </w:r>
      <w:r w:rsidR="00257007">
        <w:t> </w:t>
      </w:r>
      <w:r w:rsidR="00B418EC" w:rsidRPr="00820C89">
        <w:t>billion</w:t>
      </w:r>
      <w:r w:rsidR="00A7017F" w:rsidRPr="00820C89">
        <w:t xml:space="preserve">) and agriculture, forestry and </w:t>
      </w:r>
      <w:r w:rsidR="001951C9">
        <w:t>fishing increased by $</w:t>
      </w:r>
      <w:r w:rsidR="005C0EA3">
        <w:t>1.</w:t>
      </w:r>
      <w:r w:rsidR="001951C9">
        <w:t>0</w:t>
      </w:r>
      <w:r w:rsidR="00A7017F" w:rsidRPr="00820C89">
        <w:t> billion (to $</w:t>
      </w:r>
      <w:r w:rsidR="005C0EA3">
        <w:t>8.3</w:t>
      </w:r>
      <w:r w:rsidR="00A7017F" w:rsidRPr="00820C89">
        <w:t> billion).</w:t>
      </w:r>
      <w:r w:rsidR="00B418EC" w:rsidRPr="00820C89">
        <w:t xml:space="preserve"> </w:t>
      </w:r>
    </w:p>
    <w:p w14:paraId="2724B163" w14:textId="77777777" w:rsidR="00A7017F" w:rsidRPr="00820C89" w:rsidRDefault="00A7017F" w:rsidP="00DE56DC">
      <w:r w:rsidRPr="00820C89">
        <w:t xml:space="preserve">Over the last four years the value of approvals in </w:t>
      </w:r>
      <w:r w:rsidR="00D66465">
        <w:t xml:space="preserve">the </w:t>
      </w:r>
      <w:r w:rsidRPr="00820C89">
        <w:t>agriculture, forestry and fishing sector has remained relatively stable at between $7</w:t>
      </w:r>
      <w:r w:rsidR="00D9412E">
        <w:t>.0 billion</w:t>
      </w:r>
      <w:r w:rsidRPr="00820C89">
        <w:t xml:space="preserve"> and $8</w:t>
      </w:r>
      <w:r w:rsidR="005C0EA3">
        <w:t>.</w:t>
      </w:r>
      <w:r w:rsidR="00B95104">
        <w:t>3</w:t>
      </w:r>
      <w:r w:rsidR="00257007">
        <w:t> </w:t>
      </w:r>
      <w:r w:rsidRPr="00820C89">
        <w:t>billion</w:t>
      </w:r>
      <w:r w:rsidR="00257007">
        <w:t> </w:t>
      </w:r>
      <w:r w:rsidRPr="00820C89">
        <w:t>per</w:t>
      </w:r>
      <w:r w:rsidR="00257007">
        <w:t> </w:t>
      </w:r>
      <w:r w:rsidRPr="00820C89">
        <w:t xml:space="preserve">year. </w:t>
      </w:r>
      <w:r w:rsidR="00D57761" w:rsidRPr="00820C89">
        <w:t>For the first time in four</w:t>
      </w:r>
      <w:r w:rsidR="00257007">
        <w:t> </w:t>
      </w:r>
      <w:r w:rsidR="00D57761" w:rsidRPr="00820C89">
        <w:t xml:space="preserve">years </w:t>
      </w:r>
      <w:r w:rsidR="00D66465">
        <w:t>the</w:t>
      </w:r>
      <w:r w:rsidR="00D57761" w:rsidRPr="00820C89">
        <w:t xml:space="preserve"> agriculture, forestry and fishing sector has been the smallest sector by value for</w:t>
      </w:r>
      <w:r w:rsidR="00B5474F">
        <w:t xml:space="preserve"> proposed</w:t>
      </w:r>
      <w:r w:rsidR="00D57761" w:rsidRPr="00820C89">
        <w:t xml:space="preserve"> investment approvals. </w:t>
      </w:r>
    </w:p>
    <w:p w14:paraId="45B5F490" w14:textId="77777777" w:rsidR="00D57761" w:rsidRPr="00820C89" w:rsidRDefault="00A359D3" w:rsidP="00F6204B">
      <w:pPr>
        <w:pStyle w:val="TableMainHeading"/>
        <w:keepLines/>
      </w:pPr>
      <w:bookmarkStart w:id="107" w:name="_Toc63798275"/>
      <w:bookmarkStart w:id="108" w:name="_Toc73984734"/>
      <w:r>
        <w:t>Table 3.7</w:t>
      </w:r>
      <w:r w:rsidR="00D57761" w:rsidRPr="00820C89">
        <w:t>: Total approvals by industry sector: 2016–17 to 2019–20</w:t>
      </w:r>
      <w:bookmarkEnd w:id="107"/>
      <w:bookmarkEnd w:id="108"/>
    </w:p>
    <w:tbl>
      <w:tblPr>
        <w:tblW w:w="5000" w:type="pct"/>
        <w:tblLook w:val="04A0" w:firstRow="1" w:lastRow="0" w:firstColumn="1" w:lastColumn="0" w:noHBand="0" w:noVBand="1"/>
      </w:tblPr>
      <w:tblGrid>
        <w:gridCol w:w="2134"/>
        <w:gridCol w:w="720"/>
        <w:gridCol w:w="629"/>
        <w:gridCol w:w="720"/>
        <w:gridCol w:w="629"/>
        <w:gridCol w:w="810"/>
        <w:gridCol w:w="629"/>
        <w:gridCol w:w="810"/>
        <w:gridCol w:w="629"/>
      </w:tblGrid>
      <w:tr w:rsidR="00E94F35" w:rsidRPr="00E94F35" w14:paraId="776D9750" w14:textId="77777777" w:rsidTr="00454210">
        <w:trPr>
          <w:trHeight w:val="225"/>
        </w:trPr>
        <w:tc>
          <w:tcPr>
            <w:tcW w:w="0" w:type="auto"/>
            <w:tcBorders>
              <w:top w:val="single" w:sz="4" w:space="0" w:color="auto"/>
              <w:left w:val="nil"/>
              <w:bottom w:val="nil"/>
              <w:right w:val="nil"/>
            </w:tcBorders>
            <w:shd w:val="clear" w:color="000000" w:fill="FFFFFF"/>
            <w:noWrap/>
            <w:vAlign w:val="center"/>
            <w:hideMark/>
          </w:tcPr>
          <w:p w14:paraId="70740ABB" w14:textId="77777777" w:rsidR="00E94F35" w:rsidRPr="00E94F35" w:rsidRDefault="00E94F35" w:rsidP="00E94F35">
            <w:pPr>
              <w:spacing w:after="0" w:line="240" w:lineRule="auto"/>
              <w:jc w:val="left"/>
              <w:rPr>
                <w:rFonts w:ascii="Arial" w:hAnsi="Arial" w:cs="Arial"/>
                <w:sz w:val="16"/>
                <w:szCs w:val="16"/>
              </w:rPr>
            </w:pPr>
            <w:r w:rsidRPr="00E94F35">
              <w:rPr>
                <w:rFonts w:ascii="Arial" w:hAnsi="Arial" w:cs="Arial"/>
                <w:sz w:val="16"/>
                <w:szCs w:val="16"/>
              </w:rPr>
              <w:t> </w:t>
            </w:r>
          </w:p>
        </w:tc>
        <w:tc>
          <w:tcPr>
            <w:tcW w:w="0" w:type="auto"/>
            <w:gridSpan w:val="2"/>
            <w:tcBorders>
              <w:top w:val="single" w:sz="4" w:space="0" w:color="auto"/>
              <w:left w:val="nil"/>
              <w:bottom w:val="nil"/>
              <w:right w:val="nil"/>
            </w:tcBorders>
            <w:shd w:val="clear" w:color="000000" w:fill="FFFFFF"/>
            <w:noWrap/>
            <w:vAlign w:val="center"/>
            <w:hideMark/>
          </w:tcPr>
          <w:p w14:paraId="2ECCA0A5"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2016</w:t>
            </w:r>
            <w:r w:rsidR="00F26A86">
              <w:rPr>
                <w:rFonts w:ascii="Arial" w:hAnsi="Arial" w:cs="Arial"/>
                <w:color w:val="auto"/>
                <w:sz w:val="16"/>
                <w:szCs w:val="16"/>
              </w:rPr>
              <w:t>–</w:t>
            </w:r>
            <w:r w:rsidRPr="00E94F35">
              <w:rPr>
                <w:rFonts w:ascii="Arial" w:hAnsi="Arial" w:cs="Arial"/>
                <w:color w:val="auto"/>
                <w:sz w:val="16"/>
                <w:szCs w:val="16"/>
              </w:rPr>
              <w:t>17</w:t>
            </w:r>
          </w:p>
        </w:tc>
        <w:tc>
          <w:tcPr>
            <w:tcW w:w="0" w:type="auto"/>
            <w:gridSpan w:val="2"/>
            <w:tcBorders>
              <w:top w:val="single" w:sz="4" w:space="0" w:color="auto"/>
              <w:left w:val="nil"/>
              <w:bottom w:val="nil"/>
              <w:right w:val="nil"/>
            </w:tcBorders>
            <w:shd w:val="clear" w:color="000000" w:fill="FFFFFF"/>
            <w:noWrap/>
            <w:vAlign w:val="center"/>
            <w:hideMark/>
          </w:tcPr>
          <w:p w14:paraId="7B3BA564"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2017</w:t>
            </w:r>
            <w:r w:rsidR="00F26A86">
              <w:rPr>
                <w:rFonts w:ascii="Arial" w:hAnsi="Arial" w:cs="Arial"/>
                <w:color w:val="auto"/>
                <w:sz w:val="16"/>
                <w:szCs w:val="16"/>
              </w:rPr>
              <w:t>–</w:t>
            </w:r>
            <w:r w:rsidRPr="00E94F35">
              <w:rPr>
                <w:rFonts w:ascii="Arial" w:hAnsi="Arial" w:cs="Arial"/>
                <w:color w:val="auto"/>
                <w:sz w:val="16"/>
                <w:szCs w:val="16"/>
              </w:rPr>
              <w:t>18</w:t>
            </w:r>
          </w:p>
        </w:tc>
        <w:tc>
          <w:tcPr>
            <w:tcW w:w="0" w:type="auto"/>
            <w:gridSpan w:val="2"/>
            <w:tcBorders>
              <w:top w:val="single" w:sz="4" w:space="0" w:color="auto"/>
              <w:left w:val="nil"/>
              <w:bottom w:val="single" w:sz="4" w:space="0" w:color="auto"/>
            </w:tcBorders>
            <w:shd w:val="clear" w:color="000000" w:fill="FFFFFF"/>
            <w:noWrap/>
            <w:vAlign w:val="center"/>
            <w:hideMark/>
          </w:tcPr>
          <w:p w14:paraId="3A44EA29"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2018</w:t>
            </w:r>
            <w:r w:rsidR="00F26A86">
              <w:rPr>
                <w:rFonts w:ascii="Arial" w:hAnsi="Arial" w:cs="Arial"/>
                <w:color w:val="auto"/>
                <w:sz w:val="16"/>
                <w:szCs w:val="16"/>
              </w:rPr>
              <w:t>–</w:t>
            </w:r>
            <w:r w:rsidRPr="00E94F35">
              <w:rPr>
                <w:rFonts w:ascii="Arial" w:hAnsi="Arial" w:cs="Arial"/>
                <w:color w:val="auto"/>
                <w:sz w:val="16"/>
                <w:szCs w:val="16"/>
              </w:rPr>
              <w:t>19</w:t>
            </w:r>
          </w:p>
        </w:tc>
        <w:tc>
          <w:tcPr>
            <w:tcW w:w="0" w:type="auto"/>
            <w:gridSpan w:val="2"/>
            <w:tcBorders>
              <w:top w:val="single" w:sz="4" w:space="0" w:color="auto"/>
              <w:bottom w:val="single" w:sz="4" w:space="0" w:color="auto"/>
            </w:tcBorders>
            <w:shd w:val="clear" w:color="000000" w:fill="F2F2F2"/>
            <w:noWrap/>
            <w:vAlign w:val="center"/>
            <w:hideMark/>
          </w:tcPr>
          <w:p w14:paraId="00D7F20D"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2019</w:t>
            </w:r>
            <w:r w:rsidR="00F26A86">
              <w:rPr>
                <w:rFonts w:ascii="Arial" w:hAnsi="Arial" w:cs="Arial"/>
                <w:color w:val="auto"/>
                <w:sz w:val="16"/>
                <w:szCs w:val="16"/>
              </w:rPr>
              <w:t>–</w:t>
            </w:r>
            <w:r w:rsidRPr="00E94F35">
              <w:rPr>
                <w:rFonts w:ascii="Arial" w:hAnsi="Arial" w:cs="Arial"/>
                <w:color w:val="auto"/>
                <w:sz w:val="16"/>
                <w:szCs w:val="16"/>
              </w:rPr>
              <w:t>20</w:t>
            </w:r>
          </w:p>
        </w:tc>
      </w:tr>
      <w:tr w:rsidR="00E94F35" w:rsidRPr="00E94F35" w14:paraId="2E35632F" w14:textId="77777777" w:rsidTr="00F71E81">
        <w:trPr>
          <w:trHeight w:val="400"/>
        </w:trPr>
        <w:tc>
          <w:tcPr>
            <w:tcW w:w="0" w:type="auto"/>
            <w:tcBorders>
              <w:top w:val="nil"/>
              <w:left w:val="nil"/>
              <w:bottom w:val="single" w:sz="4" w:space="0" w:color="auto"/>
              <w:right w:val="nil"/>
            </w:tcBorders>
            <w:shd w:val="clear" w:color="000000" w:fill="FFFFFF"/>
            <w:vAlign w:val="center"/>
            <w:hideMark/>
          </w:tcPr>
          <w:p w14:paraId="4252D9EA" w14:textId="77777777" w:rsidR="00E94F35" w:rsidRPr="00E94F35" w:rsidRDefault="00E94F35" w:rsidP="00E94F35">
            <w:pPr>
              <w:spacing w:after="0" w:line="240" w:lineRule="auto"/>
              <w:jc w:val="left"/>
              <w:rPr>
                <w:rFonts w:ascii="Arial" w:hAnsi="Arial" w:cs="Arial"/>
                <w:color w:val="auto"/>
                <w:sz w:val="16"/>
                <w:szCs w:val="16"/>
              </w:rPr>
            </w:pPr>
            <w:r w:rsidRPr="00E94F35">
              <w:rPr>
                <w:rFonts w:ascii="Arial" w:hAnsi="Arial" w:cs="Arial"/>
                <w:color w:val="auto"/>
                <w:sz w:val="16"/>
                <w:szCs w:val="16"/>
              </w:rPr>
              <w:t>Industry Sector</w:t>
            </w:r>
          </w:p>
        </w:tc>
        <w:tc>
          <w:tcPr>
            <w:tcW w:w="0" w:type="auto"/>
            <w:tcBorders>
              <w:top w:val="single" w:sz="4" w:space="0" w:color="auto"/>
              <w:left w:val="nil"/>
              <w:bottom w:val="single" w:sz="4" w:space="0" w:color="auto"/>
              <w:right w:val="nil"/>
            </w:tcBorders>
            <w:shd w:val="clear" w:color="000000" w:fill="FFFFFF"/>
            <w:vAlign w:val="center"/>
            <w:hideMark/>
          </w:tcPr>
          <w:p w14:paraId="7F7EC324"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No.</w:t>
            </w:r>
          </w:p>
        </w:tc>
        <w:tc>
          <w:tcPr>
            <w:tcW w:w="0" w:type="auto"/>
            <w:tcBorders>
              <w:top w:val="single" w:sz="4" w:space="0" w:color="auto"/>
              <w:left w:val="nil"/>
              <w:bottom w:val="single" w:sz="4" w:space="0" w:color="auto"/>
              <w:right w:val="nil"/>
            </w:tcBorders>
            <w:shd w:val="clear" w:color="000000" w:fill="FFFFFF"/>
            <w:vAlign w:val="center"/>
            <w:hideMark/>
          </w:tcPr>
          <w:p w14:paraId="3D1133D0"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$b</w:t>
            </w:r>
          </w:p>
        </w:tc>
        <w:tc>
          <w:tcPr>
            <w:tcW w:w="0" w:type="auto"/>
            <w:tcBorders>
              <w:top w:val="single" w:sz="4" w:space="0" w:color="auto"/>
              <w:left w:val="nil"/>
              <w:bottom w:val="single" w:sz="4" w:space="0" w:color="auto"/>
              <w:right w:val="nil"/>
            </w:tcBorders>
            <w:shd w:val="clear" w:color="000000" w:fill="FFFFFF"/>
            <w:vAlign w:val="center"/>
            <w:hideMark/>
          </w:tcPr>
          <w:p w14:paraId="57FD9697"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No.</w:t>
            </w:r>
          </w:p>
        </w:tc>
        <w:tc>
          <w:tcPr>
            <w:tcW w:w="0" w:type="auto"/>
            <w:tcBorders>
              <w:top w:val="single" w:sz="4" w:space="0" w:color="auto"/>
              <w:left w:val="nil"/>
              <w:bottom w:val="single" w:sz="4" w:space="0" w:color="auto"/>
              <w:right w:val="nil"/>
            </w:tcBorders>
            <w:shd w:val="clear" w:color="000000" w:fill="FFFFFF"/>
            <w:vAlign w:val="center"/>
            <w:hideMark/>
          </w:tcPr>
          <w:p w14:paraId="36870B81"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$b</w:t>
            </w:r>
          </w:p>
        </w:tc>
        <w:tc>
          <w:tcPr>
            <w:tcW w:w="0" w:type="auto"/>
            <w:tcBorders>
              <w:top w:val="nil"/>
              <w:left w:val="nil"/>
              <w:bottom w:val="single" w:sz="4" w:space="0" w:color="auto"/>
              <w:right w:val="nil"/>
            </w:tcBorders>
            <w:shd w:val="clear" w:color="000000" w:fill="FFFFFF"/>
            <w:vAlign w:val="center"/>
            <w:hideMark/>
          </w:tcPr>
          <w:p w14:paraId="75D115DF"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vAlign w:val="center"/>
            <w:hideMark/>
          </w:tcPr>
          <w:p w14:paraId="71410D2F"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$b</w:t>
            </w:r>
          </w:p>
        </w:tc>
        <w:tc>
          <w:tcPr>
            <w:tcW w:w="0" w:type="auto"/>
            <w:tcBorders>
              <w:top w:val="nil"/>
              <w:left w:val="nil"/>
              <w:bottom w:val="single" w:sz="4" w:space="0" w:color="auto"/>
              <w:right w:val="nil"/>
            </w:tcBorders>
            <w:shd w:val="clear" w:color="000000" w:fill="F2F2F2"/>
            <w:vAlign w:val="center"/>
            <w:hideMark/>
          </w:tcPr>
          <w:p w14:paraId="67A3C9F8"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No.</w:t>
            </w:r>
          </w:p>
        </w:tc>
        <w:tc>
          <w:tcPr>
            <w:tcW w:w="0" w:type="auto"/>
            <w:tcBorders>
              <w:top w:val="nil"/>
              <w:left w:val="nil"/>
              <w:bottom w:val="single" w:sz="4" w:space="0" w:color="auto"/>
              <w:right w:val="nil"/>
            </w:tcBorders>
            <w:shd w:val="clear" w:color="000000" w:fill="F2F2F2"/>
            <w:vAlign w:val="center"/>
            <w:hideMark/>
          </w:tcPr>
          <w:p w14:paraId="11881FB7"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$b</w:t>
            </w:r>
          </w:p>
        </w:tc>
      </w:tr>
      <w:tr w:rsidR="00E94F35" w:rsidRPr="00E94F35" w14:paraId="529E3BA6" w14:textId="77777777" w:rsidTr="00F71E81">
        <w:trPr>
          <w:trHeight w:val="400"/>
        </w:trPr>
        <w:tc>
          <w:tcPr>
            <w:tcW w:w="0" w:type="auto"/>
            <w:tcBorders>
              <w:top w:val="nil"/>
              <w:left w:val="nil"/>
              <w:bottom w:val="nil"/>
              <w:right w:val="nil"/>
            </w:tcBorders>
            <w:shd w:val="clear" w:color="000000" w:fill="FFFFFF"/>
            <w:vAlign w:val="center"/>
            <w:hideMark/>
          </w:tcPr>
          <w:p w14:paraId="512AC249" w14:textId="77777777" w:rsidR="00E94F35" w:rsidRPr="00E94F35" w:rsidRDefault="00E94F35" w:rsidP="00E94F35">
            <w:pPr>
              <w:spacing w:after="0" w:line="240" w:lineRule="auto"/>
              <w:jc w:val="left"/>
              <w:rPr>
                <w:rFonts w:ascii="Arial" w:hAnsi="Arial" w:cs="Arial"/>
                <w:color w:val="auto"/>
                <w:sz w:val="16"/>
                <w:szCs w:val="16"/>
              </w:rPr>
            </w:pPr>
            <w:r w:rsidRPr="00E94F35">
              <w:rPr>
                <w:rFonts w:ascii="Arial" w:hAnsi="Arial" w:cs="Arial"/>
                <w:color w:val="auto"/>
                <w:sz w:val="16"/>
                <w:szCs w:val="16"/>
              </w:rPr>
              <w:t>Agriculture, forestry &amp;</w:t>
            </w:r>
            <w:r w:rsidRPr="00E94F35">
              <w:rPr>
                <w:rFonts w:ascii="Arial" w:hAnsi="Arial" w:cs="Arial"/>
                <w:color w:val="auto"/>
                <w:sz w:val="16"/>
                <w:szCs w:val="16"/>
              </w:rPr>
              <w:br/>
              <w:t xml:space="preserve">  fishing</w:t>
            </w:r>
          </w:p>
        </w:tc>
        <w:tc>
          <w:tcPr>
            <w:tcW w:w="0" w:type="auto"/>
            <w:tcBorders>
              <w:top w:val="nil"/>
              <w:left w:val="nil"/>
              <w:bottom w:val="nil"/>
              <w:right w:val="nil"/>
            </w:tcBorders>
            <w:shd w:val="clear" w:color="000000" w:fill="FFFFFF"/>
            <w:noWrap/>
            <w:vAlign w:val="center"/>
            <w:hideMark/>
          </w:tcPr>
          <w:p w14:paraId="706C5DE8"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223</w:t>
            </w:r>
          </w:p>
        </w:tc>
        <w:tc>
          <w:tcPr>
            <w:tcW w:w="0" w:type="auto"/>
            <w:tcBorders>
              <w:top w:val="nil"/>
              <w:left w:val="nil"/>
              <w:bottom w:val="nil"/>
              <w:right w:val="nil"/>
            </w:tcBorders>
            <w:shd w:val="clear" w:color="000000" w:fill="FFFFFF"/>
            <w:noWrap/>
            <w:vAlign w:val="center"/>
            <w:hideMark/>
          </w:tcPr>
          <w:p w14:paraId="085B82FF"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7.0</w:t>
            </w:r>
          </w:p>
        </w:tc>
        <w:tc>
          <w:tcPr>
            <w:tcW w:w="0" w:type="auto"/>
            <w:tcBorders>
              <w:top w:val="nil"/>
              <w:left w:val="nil"/>
              <w:bottom w:val="nil"/>
              <w:right w:val="nil"/>
            </w:tcBorders>
            <w:shd w:val="clear" w:color="000000" w:fill="FFFFFF"/>
            <w:noWrap/>
            <w:vAlign w:val="center"/>
            <w:hideMark/>
          </w:tcPr>
          <w:p w14:paraId="39BD31E6"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201</w:t>
            </w:r>
          </w:p>
        </w:tc>
        <w:tc>
          <w:tcPr>
            <w:tcW w:w="0" w:type="auto"/>
            <w:tcBorders>
              <w:top w:val="nil"/>
              <w:left w:val="nil"/>
              <w:bottom w:val="nil"/>
              <w:right w:val="nil"/>
            </w:tcBorders>
            <w:shd w:val="clear" w:color="000000" w:fill="FFFFFF"/>
            <w:noWrap/>
            <w:vAlign w:val="center"/>
            <w:hideMark/>
          </w:tcPr>
          <w:p w14:paraId="2A30266A"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7.9</w:t>
            </w:r>
          </w:p>
        </w:tc>
        <w:tc>
          <w:tcPr>
            <w:tcW w:w="0" w:type="auto"/>
            <w:tcBorders>
              <w:top w:val="nil"/>
              <w:left w:val="nil"/>
              <w:bottom w:val="nil"/>
              <w:right w:val="nil"/>
            </w:tcBorders>
            <w:shd w:val="clear" w:color="000000" w:fill="FFFFFF"/>
            <w:noWrap/>
            <w:vAlign w:val="center"/>
            <w:hideMark/>
          </w:tcPr>
          <w:p w14:paraId="143E6C87"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197</w:t>
            </w:r>
          </w:p>
        </w:tc>
        <w:tc>
          <w:tcPr>
            <w:tcW w:w="0" w:type="auto"/>
            <w:tcBorders>
              <w:top w:val="nil"/>
              <w:left w:val="nil"/>
              <w:bottom w:val="nil"/>
              <w:right w:val="nil"/>
            </w:tcBorders>
            <w:shd w:val="clear" w:color="000000" w:fill="FFFFFF"/>
            <w:noWrap/>
            <w:vAlign w:val="center"/>
            <w:hideMark/>
          </w:tcPr>
          <w:p w14:paraId="39D63D7A"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7.3</w:t>
            </w:r>
          </w:p>
        </w:tc>
        <w:tc>
          <w:tcPr>
            <w:tcW w:w="0" w:type="auto"/>
            <w:tcBorders>
              <w:top w:val="nil"/>
              <w:left w:val="nil"/>
              <w:bottom w:val="nil"/>
              <w:right w:val="nil"/>
            </w:tcBorders>
            <w:shd w:val="clear" w:color="000000" w:fill="F2F2F2"/>
            <w:noWrap/>
            <w:vAlign w:val="center"/>
            <w:hideMark/>
          </w:tcPr>
          <w:p w14:paraId="6B014144"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174</w:t>
            </w:r>
          </w:p>
        </w:tc>
        <w:tc>
          <w:tcPr>
            <w:tcW w:w="0" w:type="auto"/>
            <w:tcBorders>
              <w:top w:val="nil"/>
              <w:left w:val="nil"/>
              <w:bottom w:val="nil"/>
              <w:right w:val="nil"/>
            </w:tcBorders>
            <w:shd w:val="clear" w:color="000000" w:fill="F2F2F2"/>
            <w:noWrap/>
            <w:vAlign w:val="center"/>
            <w:hideMark/>
          </w:tcPr>
          <w:p w14:paraId="2A31C6A4"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8.3</w:t>
            </w:r>
          </w:p>
        </w:tc>
      </w:tr>
      <w:tr w:rsidR="00E94F35" w:rsidRPr="00E94F35" w14:paraId="751B9EDB" w14:textId="77777777" w:rsidTr="00F71E81">
        <w:trPr>
          <w:trHeight w:val="225"/>
        </w:trPr>
        <w:tc>
          <w:tcPr>
            <w:tcW w:w="0" w:type="auto"/>
            <w:tcBorders>
              <w:top w:val="nil"/>
              <w:left w:val="nil"/>
              <w:bottom w:val="nil"/>
              <w:right w:val="nil"/>
            </w:tcBorders>
            <w:shd w:val="clear" w:color="000000" w:fill="FFFFFF"/>
            <w:noWrap/>
            <w:vAlign w:val="center"/>
            <w:hideMark/>
          </w:tcPr>
          <w:p w14:paraId="1B632061" w14:textId="77777777" w:rsidR="00E94F35" w:rsidRPr="00E94F35" w:rsidRDefault="00E94F35" w:rsidP="00E94F35">
            <w:pPr>
              <w:spacing w:after="0" w:line="240" w:lineRule="auto"/>
              <w:jc w:val="left"/>
              <w:rPr>
                <w:rFonts w:ascii="Arial" w:hAnsi="Arial" w:cs="Arial"/>
                <w:color w:val="auto"/>
                <w:sz w:val="16"/>
                <w:szCs w:val="16"/>
              </w:rPr>
            </w:pPr>
            <w:r w:rsidRPr="00E94F35">
              <w:rPr>
                <w:rFonts w:ascii="Arial" w:hAnsi="Arial" w:cs="Arial"/>
                <w:color w:val="auto"/>
                <w:sz w:val="16"/>
                <w:szCs w:val="16"/>
              </w:rPr>
              <w:t>Finance &amp; insurance</w:t>
            </w:r>
          </w:p>
        </w:tc>
        <w:tc>
          <w:tcPr>
            <w:tcW w:w="0" w:type="auto"/>
            <w:tcBorders>
              <w:top w:val="nil"/>
              <w:left w:val="nil"/>
              <w:bottom w:val="nil"/>
              <w:right w:val="nil"/>
            </w:tcBorders>
            <w:shd w:val="clear" w:color="000000" w:fill="FFFFFF"/>
            <w:noWrap/>
            <w:vAlign w:val="center"/>
            <w:hideMark/>
          </w:tcPr>
          <w:p w14:paraId="44DDF13F"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25</w:t>
            </w:r>
          </w:p>
        </w:tc>
        <w:tc>
          <w:tcPr>
            <w:tcW w:w="0" w:type="auto"/>
            <w:tcBorders>
              <w:top w:val="nil"/>
              <w:left w:val="nil"/>
              <w:bottom w:val="nil"/>
              <w:right w:val="nil"/>
            </w:tcBorders>
            <w:shd w:val="clear" w:color="000000" w:fill="FFFFFF"/>
            <w:noWrap/>
            <w:vAlign w:val="center"/>
            <w:hideMark/>
          </w:tcPr>
          <w:p w14:paraId="117CC6B8"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3.8</w:t>
            </w:r>
          </w:p>
        </w:tc>
        <w:tc>
          <w:tcPr>
            <w:tcW w:w="0" w:type="auto"/>
            <w:tcBorders>
              <w:top w:val="nil"/>
              <w:left w:val="nil"/>
              <w:bottom w:val="nil"/>
              <w:right w:val="nil"/>
            </w:tcBorders>
            <w:shd w:val="clear" w:color="000000" w:fill="FFFFFF"/>
            <w:noWrap/>
            <w:vAlign w:val="center"/>
            <w:hideMark/>
          </w:tcPr>
          <w:p w14:paraId="7AE04999"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37</w:t>
            </w:r>
          </w:p>
        </w:tc>
        <w:tc>
          <w:tcPr>
            <w:tcW w:w="0" w:type="auto"/>
            <w:tcBorders>
              <w:top w:val="nil"/>
              <w:left w:val="nil"/>
              <w:bottom w:val="nil"/>
              <w:right w:val="nil"/>
            </w:tcBorders>
            <w:shd w:val="clear" w:color="000000" w:fill="FFFFFF"/>
            <w:noWrap/>
            <w:vAlign w:val="center"/>
            <w:hideMark/>
          </w:tcPr>
          <w:p w14:paraId="09745ABC"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6.0</w:t>
            </w:r>
          </w:p>
        </w:tc>
        <w:tc>
          <w:tcPr>
            <w:tcW w:w="0" w:type="auto"/>
            <w:tcBorders>
              <w:top w:val="nil"/>
              <w:left w:val="nil"/>
              <w:bottom w:val="nil"/>
              <w:right w:val="nil"/>
            </w:tcBorders>
            <w:shd w:val="clear" w:color="000000" w:fill="FFFFFF"/>
            <w:noWrap/>
            <w:vAlign w:val="center"/>
            <w:hideMark/>
          </w:tcPr>
          <w:p w14:paraId="4FC9A45B"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26</w:t>
            </w:r>
          </w:p>
        </w:tc>
        <w:tc>
          <w:tcPr>
            <w:tcW w:w="0" w:type="auto"/>
            <w:tcBorders>
              <w:top w:val="nil"/>
              <w:left w:val="nil"/>
              <w:bottom w:val="nil"/>
              <w:right w:val="nil"/>
            </w:tcBorders>
            <w:shd w:val="clear" w:color="000000" w:fill="FFFFFF"/>
            <w:noWrap/>
            <w:vAlign w:val="center"/>
            <w:hideMark/>
          </w:tcPr>
          <w:p w14:paraId="05B30A88"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6.3</w:t>
            </w:r>
          </w:p>
        </w:tc>
        <w:tc>
          <w:tcPr>
            <w:tcW w:w="0" w:type="auto"/>
            <w:tcBorders>
              <w:top w:val="nil"/>
              <w:left w:val="nil"/>
              <w:bottom w:val="nil"/>
              <w:right w:val="nil"/>
            </w:tcBorders>
            <w:shd w:val="clear" w:color="000000" w:fill="F2F2F2"/>
            <w:noWrap/>
            <w:vAlign w:val="center"/>
            <w:hideMark/>
          </w:tcPr>
          <w:p w14:paraId="40A7C438"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37</w:t>
            </w:r>
          </w:p>
        </w:tc>
        <w:tc>
          <w:tcPr>
            <w:tcW w:w="0" w:type="auto"/>
            <w:tcBorders>
              <w:top w:val="nil"/>
              <w:left w:val="nil"/>
              <w:bottom w:val="nil"/>
              <w:right w:val="nil"/>
            </w:tcBorders>
            <w:shd w:val="clear" w:color="000000" w:fill="F2F2F2"/>
            <w:noWrap/>
            <w:vAlign w:val="center"/>
            <w:hideMark/>
          </w:tcPr>
          <w:p w14:paraId="7F1F76C0"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13.6</w:t>
            </w:r>
          </w:p>
        </w:tc>
      </w:tr>
      <w:tr w:rsidR="00E94F35" w:rsidRPr="00E94F35" w14:paraId="2F38B415" w14:textId="77777777" w:rsidTr="00F71E81">
        <w:trPr>
          <w:trHeight w:val="400"/>
        </w:trPr>
        <w:tc>
          <w:tcPr>
            <w:tcW w:w="0" w:type="auto"/>
            <w:tcBorders>
              <w:top w:val="nil"/>
              <w:left w:val="nil"/>
              <w:bottom w:val="nil"/>
              <w:right w:val="nil"/>
            </w:tcBorders>
            <w:shd w:val="clear" w:color="000000" w:fill="FFFFFF"/>
            <w:vAlign w:val="center"/>
            <w:hideMark/>
          </w:tcPr>
          <w:p w14:paraId="3FAA222F" w14:textId="77777777" w:rsidR="00E94F35" w:rsidRPr="00E94F35" w:rsidRDefault="00E94F35" w:rsidP="00E94F35">
            <w:pPr>
              <w:spacing w:after="0" w:line="240" w:lineRule="auto"/>
              <w:jc w:val="left"/>
              <w:rPr>
                <w:rFonts w:ascii="Arial" w:hAnsi="Arial" w:cs="Arial"/>
                <w:color w:val="auto"/>
                <w:sz w:val="16"/>
                <w:szCs w:val="16"/>
              </w:rPr>
            </w:pPr>
            <w:r w:rsidRPr="00E94F35">
              <w:rPr>
                <w:rFonts w:ascii="Arial" w:hAnsi="Arial" w:cs="Arial"/>
                <w:color w:val="auto"/>
                <w:sz w:val="16"/>
                <w:szCs w:val="16"/>
              </w:rPr>
              <w:t>Manufacturing,</w:t>
            </w:r>
            <w:r w:rsidRPr="00E94F35">
              <w:rPr>
                <w:rFonts w:ascii="Arial" w:hAnsi="Arial" w:cs="Arial"/>
                <w:color w:val="auto"/>
                <w:sz w:val="16"/>
                <w:szCs w:val="16"/>
              </w:rPr>
              <w:br/>
              <w:t xml:space="preserve">  electricity &amp; gas</w:t>
            </w:r>
          </w:p>
        </w:tc>
        <w:tc>
          <w:tcPr>
            <w:tcW w:w="0" w:type="auto"/>
            <w:tcBorders>
              <w:top w:val="nil"/>
              <w:left w:val="nil"/>
              <w:bottom w:val="nil"/>
              <w:right w:val="nil"/>
            </w:tcBorders>
            <w:shd w:val="clear" w:color="000000" w:fill="FFFFFF"/>
            <w:noWrap/>
            <w:vAlign w:val="center"/>
            <w:hideMark/>
          </w:tcPr>
          <w:p w14:paraId="7CEE2AD4"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73</w:t>
            </w:r>
          </w:p>
        </w:tc>
        <w:tc>
          <w:tcPr>
            <w:tcW w:w="0" w:type="auto"/>
            <w:tcBorders>
              <w:top w:val="nil"/>
              <w:left w:val="nil"/>
              <w:bottom w:val="nil"/>
              <w:right w:val="nil"/>
            </w:tcBorders>
            <w:shd w:val="clear" w:color="000000" w:fill="FFFFFF"/>
            <w:noWrap/>
            <w:vAlign w:val="center"/>
            <w:hideMark/>
          </w:tcPr>
          <w:p w14:paraId="57EE0B56"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40.9</w:t>
            </w:r>
          </w:p>
        </w:tc>
        <w:tc>
          <w:tcPr>
            <w:tcW w:w="0" w:type="auto"/>
            <w:tcBorders>
              <w:top w:val="nil"/>
              <w:left w:val="nil"/>
              <w:bottom w:val="nil"/>
              <w:right w:val="nil"/>
            </w:tcBorders>
            <w:shd w:val="clear" w:color="000000" w:fill="FFFFFF"/>
            <w:noWrap/>
            <w:vAlign w:val="center"/>
            <w:hideMark/>
          </w:tcPr>
          <w:p w14:paraId="6235DA0D"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95</w:t>
            </w:r>
          </w:p>
        </w:tc>
        <w:tc>
          <w:tcPr>
            <w:tcW w:w="0" w:type="auto"/>
            <w:tcBorders>
              <w:top w:val="nil"/>
              <w:left w:val="nil"/>
              <w:bottom w:val="nil"/>
              <w:right w:val="nil"/>
            </w:tcBorders>
            <w:shd w:val="clear" w:color="000000" w:fill="FFFFFF"/>
            <w:noWrap/>
            <w:vAlign w:val="center"/>
            <w:hideMark/>
          </w:tcPr>
          <w:p w14:paraId="46FB0F92"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16.6</w:t>
            </w:r>
          </w:p>
        </w:tc>
        <w:tc>
          <w:tcPr>
            <w:tcW w:w="0" w:type="auto"/>
            <w:tcBorders>
              <w:top w:val="nil"/>
              <w:left w:val="nil"/>
              <w:bottom w:val="nil"/>
              <w:right w:val="nil"/>
            </w:tcBorders>
            <w:shd w:val="clear" w:color="000000" w:fill="FFFFFF"/>
            <w:noWrap/>
            <w:vAlign w:val="center"/>
            <w:hideMark/>
          </w:tcPr>
          <w:p w14:paraId="28912EA1"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99</w:t>
            </w:r>
          </w:p>
        </w:tc>
        <w:tc>
          <w:tcPr>
            <w:tcW w:w="0" w:type="auto"/>
            <w:tcBorders>
              <w:top w:val="nil"/>
              <w:left w:val="nil"/>
              <w:bottom w:val="nil"/>
              <w:right w:val="nil"/>
            </w:tcBorders>
            <w:shd w:val="clear" w:color="000000" w:fill="FFFFFF"/>
            <w:noWrap/>
            <w:vAlign w:val="center"/>
            <w:hideMark/>
          </w:tcPr>
          <w:p w14:paraId="64B6A11D"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36.7</w:t>
            </w:r>
          </w:p>
        </w:tc>
        <w:tc>
          <w:tcPr>
            <w:tcW w:w="0" w:type="auto"/>
            <w:tcBorders>
              <w:top w:val="nil"/>
              <w:left w:val="nil"/>
              <w:bottom w:val="nil"/>
              <w:right w:val="nil"/>
            </w:tcBorders>
            <w:shd w:val="clear" w:color="000000" w:fill="F2F2F2"/>
            <w:noWrap/>
            <w:vAlign w:val="center"/>
            <w:hideMark/>
          </w:tcPr>
          <w:p w14:paraId="4D4FD271"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100</w:t>
            </w:r>
          </w:p>
        </w:tc>
        <w:tc>
          <w:tcPr>
            <w:tcW w:w="0" w:type="auto"/>
            <w:tcBorders>
              <w:top w:val="nil"/>
              <w:left w:val="nil"/>
              <w:bottom w:val="nil"/>
              <w:right w:val="nil"/>
            </w:tcBorders>
            <w:shd w:val="clear" w:color="000000" w:fill="F2F2F2"/>
            <w:noWrap/>
            <w:vAlign w:val="center"/>
            <w:hideMark/>
          </w:tcPr>
          <w:p w14:paraId="0A490B07"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33.0</w:t>
            </w:r>
          </w:p>
        </w:tc>
      </w:tr>
      <w:tr w:rsidR="00E94F35" w:rsidRPr="00E94F35" w14:paraId="177773C6" w14:textId="77777777" w:rsidTr="00F71E81">
        <w:trPr>
          <w:trHeight w:val="400"/>
        </w:trPr>
        <w:tc>
          <w:tcPr>
            <w:tcW w:w="0" w:type="auto"/>
            <w:tcBorders>
              <w:top w:val="nil"/>
              <w:left w:val="nil"/>
              <w:bottom w:val="nil"/>
              <w:right w:val="nil"/>
            </w:tcBorders>
            <w:shd w:val="clear" w:color="000000" w:fill="FFFFFF"/>
            <w:vAlign w:val="center"/>
            <w:hideMark/>
          </w:tcPr>
          <w:p w14:paraId="2D61475F" w14:textId="77777777" w:rsidR="00E94F35" w:rsidRPr="00E94F35" w:rsidRDefault="00E94F35" w:rsidP="00E94F35">
            <w:pPr>
              <w:spacing w:after="0" w:line="240" w:lineRule="auto"/>
              <w:jc w:val="left"/>
              <w:rPr>
                <w:rFonts w:ascii="Arial" w:hAnsi="Arial" w:cs="Arial"/>
                <w:color w:val="auto"/>
                <w:sz w:val="16"/>
                <w:szCs w:val="16"/>
              </w:rPr>
            </w:pPr>
            <w:r w:rsidRPr="00E94F35">
              <w:rPr>
                <w:rFonts w:ascii="Arial" w:hAnsi="Arial" w:cs="Arial"/>
                <w:color w:val="auto"/>
                <w:sz w:val="16"/>
                <w:szCs w:val="16"/>
              </w:rPr>
              <w:t>Mineral exploration &amp;</w:t>
            </w:r>
            <w:r w:rsidRPr="00E94F35">
              <w:rPr>
                <w:rFonts w:ascii="Arial" w:hAnsi="Arial" w:cs="Arial"/>
                <w:color w:val="auto"/>
                <w:sz w:val="16"/>
                <w:szCs w:val="16"/>
              </w:rPr>
              <w:br/>
              <w:t xml:space="preserve">  development</w:t>
            </w:r>
          </w:p>
        </w:tc>
        <w:tc>
          <w:tcPr>
            <w:tcW w:w="0" w:type="auto"/>
            <w:tcBorders>
              <w:top w:val="nil"/>
              <w:left w:val="nil"/>
              <w:bottom w:val="nil"/>
              <w:right w:val="nil"/>
            </w:tcBorders>
            <w:shd w:val="clear" w:color="000000" w:fill="FFFFFF"/>
            <w:noWrap/>
            <w:vAlign w:val="center"/>
            <w:hideMark/>
          </w:tcPr>
          <w:p w14:paraId="07FBD4C4"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140</w:t>
            </w:r>
          </w:p>
        </w:tc>
        <w:tc>
          <w:tcPr>
            <w:tcW w:w="0" w:type="auto"/>
            <w:tcBorders>
              <w:top w:val="nil"/>
              <w:left w:val="nil"/>
              <w:bottom w:val="nil"/>
              <w:right w:val="nil"/>
            </w:tcBorders>
            <w:shd w:val="clear" w:color="000000" w:fill="FFFFFF"/>
            <w:noWrap/>
            <w:vAlign w:val="center"/>
            <w:hideMark/>
          </w:tcPr>
          <w:p w14:paraId="631E2118"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15.9</w:t>
            </w:r>
          </w:p>
        </w:tc>
        <w:tc>
          <w:tcPr>
            <w:tcW w:w="0" w:type="auto"/>
            <w:tcBorders>
              <w:top w:val="nil"/>
              <w:left w:val="nil"/>
              <w:bottom w:val="nil"/>
              <w:right w:val="nil"/>
            </w:tcBorders>
            <w:shd w:val="clear" w:color="000000" w:fill="FFFFFF"/>
            <w:noWrap/>
            <w:vAlign w:val="center"/>
            <w:hideMark/>
          </w:tcPr>
          <w:p w14:paraId="15E870E9"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115</w:t>
            </w:r>
          </w:p>
        </w:tc>
        <w:tc>
          <w:tcPr>
            <w:tcW w:w="0" w:type="auto"/>
            <w:tcBorders>
              <w:top w:val="nil"/>
              <w:left w:val="nil"/>
              <w:bottom w:val="nil"/>
              <w:right w:val="nil"/>
            </w:tcBorders>
            <w:shd w:val="clear" w:color="000000" w:fill="FFFFFF"/>
            <w:noWrap/>
            <w:vAlign w:val="center"/>
            <w:hideMark/>
          </w:tcPr>
          <w:p w14:paraId="1140504C"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17.4</w:t>
            </w:r>
          </w:p>
        </w:tc>
        <w:tc>
          <w:tcPr>
            <w:tcW w:w="0" w:type="auto"/>
            <w:tcBorders>
              <w:top w:val="nil"/>
              <w:left w:val="nil"/>
              <w:bottom w:val="nil"/>
              <w:right w:val="nil"/>
            </w:tcBorders>
            <w:shd w:val="clear" w:color="000000" w:fill="FFFFFF"/>
            <w:noWrap/>
            <w:vAlign w:val="center"/>
            <w:hideMark/>
          </w:tcPr>
          <w:p w14:paraId="6B55292E"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121</w:t>
            </w:r>
          </w:p>
        </w:tc>
        <w:tc>
          <w:tcPr>
            <w:tcW w:w="0" w:type="auto"/>
            <w:tcBorders>
              <w:top w:val="nil"/>
              <w:left w:val="nil"/>
              <w:bottom w:val="nil"/>
              <w:right w:val="nil"/>
            </w:tcBorders>
            <w:shd w:val="clear" w:color="000000" w:fill="FFFFFF"/>
            <w:noWrap/>
            <w:vAlign w:val="center"/>
            <w:hideMark/>
          </w:tcPr>
          <w:p w14:paraId="3D19C50B"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16.9</w:t>
            </w:r>
          </w:p>
        </w:tc>
        <w:tc>
          <w:tcPr>
            <w:tcW w:w="0" w:type="auto"/>
            <w:tcBorders>
              <w:top w:val="nil"/>
              <w:left w:val="nil"/>
              <w:bottom w:val="nil"/>
              <w:right w:val="nil"/>
            </w:tcBorders>
            <w:shd w:val="clear" w:color="000000" w:fill="F2F2F2"/>
            <w:noWrap/>
            <w:vAlign w:val="center"/>
            <w:hideMark/>
          </w:tcPr>
          <w:p w14:paraId="20A9103D"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108</w:t>
            </w:r>
          </w:p>
        </w:tc>
        <w:tc>
          <w:tcPr>
            <w:tcW w:w="0" w:type="auto"/>
            <w:tcBorders>
              <w:top w:val="nil"/>
              <w:left w:val="nil"/>
              <w:bottom w:val="nil"/>
              <w:right w:val="nil"/>
            </w:tcBorders>
            <w:shd w:val="clear" w:color="000000" w:fill="F2F2F2"/>
            <w:noWrap/>
            <w:vAlign w:val="center"/>
            <w:hideMark/>
          </w:tcPr>
          <w:p w14:paraId="10E0B474"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11.2</w:t>
            </w:r>
          </w:p>
        </w:tc>
      </w:tr>
      <w:tr w:rsidR="00E94F35" w:rsidRPr="00E94F35" w14:paraId="1B40082A" w14:textId="77777777" w:rsidTr="00F71E81">
        <w:trPr>
          <w:trHeight w:val="225"/>
        </w:trPr>
        <w:tc>
          <w:tcPr>
            <w:tcW w:w="0" w:type="auto"/>
            <w:tcBorders>
              <w:top w:val="nil"/>
              <w:left w:val="nil"/>
              <w:bottom w:val="nil"/>
              <w:right w:val="nil"/>
            </w:tcBorders>
            <w:shd w:val="clear" w:color="000000" w:fill="FFFFFF"/>
            <w:noWrap/>
            <w:vAlign w:val="center"/>
            <w:hideMark/>
          </w:tcPr>
          <w:p w14:paraId="5CA13E28" w14:textId="77777777" w:rsidR="00E94F35" w:rsidRPr="00E94F35" w:rsidRDefault="00E94F35" w:rsidP="00E94F35">
            <w:pPr>
              <w:spacing w:after="0" w:line="240" w:lineRule="auto"/>
              <w:jc w:val="left"/>
              <w:rPr>
                <w:rFonts w:ascii="Arial" w:hAnsi="Arial" w:cs="Arial"/>
                <w:color w:val="auto"/>
                <w:sz w:val="16"/>
                <w:szCs w:val="16"/>
              </w:rPr>
            </w:pPr>
            <w:r w:rsidRPr="00E94F35">
              <w:rPr>
                <w:rFonts w:ascii="Arial" w:hAnsi="Arial" w:cs="Arial"/>
                <w:color w:val="auto"/>
                <w:sz w:val="16"/>
                <w:szCs w:val="16"/>
              </w:rPr>
              <w:t>Services</w:t>
            </w:r>
          </w:p>
        </w:tc>
        <w:tc>
          <w:tcPr>
            <w:tcW w:w="0" w:type="auto"/>
            <w:tcBorders>
              <w:top w:val="nil"/>
              <w:left w:val="nil"/>
              <w:bottom w:val="nil"/>
              <w:right w:val="nil"/>
            </w:tcBorders>
            <w:shd w:val="clear" w:color="000000" w:fill="FFFFFF"/>
            <w:noWrap/>
            <w:vAlign w:val="center"/>
            <w:hideMark/>
          </w:tcPr>
          <w:p w14:paraId="30DA6C75"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215</w:t>
            </w:r>
          </w:p>
        </w:tc>
        <w:tc>
          <w:tcPr>
            <w:tcW w:w="0" w:type="auto"/>
            <w:tcBorders>
              <w:top w:val="nil"/>
              <w:left w:val="nil"/>
              <w:bottom w:val="nil"/>
              <w:right w:val="nil"/>
            </w:tcBorders>
            <w:shd w:val="clear" w:color="000000" w:fill="FFFFFF"/>
            <w:noWrap/>
            <w:vAlign w:val="center"/>
            <w:hideMark/>
          </w:tcPr>
          <w:p w14:paraId="467F9BDF"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56.5</w:t>
            </w:r>
          </w:p>
        </w:tc>
        <w:tc>
          <w:tcPr>
            <w:tcW w:w="0" w:type="auto"/>
            <w:tcBorders>
              <w:top w:val="nil"/>
              <w:left w:val="nil"/>
              <w:bottom w:val="nil"/>
              <w:right w:val="nil"/>
            </w:tcBorders>
            <w:shd w:val="clear" w:color="000000" w:fill="FFFFFF"/>
            <w:noWrap/>
            <w:vAlign w:val="center"/>
            <w:hideMark/>
          </w:tcPr>
          <w:p w14:paraId="288B8BE9"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185</w:t>
            </w:r>
          </w:p>
        </w:tc>
        <w:tc>
          <w:tcPr>
            <w:tcW w:w="0" w:type="auto"/>
            <w:tcBorders>
              <w:top w:val="nil"/>
              <w:left w:val="nil"/>
              <w:bottom w:val="nil"/>
              <w:right w:val="nil"/>
            </w:tcBorders>
            <w:shd w:val="clear" w:color="000000" w:fill="FFFFFF"/>
            <w:noWrap/>
            <w:vAlign w:val="center"/>
            <w:hideMark/>
          </w:tcPr>
          <w:p w14:paraId="0C833194"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63.2</w:t>
            </w:r>
          </w:p>
        </w:tc>
        <w:tc>
          <w:tcPr>
            <w:tcW w:w="0" w:type="auto"/>
            <w:tcBorders>
              <w:top w:val="nil"/>
              <w:left w:val="nil"/>
              <w:bottom w:val="nil"/>
              <w:right w:val="nil"/>
            </w:tcBorders>
            <w:shd w:val="clear" w:color="000000" w:fill="FFFFFF"/>
            <w:noWrap/>
            <w:vAlign w:val="center"/>
            <w:hideMark/>
          </w:tcPr>
          <w:p w14:paraId="2011BCA1"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245</w:t>
            </w:r>
          </w:p>
        </w:tc>
        <w:tc>
          <w:tcPr>
            <w:tcW w:w="0" w:type="auto"/>
            <w:tcBorders>
              <w:top w:val="nil"/>
              <w:left w:val="nil"/>
              <w:bottom w:val="nil"/>
              <w:right w:val="nil"/>
            </w:tcBorders>
            <w:shd w:val="clear" w:color="000000" w:fill="FFFFFF"/>
            <w:noWrap/>
            <w:vAlign w:val="center"/>
            <w:hideMark/>
          </w:tcPr>
          <w:p w14:paraId="637E395D"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76.0</w:t>
            </w:r>
          </w:p>
        </w:tc>
        <w:tc>
          <w:tcPr>
            <w:tcW w:w="0" w:type="auto"/>
            <w:tcBorders>
              <w:top w:val="nil"/>
              <w:left w:val="nil"/>
              <w:bottom w:val="nil"/>
              <w:right w:val="nil"/>
            </w:tcBorders>
            <w:shd w:val="clear" w:color="000000" w:fill="F2F2F2"/>
            <w:noWrap/>
            <w:vAlign w:val="center"/>
            <w:hideMark/>
          </w:tcPr>
          <w:p w14:paraId="7C6B8C8F"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296</w:t>
            </w:r>
          </w:p>
        </w:tc>
        <w:tc>
          <w:tcPr>
            <w:tcW w:w="0" w:type="auto"/>
            <w:tcBorders>
              <w:top w:val="nil"/>
              <w:left w:val="nil"/>
              <w:bottom w:val="nil"/>
              <w:right w:val="nil"/>
            </w:tcBorders>
            <w:shd w:val="clear" w:color="000000" w:fill="F2F2F2"/>
            <w:noWrap/>
            <w:vAlign w:val="center"/>
            <w:hideMark/>
          </w:tcPr>
          <w:p w14:paraId="44FC39BE"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73.6</w:t>
            </w:r>
          </w:p>
        </w:tc>
      </w:tr>
      <w:tr w:rsidR="00E94F35" w:rsidRPr="00E94F35" w14:paraId="2E451F00" w14:textId="77777777" w:rsidTr="00F71E81">
        <w:trPr>
          <w:trHeight w:val="225"/>
        </w:trPr>
        <w:tc>
          <w:tcPr>
            <w:tcW w:w="0" w:type="auto"/>
            <w:tcBorders>
              <w:top w:val="nil"/>
              <w:left w:val="nil"/>
              <w:bottom w:val="nil"/>
              <w:right w:val="nil"/>
            </w:tcBorders>
            <w:shd w:val="clear" w:color="000000" w:fill="FFFFFF"/>
            <w:noWrap/>
            <w:vAlign w:val="center"/>
            <w:hideMark/>
          </w:tcPr>
          <w:p w14:paraId="0285FA72" w14:textId="77777777" w:rsidR="00E94F35" w:rsidRPr="00E94F35" w:rsidRDefault="00E94F35" w:rsidP="00E94F35">
            <w:pPr>
              <w:spacing w:after="0" w:line="240" w:lineRule="auto"/>
              <w:jc w:val="left"/>
              <w:rPr>
                <w:rFonts w:ascii="Arial" w:hAnsi="Arial" w:cs="Arial"/>
                <w:color w:val="auto"/>
                <w:sz w:val="16"/>
                <w:szCs w:val="16"/>
              </w:rPr>
            </w:pPr>
            <w:r w:rsidRPr="00E94F35">
              <w:rPr>
                <w:rFonts w:ascii="Arial" w:hAnsi="Arial" w:cs="Arial"/>
                <w:color w:val="auto"/>
                <w:sz w:val="16"/>
                <w:szCs w:val="16"/>
              </w:rPr>
              <w:t>Real estate</w:t>
            </w:r>
            <w:r w:rsidR="006225EA">
              <w:rPr>
                <w:rFonts w:ascii="Arial" w:hAnsi="Arial" w:cs="Arial"/>
                <w:color w:val="auto"/>
                <w:sz w:val="16"/>
                <w:szCs w:val="16"/>
              </w:rPr>
              <w:t xml:space="preserve"> — </w:t>
            </w:r>
            <w:r w:rsidRPr="00E94F35">
              <w:rPr>
                <w:rFonts w:ascii="Arial" w:hAnsi="Arial" w:cs="Arial"/>
                <w:color w:val="auto"/>
                <w:sz w:val="16"/>
                <w:szCs w:val="16"/>
              </w:rPr>
              <w:t>commercial</w:t>
            </w:r>
          </w:p>
        </w:tc>
        <w:tc>
          <w:tcPr>
            <w:tcW w:w="0" w:type="auto"/>
            <w:tcBorders>
              <w:top w:val="nil"/>
              <w:left w:val="nil"/>
              <w:bottom w:val="single" w:sz="4" w:space="0" w:color="auto"/>
              <w:right w:val="nil"/>
            </w:tcBorders>
            <w:shd w:val="clear" w:color="000000" w:fill="FFFFFF"/>
            <w:noWrap/>
            <w:vAlign w:val="center"/>
            <w:hideMark/>
          </w:tcPr>
          <w:p w14:paraId="68E589F4"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465</w:t>
            </w:r>
          </w:p>
        </w:tc>
        <w:tc>
          <w:tcPr>
            <w:tcW w:w="0" w:type="auto"/>
            <w:tcBorders>
              <w:top w:val="nil"/>
              <w:left w:val="nil"/>
              <w:bottom w:val="single" w:sz="4" w:space="0" w:color="auto"/>
              <w:right w:val="nil"/>
            </w:tcBorders>
            <w:shd w:val="clear" w:color="000000" w:fill="FFFFFF"/>
            <w:noWrap/>
            <w:vAlign w:val="center"/>
            <w:hideMark/>
          </w:tcPr>
          <w:p w14:paraId="48EA4BBB"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43.7</w:t>
            </w:r>
          </w:p>
        </w:tc>
        <w:tc>
          <w:tcPr>
            <w:tcW w:w="0" w:type="auto"/>
            <w:tcBorders>
              <w:top w:val="nil"/>
              <w:left w:val="nil"/>
              <w:bottom w:val="single" w:sz="4" w:space="0" w:color="auto"/>
              <w:right w:val="nil"/>
            </w:tcBorders>
            <w:shd w:val="clear" w:color="000000" w:fill="FFFFFF"/>
            <w:noWrap/>
            <w:vAlign w:val="center"/>
            <w:hideMark/>
          </w:tcPr>
          <w:p w14:paraId="5F68199A"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391</w:t>
            </w:r>
          </w:p>
        </w:tc>
        <w:tc>
          <w:tcPr>
            <w:tcW w:w="0" w:type="auto"/>
            <w:tcBorders>
              <w:top w:val="nil"/>
              <w:left w:val="nil"/>
              <w:bottom w:val="single" w:sz="4" w:space="0" w:color="auto"/>
              <w:right w:val="nil"/>
            </w:tcBorders>
            <w:shd w:val="clear" w:color="000000" w:fill="FFFFFF"/>
            <w:noWrap/>
            <w:vAlign w:val="center"/>
            <w:hideMark/>
          </w:tcPr>
          <w:p w14:paraId="37AB0C87"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39.5</w:t>
            </w:r>
          </w:p>
        </w:tc>
        <w:tc>
          <w:tcPr>
            <w:tcW w:w="0" w:type="auto"/>
            <w:tcBorders>
              <w:top w:val="nil"/>
              <w:left w:val="nil"/>
              <w:bottom w:val="single" w:sz="4" w:space="0" w:color="auto"/>
              <w:right w:val="nil"/>
            </w:tcBorders>
            <w:shd w:val="clear" w:color="000000" w:fill="FFFFFF"/>
            <w:noWrap/>
            <w:vAlign w:val="center"/>
            <w:hideMark/>
          </w:tcPr>
          <w:p w14:paraId="380C59E1"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487</w:t>
            </w:r>
          </w:p>
        </w:tc>
        <w:tc>
          <w:tcPr>
            <w:tcW w:w="0" w:type="auto"/>
            <w:tcBorders>
              <w:top w:val="nil"/>
              <w:left w:val="nil"/>
              <w:bottom w:val="single" w:sz="4" w:space="0" w:color="auto"/>
              <w:right w:val="nil"/>
            </w:tcBorders>
            <w:shd w:val="clear" w:color="000000" w:fill="FFFFFF"/>
            <w:noWrap/>
            <w:vAlign w:val="center"/>
            <w:hideMark/>
          </w:tcPr>
          <w:p w14:paraId="4CE0E77A"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73.0</w:t>
            </w:r>
          </w:p>
        </w:tc>
        <w:tc>
          <w:tcPr>
            <w:tcW w:w="0" w:type="auto"/>
            <w:tcBorders>
              <w:top w:val="nil"/>
              <w:left w:val="nil"/>
              <w:bottom w:val="single" w:sz="4" w:space="0" w:color="auto"/>
              <w:right w:val="nil"/>
            </w:tcBorders>
            <w:shd w:val="clear" w:color="000000" w:fill="F2F2F2"/>
            <w:noWrap/>
            <w:vAlign w:val="center"/>
            <w:hideMark/>
          </w:tcPr>
          <w:p w14:paraId="6B1D0BE2"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440</w:t>
            </w:r>
          </w:p>
        </w:tc>
        <w:tc>
          <w:tcPr>
            <w:tcW w:w="0" w:type="auto"/>
            <w:tcBorders>
              <w:top w:val="nil"/>
              <w:left w:val="nil"/>
              <w:bottom w:val="single" w:sz="4" w:space="0" w:color="auto"/>
              <w:right w:val="nil"/>
            </w:tcBorders>
            <w:shd w:val="clear" w:color="000000" w:fill="F2F2F2"/>
            <w:noWrap/>
            <w:vAlign w:val="center"/>
            <w:hideMark/>
          </w:tcPr>
          <w:p w14:paraId="545DD1C4"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38.8</w:t>
            </w:r>
          </w:p>
        </w:tc>
      </w:tr>
      <w:tr w:rsidR="00E94F35" w:rsidRPr="00E94F35" w14:paraId="512FEAC0" w14:textId="77777777" w:rsidTr="00F71E81">
        <w:trPr>
          <w:trHeight w:val="225"/>
        </w:trPr>
        <w:tc>
          <w:tcPr>
            <w:tcW w:w="0" w:type="auto"/>
            <w:tcBorders>
              <w:top w:val="nil"/>
              <w:left w:val="nil"/>
              <w:bottom w:val="nil"/>
              <w:right w:val="nil"/>
            </w:tcBorders>
            <w:shd w:val="clear" w:color="000000" w:fill="FFFFFF"/>
            <w:noWrap/>
            <w:vAlign w:val="center"/>
            <w:hideMark/>
          </w:tcPr>
          <w:p w14:paraId="2CC311D3" w14:textId="57224DD0" w:rsidR="00E94F35" w:rsidRPr="00E94F35" w:rsidRDefault="00E94F35" w:rsidP="00E94F35">
            <w:pPr>
              <w:spacing w:after="0" w:line="240" w:lineRule="auto"/>
              <w:jc w:val="right"/>
              <w:rPr>
                <w:rFonts w:ascii="Arial" w:hAnsi="Arial" w:cs="Arial"/>
                <w:i/>
                <w:iCs/>
                <w:color w:val="auto"/>
                <w:sz w:val="16"/>
                <w:szCs w:val="16"/>
              </w:rPr>
            </w:pPr>
            <w:r w:rsidRPr="00E94F35">
              <w:rPr>
                <w:rFonts w:ascii="Arial" w:hAnsi="Arial" w:cs="Arial"/>
                <w:i/>
                <w:iCs/>
                <w:color w:val="auto"/>
                <w:sz w:val="16"/>
                <w:szCs w:val="16"/>
              </w:rPr>
              <w:t>Sub</w:t>
            </w:r>
            <w:r w:rsidR="00BD4D19">
              <w:rPr>
                <w:rFonts w:ascii="Arial" w:hAnsi="Arial" w:cs="Arial"/>
                <w:i/>
                <w:iCs/>
                <w:color w:val="auto"/>
                <w:sz w:val="16"/>
                <w:szCs w:val="16"/>
              </w:rPr>
              <w:noBreakHyphen/>
            </w:r>
            <w:r w:rsidRPr="00E94F35">
              <w:rPr>
                <w:rFonts w:ascii="Arial" w:hAnsi="Arial" w:cs="Arial"/>
                <w:i/>
                <w:iCs/>
                <w:color w:val="auto"/>
                <w:sz w:val="16"/>
                <w:szCs w:val="16"/>
              </w:rPr>
              <w:t xml:space="preserve">total </w:t>
            </w:r>
            <w:r w:rsidR="00BD4D19">
              <w:rPr>
                <w:rFonts w:ascii="Arial" w:hAnsi="Arial" w:cs="Arial"/>
                <w:i/>
                <w:iCs/>
                <w:color w:val="auto"/>
                <w:sz w:val="16"/>
                <w:szCs w:val="16"/>
              </w:rPr>
              <w:t>‘</w:t>
            </w:r>
            <w:r w:rsidRPr="00E94F35">
              <w:rPr>
                <w:rFonts w:ascii="Arial" w:hAnsi="Arial" w:cs="Arial"/>
                <w:i/>
                <w:iCs/>
                <w:color w:val="auto"/>
                <w:sz w:val="16"/>
                <w:szCs w:val="16"/>
              </w:rPr>
              <w:t>Non</w:t>
            </w:r>
            <w:r w:rsidR="00BD4D19">
              <w:rPr>
                <w:rFonts w:ascii="Arial" w:hAnsi="Arial" w:cs="Arial"/>
                <w:i/>
                <w:iCs/>
                <w:color w:val="auto"/>
                <w:sz w:val="16"/>
                <w:szCs w:val="16"/>
              </w:rPr>
              <w:noBreakHyphen/>
            </w:r>
            <w:r w:rsidRPr="00E94F35">
              <w:rPr>
                <w:rFonts w:ascii="Arial" w:hAnsi="Arial" w:cs="Arial"/>
                <w:i/>
                <w:iCs/>
                <w:color w:val="auto"/>
                <w:sz w:val="16"/>
                <w:szCs w:val="16"/>
              </w:rPr>
              <w:t>residential</w:t>
            </w:r>
            <w:r w:rsidR="00BD4D19">
              <w:rPr>
                <w:rFonts w:ascii="Arial" w:hAnsi="Arial" w:cs="Arial"/>
                <w:i/>
                <w:iCs/>
                <w:color w:val="auto"/>
                <w:sz w:val="16"/>
                <w:szCs w:val="16"/>
              </w:rPr>
              <w:t>’</w:t>
            </w:r>
          </w:p>
        </w:tc>
        <w:tc>
          <w:tcPr>
            <w:tcW w:w="0" w:type="auto"/>
            <w:tcBorders>
              <w:top w:val="nil"/>
              <w:left w:val="nil"/>
              <w:bottom w:val="nil"/>
              <w:right w:val="nil"/>
            </w:tcBorders>
            <w:shd w:val="clear" w:color="000000" w:fill="FFFFFF"/>
            <w:noWrap/>
            <w:vAlign w:val="center"/>
            <w:hideMark/>
          </w:tcPr>
          <w:p w14:paraId="528FA8CA" w14:textId="77777777" w:rsidR="00E94F35" w:rsidRPr="00E94F35" w:rsidRDefault="00E94F35" w:rsidP="00E94F35">
            <w:pPr>
              <w:spacing w:after="0" w:line="240" w:lineRule="auto"/>
              <w:jc w:val="right"/>
              <w:rPr>
                <w:rFonts w:ascii="Arial" w:hAnsi="Arial" w:cs="Arial"/>
                <w:i/>
                <w:iCs/>
                <w:color w:val="auto"/>
                <w:sz w:val="16"/>
                <w:szCs w:val="16"/>
              </w:rPr>
            </w:pPr>
            <w:r w:rsidRPr="00E94F35">
              <w:rPr>
                <w:rFonts w:ascii="Arial" w:hAnsi="Arial" w:cs="Arial"/>
                <w:i/>
                <w:iCs/>
                <w:color w:val="auto"/>
                <w:sz w:val="16"/>
                <w:szCs w:val="16"/>
              </w:rPr>
              <w:t>1,141</w:t>
            </w:r>
          </w:p>
        </w:tc>
        <w:tc>
          <w:tcPr>
            <w:tcW w:w="0" w:type="auto"/>
            <w:tcBorders>
              <w:top w:val="nil"/>
              <w:left w:val="nil"/>
              <w:bottom w:val="nil"/>
              <w:right w:val="nil"/>
            </w:tcBorders>
            <w:shd w:val="clear" w:color="000000" w:fill="FFFFFF"/>
            <w:noWrap/>
            <w:vAlign w:val="center"/>
            <w:hideMark/>
          </w:tcPr>
          <w:p w14:paraId="6C4B1EC1" w14:textId="77777777" w:rsidR="00E94F35" w:rsidRPr="00E94F35" w:rsidRDefault="00E94F35" w:rsidP="00E94F35">
            <w:pPr>
              <w:spacing w:after="0" w:line="240" w:lineRule="auto"/>
              <w:jc w:val="right"/>
              <w:rPr>
                <w:rFonts w:ascii="Arial" w:hAnsi="Arial" w:cs="Arial"/>
                <w:i/>
                <w:iCs/>
                <w:color w:val="auto"/>
                <w:sz w:val="16"/>
                <w:szCs w:val="16"/>
              </w:rPr>
            </w:pPr>
            <w:r w:rsidRPr="00E94F35">
              <w:rPr>
                <w:rFonts w:ascii="Arial" w:hAnsi="Arial" w:cs="Arial"/>
                <w:i/>
                <w:iCs/>
                <w:color w:val="auto"/>
                <w:sz w:val="16"/>
                <w:szCs w:val="16"/>
              </w:rPr>
              <w:t>167.7</w:t>
            </w:r>
          </w:p>
        </w:tc>
        <w:tc>
          <w:tcPr>
            <w:tcW w:w="0" w:type="auto"/>
            <w:tcBorders>
              <w:top w:val="nil"/>
              <w:left w:val="nil"/>
              <w:bottom w:val="nil"/>
              <w:right w:val="nil"/>
            </w:tcBorders>
            <w:shd w:val="clear" w:color="000000" w:fill="FFFFFF"/>
            <w:noWrap/>
            <w:vAlign w:val="center"/>
            <w:hideMark/>
          </w:tcPr>
          <w:p w14:paraId="18E7B5FF" w14:textId="77777777" w:rsidR="00E94F35" w:rsidRPr="00E94F35" w:rsidRDefault="00E94F35" w:rsidP="00E94F35">
            <w:pPr>
              <w:spacing w:after="0" w:line="240" w:lineRule="auto"/>
              <w:jc w:val="right"/>
              <w:rPr>
                <w:rFonts w:ascii="Arial" w:hAnsi="Arial" w:cs="Arial"/>
                <w:i/>
                <w:iCs/>
                <w:color w:val="auto"/>
                <w:sz w:val="16"/>
                <w:szCs w:val="16"/>
              </w:rPr>
            </w:pPr>
            <w:r w:rsidRPr="00E94F35">
              <w:rPr>
                <w:rFonts w:ascii="Arial" w:hAnsi="Arial" w:cs="Arial"/>
                <w:i/>
                <w:iCs/>
                <w:color w:val="auto"/>
                <w:sz w:val="16"/>
                <w:szCs w:val="16"/>
              </w:rPr>
              <w:t>1,024</w:t>
            </w:r>
          </w:p>
        </w:tc>
        <w:tc>
          <w:tcPr>
            <w:tcW w:w="0" w:type="auto"/>
            <w:tcBorders>
              <w:top w:val="nil"/>
              <w:left w:val="nil"/>
              <w:bottom w:val="nil"/>
              <w:right w:val="nil"/>
            </w:tcBorders>
            <w:shd w:val="clear" w:color="000000" w:fill="FFFFFF"/>
            <w:noWrap/>
            <w:vAlign w:val="center"/>
            <w:hideMark/>
          </w:tcPr>
          <w:p w14:paraId="0C3DB010" w14:textId="77777777" w:rsidR="00E94F35" w:rsidRPr="00E94F35" w:rsidRDefault="00E94F35" w:rsidP="00E94F35">
            <w:pPr>
              <w:spacing w:after="0" w:line="240" w:lineRule="auto"/>
              <w:jc w:val="right"/>
              <w:rPr>
                <w:rFonts w:ascii="Arial" w:hAnsi="Arial" w:cs="Arial"/>
                <w:i/>
                <w:iCs/>
                <w:color w:val="auto"/>
                <w:sz w:val="16"/>
                <w:szCs w:val="16"/>
              </w:rPr>
            </w:pPr>
            <w:r w:rsidRPr="00E94F35">
              <w:rPr>
                <w:rFonts w:ascii="Arial" w:hAnsi="Arial" w:cs="Arial"/>
                <w:i/>
                <w:iCs/>
                <w:color w:val="auto"/>
                <w:sz w:val="16"/>
                <w:szCs w:val="16"/>
              </w:rPr>
              <w:t>150.6</w:t>
            </w:r>
          </w:p>
        </w:tc>
        <w:tc>
          <w:tcPr>
            <w:tcW w:w="0" w:type="auto"/>
            <w:tcBorders>
              <w:top w:val="nil"/>
              <w:left w:val="nil"/>
              <w:bottom w:val="nil"/>
              <w:right w:val="nil"/>
            </w:tcBorders>
            <w:shd w:val="clear" w:color="000000" w:fill="FFFFFF"/>
            <w:noWrap/>
            <w:vAlign w:val="center"/>
            <w:hideMark/>
          </w:tcPr>
          <w:p w14:paraId="359800AC" w14:textId="77777777" w:rsidR="00E94F35" w:rsidRPr="00E94F35" w:rsidRDefault="00E94F35" w:rsidP="00E94F35">
            <w:pPr>
              <w:spacing w:after="0" w:line="240" w:lineRule="auto"/>
              <w:jc w:val="left"/>
              <w:rPr>
                <w:rFonts w:ascii="Arial" w:hAnsi="Arial" w:cs="Arial"/>
                <w:i/>
                <w:iCs/>
                <w:color w:val="auto"/>
                <w:sz w:val="16"/>
                <w:szCs w:val="16"/>
              </w:rPr>
            </w:pPr>
            <w:r w:rsidRPr="00E94F35">
              <w:rPr>
                <w:rFonts w:ascii="Arial" w:hAnsi="Arial" w:cs="Arial"/>
                <w:i/>
                <w:iCs/>
                <w:color w:val="auto"/>
                <w:sz w:val="16"/>
                <w:szCs w:val="16"/>
              </w:rPr>
              <w:t xml:space="preserve">    1,175 </w:t>
            </w:r>
          </w:p>
        </w:tc>
        <w:tc>
          <w:tcPr>
            <w:tcW w:w="0" w:type="auto"/>
            <w:tcBorders>
              <w:top w:val="nil"/>
              <w:left w:val="nil"/>
              <w:bottom w:val="nil"/>
              <w:right w:val="nil"/>
            </w:tcBorders>
            <w:shd w:val="clear" w:color="000000" w:fill="FFFFFF"/>
            <w:noWrap/>
            <w:vAlign w:val="center"/>
            <w:hideMark/>
          </w:tcPr>
          <w:p w14:paraId="235E9C6E" w14:textId="77777777" w:rsidR="00E94F35" w:rsidRPr="00E94F35" w:rsidRDefault="00E94F35" w:rsidP="00E94F35">
            <w:pPr>
              <w:spacing w:after="0" w:line="240" w:lineRule="auto"/>
              <w:jc w:val="right"/>
              <w:rPr>
                <w:rFonts w:ascii="Arial" w:hAnsi="Arial" w:cs="Arial"/>
                <w:i/>
                <w:iCs/>
                <w:color w:val="auto"/>
                <w:sz w:val="16"/>
                <w:szCs w:val="16"/>
              </w:rPr>
            </w:pPr>
            <w:r w:rsidRPr="00E94F35">
              <w:rPr>
                <w:rFonts w:ascii="Arial" w:hAnsi="Arial" w:cs="Arial"/>
                <w:i/>
                <w:iCs/>
                <w:color w:val="auto"/>
                <w:sz w:val="16"/>
                <w:szCs w:val="16"/>
              </w:rPr>
              <w:t>216.2</w:t>
            </w:r>
          </w:p>
        </w:tc>
        <w:tc>
          <w:tcPr>
            <w:tcW w:w="0" w:type="auto"/>
            <w:tcBorders>
              <w:top w:val="nil"/>
              <w:left w:val="nil"/>
              <w:bottom w:val="nil"/>
              <w:right w:val="nil"/>
            </w:tcBorders>
            <w:shd w:val="clear" w:color="000000" w:fill="F2F2F2"/>
            <w:noWrap/>
            <w:vAlign w:val="center"/>
            <w:hideMark/>
          </w:tcPr>
          <w:p w14:paraId="7FA3E88C" w14:textId="77777777" w:rsidR="00E94F35" w:rsidRPr="00E94F35" w:rsidRDefault="00E94F35" w:rsidP="00E94F35">
            <w:pPr>
              <w:spacing w:after="0" w:line="240" w:lineRule="auto"/>
              <w:jc w:val="left"/>
              <w:rPr>
                <w:rFonts w:ascii="Arial" w:hAnsi="Arial" w:cs="Arial"/>
                <w:i/>
                <w:iCs/>
                <w:color w:val="auto"/>
                <w:sz w:val="16"/>
                <w:szCs w:val="16"/>
              </w:rPr>
            </w:pPr>
            <w:r w:rsidRPr="00E94F35">
              <w:rPr>
                <w:rFonts w:ascii="Arial" w:hAnsi="Arial" w:cs="Arial"/>
                <w:i/>
                <w:iCs/>
                <w:color w:val="auto"/>
                <w:sz w:val="16"/>
                <w:szCs w:val="16"/>
              </w:rPr>
              <w:t xml:space="preserve">    1,155 </w:t>
            </w:r>
          </w:p>
        </w:tc>
        <w:tc>
          <w:tcPr>
            <w:tcW w:w="0" w:type="auto"/>
            <w:tcBorders>
              <w:top w:val="nil"/>
              <w:left w:val="nil"/>
              <w:bottom w:val="nil"/>
              <w:right w:val="nil"/>
            </w:tcBorders>
            <w:shd w:val="clear" w:color="000000" w:fill="F2F2F2"/>
            <w:noWrap/>
            <w:vAlign w:val="center"/>
            <w:hideMark/>
          </w:tcPr>
          <w:p w14:paraId="4E1D32BA" w14:textId="77777777" w:rsidR="00E94F35" w:rsidRPr="00E94F35" w:rsidRDefault="00E94F35" w:rsidP="00E94F35">
            <w:pPr>
              <w:spacing w:after="0" w:line="240" w:lineRule="auto"/>
              <w:jc w:val="right"/>
              <w:rPr>
                <w:rFonts w:ascii="Arial" w:hAnsi="Arial" w:cs="Arial"/>
                <w:i/>
                <w:iCs/>
                <w:color w:val="auto"/>
                <w:sz w:val="16"/>
                <w:szCs w:val="16"/>
              </w:rPr>
            </w:pPr>
            <w:r w:rsidRPr="00E94F35">
              <w:rPr>
                <w:rFonts w:ascii="Arial" w:hAnsi="Arial" w:cs="Arial"/>
                <w:i/>
                <w:iCs/>
                <w:color w:val="auto"/>
                <w:sz w:val="16"/>
                <w:szCs w:val="16"/>
              </w:rPr>
              <w:t>178.4</w:t>
            </w:r>
          </w:p>
        </w:tc>
      </w:tr>
      <w:tr w:rsidR="00E94F35" w:rsidRPr="00E94F35" w14:paraId="6BD3DB2C" w14:textId="77777777" w:rsidTr="00F71E81">
        <w:trPr>
          <w:trHeight w:val="225"/>
        </w:trPr>
        <w:tc>
          <w:tcPr>
            <w:tcW w:w="0" w:type="auto"/>
            <w:tcBorders>
              <w:top w:val="nil"/>
              <w:left w:val="nil"/>
              <w:bottom w:val="single" w:sz="4" w:space="0" w:color="auto"/>
              <w:right w:val="nil"/>
            </w:tcBorders>
            <w:shd w:val="clear" w:color="000000" w:fill="FFFFFF"/>
            <w:noWrap/>
            <w:vAlign w:val="center"/>
            <w:hideMark/>
          </w:tcPr>
          <w:p w14:paraId="364DB825" w14:textId="77777777" w:rsidR="00E94F35" w:rsidRPr="00E94F35" w:rsidRDefault="00E94F35" w:rsidP="00E94F35">
            <w:pPr>
              <w:spacing w:after="0" w:line="240" w:lineRule="auto"/>
              <w:jc w:val="left"/>
              <w:rPr>
                <w:rFonts w:ascii="Arial" w:hAnsi="Arial" w:cs="Arial"/>
                <w:color w:val="auto"/>
                <w:sz w:val="16"/>
                <w:szCs w:val="16"/>
              </w:rPr>
            </w:pPr>
            <w:r w:rsidRPr="00E94F35">
              <w:rPr>
                <w:rFonts w:ascii="Arial" w:hAnsi="Arial" w:cs="Arial"/>
                <w:color w:val="auto"/>
                <w:sz w:val="16"/>
                <w:szCs w:val="16"/>
              </w:rPr>
              <w:t>Real estate</w:t>
            </w:r>
            <w:r w:rsidR="006225EA">
              <w:rPr>
                <w:rFonts w:ascii="Arial" w:hAnsi="Arial" w:cs="Arial"/>
                <w:color w:val="auto"/>
                <w:sz w:val="16"/>
                <w:szCs w:val="16"/>
              </w:rPr>
              <w:t xml:space="preserve"> — </w:t>
            </w:r>
            <w:r w:rsidRPr="00E94F35">
              <w:rPr>
                <w:rFonts w:ascii="Arial" w:hAnsi="Arial" w:cs="Arial"/>
                <w:color w:val="auto"/>
                <w:sz w:val="16"/>
                <w:szCs w:val="16"/>
              </w:rPr>
              <w:t>residential</w:t>
            </w:r>
          </w:p>
        </w:tc>
        <w:tc>
          <w:tcPr>
            <w:tcW w:w="0" w:type="auto"/>
            <w:tcBorders>
              <w:top w:val="nil"/>
              <w:left w:val="nil"/>
              <w:bottom w:val="nil"/>
              <w:right w:val="nil"/>
            </w:tcBorders>
            <w:shd w:val="clear" w:color="000000" w:fill="FFFFFF"/>
            <w:noWrap/>
            <w:vAlign w:val="center"/>
            <w:hideMark/>
          </w:tcPr>
          <w:p w14:paraId="5E9E2899"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13,198</w:t>
            </w:r>
          </w:p>
        </w:tc>
        <w:tc>
          <w:tcPr>
            <w:tcW w:w="0" w:type="auto"/>
            <w:tcBorders>
              <w:top w:val="nil"/>
              <w:left w:val="nil"/>
              <w:bottom w:val="nil"/>
              <w:right w:val="nil"/>
            </w:tcBorders>
            <w:shd w:val="clear" w:color="000000" w:fill="FFFFFF"/>
            <w:noWrap/>
            <w:vAlign w:val="center"/>
            <w:hideMark/>
          </w:tcPr>
          <w:p w14:paraId="74886885"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30.0</w:t>
            </w:r>
          </w:p>
        </w:tc>
        <w:tc>
          <w:tcPr>
            <w:tcW w:w="0" w:type="auto"/>
            <w:tcBorders>
              <w:top w:val="nil"/>
              <w:left w:val="nil"/>
              <w:bottom w:val="nil"/>
              <w:right w:val="nil"/>
            </w:tcBorders>
            <w:shd w:val="clear" w:color="000000" w:fill="FFFFFF"/>
            <w:noWrap/>
            <w:vAlign w:val="center"/>
            <w:hideMark/>
          </w:tcPr>
          <w:p w14:paraId="301EA895"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10,036</w:t>
            </w:r>
          </w:p>
        </w:tc>
        <w:tc>
          <w:tcPr>
            <w:tcW w:w="0" w:type="auto"/>
            <w:tcBorders>
              <w:top w:val="nil"/>
              <w:left w:val="nil"/>
              <w:bottom w:val="nil"/>
              <w:right w:val="nil"/>
            </w:tcBorders>
            <w:shd w:val="clear" w:color="000000" w:fill="FFFFFF"/>
            <w:noWrap/>
            <w:vAlign w:val="center"/>
            <w:hideMark/>
          </w:tcPr>
          <w:p w14:paraId="2336361F"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12.5</w:t>
            </w:r>
          </w:p>
        </w:tc>
        <w:tc>
          <w:tcPr>
            <w:tcW w:w="0" w:type="auto"/>
            <w:tcBorders>
              <w:top w:val="nil"/>
              <w:left w:val="nil"/>
              <w:bottom w:val="nil"/>
              <w:right w:val="nil"/>
            </w:tcBorders>
            <w:shd w:val="clear" w:color="000000" w:fill="FFFFFF"/>
            <w:noWrap/>
            <w:vAlign w:val="center"/>
            <w:hideMark/>
          </w:tcPr>
          <w:p w14:paraId="71C6FC81" w14:textId="77777777" w:rsidR="00E94F35" w:rsidRPr="00E94F35" w:rsidRDefault="00E94F35" w:rsidP="00E94F35">
            <w:pPr>
              <w:spacing w:after="0" w:line="240" w:lineRule="auto"/>
              <w:jc w:val="left"/>
              <w:rPr>
                <w:rFonts w:ascii="Arial" w:hAnsi="Arial" w:cs="Arial"/>
                <w:color w:val="auto"/>
                <w:sz w:val="16"/>
                <w:szCs w:val="16"/>
              </w:rPr>
            </w:pPr>
            <w:r w:rsidRPr="00E94F35">
              <w:rPr>
                <w:rFonts w:ascii="Arial" w:hAnsi="Arial" w:cs="Arial"/>
                <w:color w:val="auto"/>
                <w:sz w:val="16"/>
                <w:szCs w:val="16"/>
              </w:rPr>
              <w:t xml:space="preserve">    7,513 </w:t>
            </w:r>
          </w:p>
        </w:tc>
        <w:tc>
          <w:tcPr>
            <w:tcW w:w="0" w:type="auto"/>
            <w:tcBorders>
              <w:top w:val="nil"/>
              <w:left w:val="nil"/>
              <w:bottom w:val="nil"/>
              <w:right w:val="nil"/>
            </w:tcBorders>
            <w:shd w:val="clear" w:color="000000" w:fill="FFFFFF"/>
            <w:noWrap/>
            <w:vAlign w:val="center"/>
            <w:hideMark/>
          </w:tcPr>
          <w:p w14:paraId="79D1D85F"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14.8</w:t>
            </w:r>
          </w:p>
        </w:tc>
        <w:tc>
          <w:tcPr>
            <w:tcW w:w="0" w:type="auto"/>
            <w:tcBorders>
              <w:top w:val="nil"/>
              <w:left w:val="nil"/>
              <w:bottom w:val="nil"/>
              <w:right w:val="nil"/>
            </w:tcBorders>
            <w:shd w:val="clear" w:color="000000" w:fill="F2F2F2"/>
            <w:noWrap/>
            <w:vAlign w:val="center"/>
            <w:hideMark/>
          </w:tcPr>
          <w:p w14:paraId="0266A9EE" w14:textId="77777777" w:rsidR="00E94F35" w:rsidRPr="00E94F35" w:rsidRDefault="00E94F35" w:rsidP="00E94F35">
            <w:pPr>
              <w:spacing w:after="0" w:line="240" w:lineRule="auto"/>
              <w:jc w:val="left"/>
              <w:rPr>
                <w:rFonts w:ascii="Arial" w:hAnsi="Arial" w:cs="Arial"/>
                <w:color w:val="auto"/>
                <w:sz w:val="16"/>
                <w:szCs w:val="16"/>
              </w:rPr>
            </w:pPr>
            <w:r w:rsidRPr="00E94F35">
              <w:rPr>
                <w:rFonts w:ascii="Arial" w:hAnsi="Arial" w:cs="Arial"/>
                <w:color w:val="auto"/>
                <w:sz w:val="16"/>
                <w:szCs w:val="16"/>
              </w:rPr>
              <w:t xml:space="preserve">    7,056 </w:t>
            </w:r>
          </w:p>
        </w:tc>
        <w:tc>
          <w:tcPr>
            <w:tcW w:w="0" w:type="auto"/>
            <w:tcBorders>
              <w:top w:val="nil"/>
              <w:left w:val="nil"/>
              <w:bottom w:val="nil"/>
              <w:right w:val="nil"/>
            </w:tcBorders>
            <w:shd w:val="clear" w:color="000000" w:fill="F2F2F2"/>
            <w:noWrap/>
            <w:vAlign w:val="center"/>
            <w:hideMark/>
          </w:tcPr>
          <w:p w14:paraId="3791B4DA" w14:textId="77777777" w:rsidR="00E94F35" w:rsidRPr="00E94F35" w:rsidRDefault="00E94F35" w:rsidP="00E94F35">
            <w:pPr>
              <w:spacing w:after="0" w:line="240" w:lineRule="auto"/>
              <w:jc w:val="right"/>
              <w:rPr>
                <w:rFonts w:ascii="Arial" w:hAnsi="Arial" w:cs="Arial"/>
                <w:color w:val="auto"/>
                <w:sz w:val="16"/>
                <w:szCs w:val="16"/>
              </w:rPr>
            </w:pPr>
            <w:r w:rsidRPr="00E94F35">
              <w:rPr>
                <w:rFonts w:ascii="Arial" w:hAnsi="Arial" w:cs="Arial"/>
                <w:color w:val="auto"/>
                <w:sz w:val="16"/>
                <w:szCs w:val="16"/>
              </w:rPr>
              <w:t>17.1</w:t>
            </w:r>
          </w:p>
        </w:tc>
      </w:tr>
      <w:tr w:rsidR="00E94F35" w:rsidRPr="00E94F35" w14:paraId="12212221" w14:textId="77777777" w:rsidTr="00F71E81">
        <w:trPr>
          <w:trHeight w:val="225"/>
        </w:trPr>
        <w:tc>
          <w:tcPr>
            <w:tcW w:w="0" w:type="auto"/>
            <w:tcBorders>
              <w:top w:val="nil"/>
              <w:left w:val="nil"/>
              <w:bottom w:val="single" w:sz="4" w:space="0" w:color="auto"/>
              <w:right w:val="nil"/>
            </w:tcBorders>
            <w:shd w:val="clear" w:color="000000" w:fill="FFFFFF"/>
            <w:noWrap/>
            <w:vAlign w:val="center"/>
            <w:hideMark/>
          </w:tcPr>
          <w:p w14:paraId="398C1EDF" w14:textId="77777777" w:rsidR="00E94F35" w:rsidRPr="00E94F35" w:rsidRDefault="00E94F35" w:rsidP="00E94F35">
            <w:pPr>
              <w:spacing w:after="0" w:line="240" w:lineRule="auto"/>
              <w:jc w:val="left"/>
              <w:rPr>
                <w:rFonts w:ascii="Arial" w:hAnsi="Arial" w:cs="Arial"/>
                <w:b/>
                <w:bCs/>
                <w:color w:val="auto"/>
                <w:sz w:val="16"/>
                <w:szCs w:val="16"/>
              </w:rPr>
            </w:pPr>
            <w:r w:rsidRPr="00E94F35">
              <w:rPr>
                <w:rFonts w:ascii="Arial" w:hAnsi="Arial" w:cs="Arial"/>
                <w:b/>
                <w:bCs/>
                <w:color w:val="auto"/>
                <w:sz w:val="16"/>
                <w:szCs w:val="16"/>
              </w:rPr>
              <w:t>Total</w:t>
            </w:r>
          </w:p>
        </w:tc>
        <w:tc>
          <w:tcPr>
            <w:tcW w:w="0" w:type="auto"/>
            <w:tcBorders>
              <w:top w:val="single" w:sz="4" w:space="0" w:color="auto"/>
              <w:left w:val="nil"/>
              <w:bottom w:val="single" w:sz="4" w:space="0" w:color="auto"/>
              <w:right w:val="nil"/>
            </w:tcBorders>
            <w:shd w:val="clear" w:color="000000" w:fill="FFFFFF"/>
            <w:noWrap/>
            <w:vAlign w:val="center"/>
            <w:hideMark/>
          </w:tcPr>
          <w:p w14:paraId="4F891C77" w14:textId="77777777" w:rsidR="00E94F35" w:rsidRPr="00E94F35" w:rsidRDefault="00E94F35" w:rsidP="00E94F35">
            <w:pPr>
              <w:spacing w:after="0" w:line="240" w:lineRule="auto"/>
              <w:jc w:val="right"/>
              <w:rPr>
                <w:rFonts w:ascii="Arial" w:hAnsi="Arial" w:cs="Arial"/>
                <w:b/>
                <w:bCs/>
                <w:color w:val="auto"/>
                <w:sz w:val="16"/>
                <w:szCs w:val="16"/>
              </w:rPr>
            </w:pPr>
            <w:r w:rsidRPr="00E94F35">
              <w:rPr>
                <w:rFonts w:ascii="Arial" w:hAnsi="Arial" w:cs="Arial"/>
                <w:b/>
                <w:bCs/>
                <w:color w:val="auto"/>
                <w:sz w:val="16"/>
                <w:szCs w:val="16"/>
              </w:rPr>
              <w:t>14,339</w:t>
            </w:r>
          </w:p>
        </w:tc>
        <w:tc>
          <w:tcPr>
            <w:tcW w:w="0" w:type="auto"/>
            <w:tcBorders>
              <w:top w:val="single" w:sz="4" w:space="0" w:color="auto"/>
              <w:left w:val="nil"/>
              <w:bottom w:val="single" w:sz="4" w:space="0" w:color="auto"/>
              <w:right w:val="nil"/>
            </w:tcBorders>
            <w:shd w:val="clear" w:color="000000" w:fill="FFFFFF"/>
            <w:noWrap/>
            <w:vAlign w:val="center"/>
            <w:hideMark/>
          </w:tcPr>
          <w:p w14:paraId="5A15D7B2" w14:textId="77777777" w:rsidR="00E94F35" w:rsidRPr="00E94F35" w:rsidRDefault="00E94F35" w:rsidP="00E94F35">
            <w:pPr>
              <w:spacing w:after="0" w:line="240" w:lineRule="auto"/>
              <w:jc w:val="right"/>
              <w:rPr>
                <w:rFonts w:ascii="Arial" w:hAnsi="Arial" w:cs="Arial"/>
                <w:b/>
                <w:bCs/>
                <w:color w:val="auto"/>
                <w:sz w:val="16"/>
                <w:szCs w:val="16"/>
              </w:rPr>
            </w:pPr>
            <w:r w:rsidRPr="00E94F35">
              <w:rPr>
                <w:rFonts w:ascii="Arial" w:hAnsi="Arial" w:cs="Arial"/>
                <w:b/>
                <w:bCs/>
                <w:color w:val="auto"/>
                <w:sz w:val="16"/>
                <w:szCs w:val="16"/>
              </w:rPr>
              <w:t>197.7</w:t>
            </w:r>
          </w:p>
        </w:tc>
        <w:tc>
          <w:tcPr>
            <w:tcW w:w="0" w:type="auto"/>
            <w:tcBorders>
              <w:top w:val="single" w:sz="4" w:space="0" w:color="auto"/>
              <w:left w:val="nil"/>
              <w:bottom w:val="single" w:sz="4" w:space="0" w:color="auto"/>
              <w:right w:val="nil"/>
            </w:tcBorders>
            <w:shd w:val="clear" w:color="000000" w:fill="FFFFFF"/>
            <w:noWrap/>
            <w:vAlign w:val="center"/>
            <w:hideMark/>
          </w:tcPr>
          <w:p w14:paraId="1300B909" w14:textId="77777777" w:rsidR="00E94F35" w:rsidRPr="00E94F35" w:rsidRDefault="00E94F35" w:rsidP="00E94F35">
            <w:pPr>
              <w:spacing w:after="0" w:line="240" w:lineRule="auto"/>
              <w:jc w:val="right"/>
              <w:rPr>
                <w:rFonts w:ascii="Arial" w:hAnsi="Arial" w:cs="Arial"/>
                <w:b/>
                <w:bCs/>
                <w:color w:val="auto"/>
                <w:sz w:val="16"/>
                <w:szCs w:val="16"/>
              </w:rPr>
            </w:pPr>
            <w:r w:rsidRPr="00E94F35">
              <w:rPr>
                <w:rFonts w:ascii="Arial" w:hAnsi="Arial" w:cs="Arial"/>
                <w:b/>
                <w:bCs/>
                <w:color w:val="auto"/>
                <w:sz w:val="16"/>
                <w:szCs w:val="16"/>
              </w:rPr>
              <w:t>11,060</w:t>
            </w:r>
          </w:p>
        </w:tc>
        <w:tc>
          <w:tcPr>
            <w:tcW w:w="0" w:type="auto"/>
            <w:tcBorders>
              <w:top w:val="single" w:sz="4" w:space="0" w:color="auto"/>
              <w:left w:val="nil"/>
              <w:bottom w:val="single" w:sz="4" w:space="0" w:color="auto"/>
              <w:right w:val="nil"/>
            </w:tcBorders>
            <w:shd w:val="clear" w:color="000000" w:fill="FFFFFF"/>
            <w:noWrap/>
            <w:vAlign w:val="center"/>
            <w:hideMark/>
          </w:tcPr>
          <w:p w14:paraId="1DC73AEE" w14:textId="77777777" w:rsidR="00E94F35" w:rsidRPr="00E94F35" w:rsidRDefault="00E94F35" w:rsidP="00E94F35">
            <w:pPr>
              <w:spacing w:after="0" w:line="240" w:lineRule="auto"/>
              <w:jc w:val="right"/>
              <w:rPr>
                <w:rFonts w:ascii="Arial" w:hAnsi="Arial" w:cs="Arial"/>
                <w:b/>
                <w:bCs/>
                <w:color w:val="auto"/>
                <w:sz w:val="16"/>
                <w:szCs w:val="16"/>
              </w:rPr>
            </w:pPr>
            <w:r w:rsidRPr="00E94F35">
              <w:rPr>
                <w:rFonts w:ascii="Arial" w:hAnsi="Arial" w:cs="Arial"/>
                <w:b/>
                <w:bCs/>
                <w:color w:val="auto"/>
                <w:sz w:val="16"/>
                <w:szCs w:val="16"/>
              </w:rPr>
              <w:t>163.1</w:t>
            </w:r>
          </w:p>
        </w:tc>
        <w:tc>
          <w:tcPr>
            <w:tcW w:w="0" w:type="auto"/>
            <w:tcBorders>
              <w:top w:val="single" w:sz="4" w:space="0" w:color="auto"/>
              <w:left w:val="nil"/>
              <w:bottom w:val="single" w:sz="4" w:space="0" w:color="auto"/>
              <w:right w:val="nil"/>
            </w:tcBorders>
            <w:shd w:val="clear" w:color="000000" w:fill="FFFFFF"/>
            <w:noWrap/>
            <w:vAlign w:val="center"/>
            <w:hideMark/>
          </w:tcPr>
          <w:p w14:paraId="7F2C79D3" w14:textId="77777777" w:rsidR="00E94F35" w:rsidRPr="00E94F35" w:rsidRDefault="00E94F35" w:rsidP="00E94F35">
            <w:pPr>
              <w:spacing w:after="0" w:line="240" w:lineRule="auto"/>
              <w:jc w:val="left"/>
              <w:rPr>
                <w:rFonts w:ascii="Arial" w:hAnsi="Arial" w:cs="Arial"/>
                <w:b/>
                <w:bCs/>
                <w:color w:val="auto"/>
                <w:sz w:val="16"/>
                <w:szCs w:val="16"/>
              </w:rPr>
            </w:pPr>
            <w:r w:rsidRPr="00E94F35">
              <w:rPr>
                <w:rFonts w:ascii="Arial" w:hAnsi="Arial" w:cs="Arial"/>
                <w:b/>
                <w:bCs/>
                <w:color w:val="auto"/>
                <w:sz w:val="16"/>
                <w:szCs w:val="16"/>
              </w:rPr>
              <w:t xml:space="preserve">    8,688 </w:t>
            </w:r>
          </w:p>
        </w:tc>
        <w:tc>
          <w:tcPr>
            <w:tcW w:w="0" w:type="auto"/>
            <w:tcBorders>
              <w:top w:val="single" w:sz="4" w:space="0" w:color="auto"/>
              <w:left w:val="nil"/>
              <w:bottom w:val="single" w:sz="4" w:space="0" w:color="auto"/>
              <w:right w:val="nil"/>
            </w:tcBorders>
            <w:shd w:val="clear" w:color="000000" w:fill="FFFFFF"/>
            <w:noWrap/>
            <w:vAlign w:val="center"/>
            <w:hideMark/>
          </w:tcPr>
          <w:p w14:paraId="684A8AC9" w14:textId="77777777" w:rsidR="00E94F35" w:rsidRPr="00E94F35" w:rsidRDefault="00E94F35" w:rsidP="00E94F35">
            <w:pPr>
              <w:spacing w:after="0" w:line="240" w:lineRule="auto"/>
              <w:jc w:val="right"/>
              <w:rPr>
                <w:rFonts w:ascii="Arial" w:hAnsi="Arial" w:cs="Arial"/>
                <w:b/>
                <w:bCs/>
                <w:color w:val="auto"/>
                <w:sz w:val="16"/>
                <w:szCs w:val="16"/>
              </w:rPr>
            </w:pPr>
            <w:r w:rsidRPr="00E94F35">
              <w:rPr>
                <w:rFonts w:ascii="Arial" w:hAnsi="Arial" w:cs="Arial"/>
                <w:b/>
                <w:bCs/>
                <w:color w:val="auto"/>
                <w:sz w:val="16"/>
                <w:szCs w:val="16"/>
              </w:rPr>
              <w:t>231.0</w:t>
            </w:r>
          </w:p>
        </w:tc>
        <w:tc>
          <w:tcPr>
            <w:tcW w:w="0" w:type="auto"/>
            <w:tcBorders>
              <w:top w:val="single" w:sz="4" w:space="0" w:color="auto"/>
              <w:left w:val="nil"/>
              <w:bottom w:val="single" w:sz="4" w:space="0" w:color="auto"/>
              <w:right w:val="nil"/>
            </w:tcBorders>
            <w:shd w:val="clear" w:color="000000" w:fill="F2F2F2"/>
            <w:noWrap/>
            <w:vAlign w:val="center"/>
            <w:hideMark/>
          </w:tcPr>
          <w:p w14:paraId="0EBB3A08" w14:textId="77777777" w:rsidR="00E94F35" w:rsidRPr="00E94F35" w:rsidRDefault="00E94F35" w:rsidP="00E94F35">
            <w:pPr>
              <w:spacing w:after="0" w:line="240" w:lineRule="auto"/>
              <w:jc w:val="left"/>
              <w:rPr>
                <w:rFonts w:ascii="Arial" w:hAnsi="Arial" w:cs="Arial"/>
                <w:b/>
                <w:bCs/>
                <w:color w:val="auto"/>
                <w:sz w:val="16"/>
                <w:szCs w:val="16"/>
              </w:rPr>
            </w:pPr>
            <w:r w:rsidRPr="00E94F35">
              <w:rPr>
                <w:rFonts w:ascii="Arial" w:hAnsi="Arial" w:cs="Arial"/>
                <w:b/>
                <w:bCs/>
                <w:color w:val="auto"/>
                <w:sz w:val="16"/>
                <w:szCs w:val="16"/>
              </w:rPr>
              <w:t xml:space="preserve">    8,211 </w:t>
            </w:r>
          </w:p>
        </w:tc>
        <w:tc>
          <w:tcPr>
            <w:tcW w:w="0" w:type="auto"/>
            <w:tcBorders>
              <w:top w:val="single" w:sz="4" w:space="0" w:color="auto"/>
              <w:left w:val="nil"/>
              <w:bottom w:val="single" w:sz="4" w:space="0" w:color="auto"/>
              <w:right w:val="nil"/>
            </w:tcBorders>
            <w:shd w:val="clear" w:color="000000" w:fill="F2F2F2"/>
            <w:noWrap/>
            <w:vAlign w:val="center"/>
            <w:hideMark/>
          </w:tcPr>
          <w:p w14:paraId="3FAE05CB" w14:textId="77777777" w:rsidR="00E94F35" w:rsidRPr="00E94F35" w:rsidRDefault="00E94F35" w:rsidP="00E94F35">
            <w:pPr>
              <w:spacing w:after="0" w:line="240" w:lineRule="auto"/>
              <w:jc w:val="right"/>
              <w:rPr>
                <w:rFonts w:ascii="Arial" w:hAnsi="Arial" w:cs="Arial"/>
                <w:b/>
                <w:bCs/>
                <w:color w:val="auto"/>
                <w:sz w:val="16"/>
                <w:szCs w:val="16"/>
              </w:rPr>
            </w:pPr>
            <w:r w:rsidRPr="00E94F35">
              <w:rPr>
                <w:rFonts w:ascii="Arial" w:hAnsi="Arial" w:cs="Arial"/>
                <w:b/>
                <w:bCs/>
                <w:color w:val="auto"/>
                <w:sz w:val="16"/>
                <w:szCs w:val="16"/>
              </w:rPr>
              <w:t>195.5</w:t>
            </w:r>
          </w:p>
        </w:tc>
      </w:tr>
    </w:tbl>
    <w:p w14:paraId="1C26F640" w14:textId="77777777" w:rsidR="000B2082" w:rsidRDefault="000B2082" w:rsidP="000B2082">
      <w:pPr>
        <w:pStyle w:val="ChartorTableNote"/>
      </w:pPr>
      <w:r w:rsidRPr="00BF48CD">
        <w:t xml:space="preserve">Before republishing this data or comparing between years, thoroughly review the methodological and data caveats in Appendix B. </w:t>
      </w:r>
    </w:p>
    <w:p w14:paraId="1DC1B9D0" w14:textId="77777777" w:rsidR="00F6204B" w:rsidRPr="008F11F0" w:rsidRDefault="00F6204B" w:rsidP="006225EA">
      <w:pPr>
        <w:pStyle w:val="SingleParagraph"/>
      </w:pPr>
    </w:p>
    <w:p w14:paraId="2C021BC2" w14:textId="77777777" w:rsidR="00DE56DC" w:rsidRPr="00820C89" w:rsidRDefault="00DE56DC" w:rsidP="00F6204B">
      <w:pPr>
        <w:pStyle w:val="Heading3"/>
      </w:pPr>
      <w:r w:rsidRPr="00820C89">
        <w:t>Agriculture, forestry and fishing</w:t>
      </w:r>
    </w:p>
    <w:p w14:paraId="67EFA7FB" w14:textId="77777777" w:rsidR="00DE56DC" w:rsidRPr="00820C89" w:rsidRDefault="00F6204B" w:rsidP="00DE56DC">
      <w:r>
        <w:t>T</w:t>
      </w:r>
      <w:r w:rsidR="00DE56DC" w:rsidRPr="00820C89">
        <w:t xml:space="preserve">here were </w:t>
      </w:r>
      <w:r w:rsidR="000B2082" w:rsidRPr="00820C89">
        <w:t>1</w:t>
      </w:r>
      <w:r w:rsidR="001951C9">
        <w:t>7</w:t>
      </w:r>
      <w:r w:rsidR="005C0EA3">
        <w:t>4</w:t>
      </w:r>
      <w:r w:rsidR="00257007">
        <w:t> </w:t>
      </w:r>
      <w:r w:rsidR="00DE56DC" w:rsidRPr="00820C89">
        <w:t>approvals granted for $</w:t>
      </w:r>
      <w:r w:rsidR="005C0EA3">
        <w:t>8.3</w:t>
      </w:r>
      <w:r w:rsidR="00DE56DC" w:rsidRPr="00820C89">
        <w:t> billion worth of proposed investment in the agriculture, forestry and fishing sector. The largest source countries of investment by value in this sector were Canada ($</w:t>
      </w:r>
      <w:r w:rsidR="000B2082" w:rsidRPr="00820C89">
        <w:t>2.</w:t>
      </w:r>
      <w:r w:rsidR="007A3D64">
        <w:t>6</w:t>
      </w:r>
      <w:r w:rsidR="00DE56DC" w:rsidRPr="00820C89">
        <w:t xml:space="preserve"> billion) and </w:t>
      </w:r>
      <w:r w:rsidR="000B2082" w:rsidRPr="00820C89">
        <w:t xml:space="preserve">Singapore </w:t>
      </w:r>
      <w:r w:rsidR="00DE56DC" w:rsidRPr="00820C89">
        <w:t>($</w:t>
      </w:r>
      <w:r w:rsidR="000B2082" w:rsidRPr="00820C89">
        <w:t>1.</w:t>
      </w:r>
      <w:r w:rsidR="005C0EA3">
        <w:t>4</w:t>
      </w:r>
      <w:r w:rsidR="00DE56DC" w:rsidRPr="00820C89">
        <w:t> billion)</w:t>
      </w:r>
      <w:r>
        <w:t xml:space="preserve"> (see Table 3.17)</w:t>
      </w:r>
      <w:r w:rsidR="00DE56DC" w:rsidRPr="00820C89">
        <w:t>.</w:t>
      </w:r>
    </w:p>
    <w:p w14:paraId="700C4576" w14:textId="77777777" w:rsidR="00DE56DC" w:rsidRPr="00820C89" w:rsidRDefault="00DE56DC" w:rsidP="00DE56DC">
      <w:pPr>
        <w:pStyle w:val="Heading3"/>
      </w:pPr>
      <w:r w:rsidRPr="00820C89">
        <w:t>Finance and insurance</w:t>
      </w:r>
    </w:p>
    <w:p w14:paraId="21D1B4AF" w14:textId="77777777" w:rsidR="00DE56DC" w:rsidRPr="00820C89" w:rsidRDefault="00DE56DC" w:rsidP="00DE56DC">
      <w:r w:rsidRPr="00820C89">
        <w:t>The value of approved proposed investment in the finance and insurance sector was $</w:t>
      </w:r>
      <w:r w:rsidR="000B2082" w:rsidRPr="00820C89">
        <w:t>13.</w:t>
      </w:r>
      <w:r w:rsidRPr="00820C89">
        <w:t>6 billion. This was an increase of $</w:t>
      </w:r>
      <w:r w:rsidR="0045753F" w:rsidRPr="00820C89">
        <w:t>7</w:t>
      </w:r>
      <w:r w:rsidRPr="00820C89">
        <w:t>.3 billion on the value of proposed investment compared to 201</w:t>
      </w:r>
      <w:r w:rsidR="00F6204B">
        <w:t>8</w:t>
      </w:r>
      <w:r w:rsidR="00F26A86">
        <w:t>–</w:t>
      </w:r>
      <w:r w:rsidRPr="00820C89">
        <w:t>1</w:t>
      </w:r>
      <w:r w:rsidR="00F6204B">
        <w:t>9</w:t>
      </w:r>
      <w:r w:rsidRPr="00820C89">
        <w:t>.</w:t>
      </w:r>
    </w:p>
    <w:p w14:paraId="050D57F3" w14:textId="77777777" w:rsidR="000D2076" w:rsidRDefault="0045753F" w:rsidP="000D2076">
      <w:r w:rsidRPr="00820C89">
        <w:t>The United States</w:t>
      </w:r>
      <w:r w:rsidR="00DE56DC" w:rsidRPr="00820C89">
        <w:t xml:space="preserve"> was the largest source country of investment by value in this sector ($</w:t>
      </w:r>
      <w:r w:rsidRPr="00820C89">
        <w:t>2.5</w:t>
      </w:r>
      <w:r w:rsidR="00DE56DC" w:rsidRPr="00820C89">
        <w:t xml:space="preserve"> billion), </w:t>
      </w:r>
      <w:r w:rsidRPr="00820C89">
        <w:t>with the United Kingdom the next largest source country ($2.3 billion)</w:t>
      </w:r>
      <w:r w:rsidR="00F6204B">
        <w:t xml:space="preserve"> (see Table 3.17)</w:t>
      </w:r>
      <w:r w:rsidR="00DE56DC" w:rsidRPr="00820C89">
        <w:t>.</w:t>
      </w:r>
    </w:p>
    <w:p w14:paraId="6BF3A57F" w14:textId="77777777" w:rsidR="00377D63" w:rsidRDefault="00377D63" w:rsidP="00377D63">
      <w:pPr>
        <w:spacing w:line="240" w:lineRule="auto"/>
      </w:pPr>
      <w:r w:rsidRPr="007C6F91">
        <w:rPr>
          <w:rFonts w:eastAsia="Calibri"/>
          <w:noProof/>
        </w:rPr>
        <mc:AlternateContent>
          <mc:Choice Requires="wps">
            <w:drawing>
              <wp:inline distT="0" distB="0" distL="0" distR="0" wp14:anchorId="494DDD9D" wp14:editId="2E5DABE0">
                <wp:extent cx="4895850" cy="6116128"/>
                <wp:effectExtent l="0" t="0" r="0" b="0"/>
                <wp:docPr id="21" name="Snip and Round Single Corner Rectangle 1"/>
                <wp:cNvGraphicFramePr/>
                <a:graphic xmlns:a="http://schemas.openxmlformats.org/drawingml/2006/main">
                  <a:graphicData uri="http://schemas.microsoft.com/office/word/2010/wordprocessingShape">
                    <wps:wsp>
                      <wps:cNvSpPr/>
                      <wps:spPr>
                        <a:xfrm>
                          <a:off x="0" y="0"/>
                          <a:ext cx="4895850" cy="6116128"/>
                        </a:xfrm>
                        <a:prstGeom prst="snipRoundRect">
                          <a:avLst>
                            <a:gd name="adj1" fmla="val 5531"/>
                            <a:gd name="adj2" fmla="val 10817"/>
                          </a:avLst>
                        </a:prstGeom>
                        <a:solidFill>
                          <a:schemeClr val="accent1"/>
                        </a:solidFill>
                        <a:ln w="25400" cap="flat" cmpd="sng" algn="ctr">
                          <a:noFill/>
                          <a:prstDash val="solid"/>
                        </a:ln>
                        <a:effectLst/>
                      </wps:spPr>
                      <wps:txbx>
                        <w:txbxContent>
                          <w:p w14:paraId="5DBFFB34" w14:textId="77777777" w:rsidR="00454210" w:rsidRPr="000D2076" w:rsidRDefault="00454210" w:rsidP="00377D63">
                            <w:pPr>
                              <w:pStyle w:val="CaseStudyHeading"/>
                            </w:pPr>
                            <w:bookmarkStart w:id="109" w:name="_Toc63782883"/>
                            <w:bookmarkStart w:id="110" w:name="_Toc73984756"/>
                            <w:r>
                              <w:t xml:space="preserve">Sargon </w:t>
                            </w:r>
                            <w:r w:rsidRPr="00377D63">
                              <w:t>Capital</w:t>
                            </w:r>
                            <w:bookmarkEnd w:id="109"/>
                            <w:bookmarkEnd w:id="110"/>
                          </w:p>
                          <w:p w14:paraId="2914DF45" w14:textId="575A220D" w:rsidR="00454210" w:rsidRDefault="00454210" w:rsidP="00377D63">
                            <w:pPr>
                              <w:pStyle w:val="CaseStudyText"/>
                            </w:pPr>
                            <w:r>
                              <w:t>In 2020, Pacific Infrastructure Partners Pty Ltd, a majority United States privately</w:t>
                            </w:r>
                            <w:r>
                              <w:noBreakHyphen/>
                              <w:t xml:space="preserve">owned investor, acquired the financial advisory and trustee business of Sargon Capital Pty Ltd (Receivers Appointed), and together with its majority shareholder, </w:t>
                            </w:r>
                            <w:r>
                              <w:t>Cloverhill S Capital Holdings LLC, also acquired Sargon Capital’s subsidiaries (Administrators Appointed), for a total consideration of $30 million.</w:t>
                            </w:r>
                          </w:p>
                          <w:p w14:paraId="20C62AB1" w14:textId="20E2B166" w:rsidR="00454210" w:rsidRDefault="00454210" w:rsidP="00377D63">
                            <w:pPr>
                              <w:pStyle w:val="CaseStudyText"/>
                            </w:pPr>
                            <w:r>
                              <w:t>This acquisition shows how foreign investment is woven into our daily lives, preserving jobs and creating more opportunities, and supporting local businesses. It is noteworthy that the proposal was submitted to the Foreign Investment Review Board and approved within five days, to avoid the risk of Sargon Capital’s business collapsing and about 90 employees losing their jobs.</w:t>
                            </w:r>
                          </w:p>
                          <w:p w14:paraId="6D608CDC" w14:textId="77777777" w:rsidR="00454210" w:rsidRDefault="00454210" w:rsidP="00377D63">
                            <w:pPr>
                              <w:pStyle w:val="CaseStudyText"/>
                            </w:pPr>
                            <w:r>
                              <w:t>The acquirers see value and opportunity in the Sargon Capital business, and intend to commit further working capital into the business while providing leadership capability and strengthened governance to enable Sargon Capital to provide increased choice in the Australian trustee market.</w:t>
                            </w:r>
                          </w:p>
                          <w:p w14:paraId="2C08B57B" w14:textId="77777777" w:rsidR="00454210" w:rsidRDefault="00454210" w:rsidP="00377D63">
                            <w:pPr>
                              <w:pStyle w:val="CaseStudyText"/>
                            </w:pPr>
                            <w:r>
                              <w:t>The Sargon Group, established in 2013 to provide a range of services for the Australian superannuation industry, contains Australian Registrable Superannuation Entity and Australian Financial Services licensed businesses.</w:t>
                            </w:r>
                          </w:p>
                          <w:p w14:paraId="6526F657" w14:textId="77777777" w:rsidR="00454210" w:rsidRDefault="00454210" w:rsidP="00873AA9">
                            <w:pPr>
                              <w:pStyle w:val="ChartGraphic"/>
                              <w:spacing w:before="240"/>
                              <w:ind w:left="227"/>
                            </w:pPr>
                            <w:r w:rsidRPr="00377D63">
                              <w:rPr>
                                <w:noProof/>
                                <w:shd w:val="clear" w:color="auto" w:fill="FFFFFF" w:themeFill="background1"/>
                              </w:rPr>
                              <w:drawing>
                                <wp:inline distT="0" distB="0" distL="0" distR="0" wp14:anchorId="437B5EE6" wp14:editId="2D952B88">
                                  <wp:extent cx="4490720" cy="2071370"/>
                                  <wp:effectExtent l="0" t="0" r="5080" b="5080"/>
                                  <wp:docPr id="26" name="Picture 26" descr="https://www.sargon.com/static/financial-licences-94aec67dd238f9061f8c3ea4a6274d8f.png"/>
                                  <wp:cNvGraphicFramePr/>
                                  <a:graphic xmlns:a="http://schemas.openxmlformats.org/drawingml/2006/main">
                                    <a:graphicData uri="http://schemas.openxmlformats.org/drawingml/2006/picture">
                                      <pic:pic xmlns:pic="http://schemas.openxmlformats.org/drawingml/2006/picture">
                                        <pic:nvPicPr>
                                          <pic:cNvPr id="12" name="Picture 12" descr="https://www.sargon.com/static/financial-licences-94aec67dd238f9061f8c3ea4a6274d8f.png"/>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90720" cy="2071370"/>
                                          </a:xfrm>
                                          <a:prstGeom prst="rect">
                                            <a:avLst/>
                                          </a:prstGeom>
                                          <a:noFill/>
                                          <a:ln>
                                            <a:noFill/>
                                          </a:ln>
                                        </pic:spPr>
                                      </pic:pic>
                                    </a:graphicData>
                                  </a:graphic>
                                </wp:inline>
                              </w:drawing>
                            </w:r>
                          </w:p>
                          <w:p w14:paraId="22C54C76" w14:textId="77777777" w:rsidR="00454210" w:rsidRPr="00377D63" w:rsidRDefault="00454210" w:rsidP="00377D63">
                            <w:pPr>
                              <w:pStyle w:val="ChartGraphic"/>
                            </w:pP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inline>
            </w:drawing>
          </mc:Choice>
          <mc:Fallback>
            <w:pict>
              <v:shape w14:anchorId="494DDD9D" id="_x0000_s1027" style="width:385.5pt;height:481.6pt;visibility:visible;mso-wrap-style:square;mso-left-percent:-10001;mso-top-percent:-10001;mso-position-horizontal:absolute;mso-position-horizontal-relative:char;mso-position-vertical:absolute;mso-position-vertical-relative:line;mso-left-percent:-10001;mso-top-percent:-10001;v-text-anchor:top" coordsize="4895850,61161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" adj="-11796480,,5400" path="m270789,l4366266,r529584,529584l4895850,6116128,,6116128,,270789c,121236,121236,,270789,xe" fillcolor="#477b59 [3204]" stroked="f" strokeweight="2pt">
                <v:stroke joinstyle="miter"/>
                <v:formulas/>
                <v:path arrowok="t" o:connecttype="custom" o:connectlocs="270789,0;4366266,0;4895850,529584;4895850,6116128;0,6116128;0,270789;270789,0" o:connectangles="0,0,0,0,0,0,0" textboxrect="0,0,4895850,6116128"/>
                <v:textbox inset=".5mm,0,.5mm,0">
                  <w:txbxContent>
                    <w:p w14:paraId="5DBFFB34" w14:textId="77777777" w:rsidR="00454210" w:rsidRPr="000D2076" w:rsidRDefault="00454210" w:rsidP="00377D63">
                      <w:pPr>
                        <w:pStyle w:val="CaseStudyHeading"/>
                      </w:pPr>
                      <w:bookmarkStart w:id="113" w:name="_Toc63782883"/>
                      <w:bookmarkStart w:id="114" w:name="_Toc73984756"/>
                      <w:r>
                        <w:t xml:space="preserve">Sargon </w:t>
                      </w:r>
                      <w:r w:rsidRPr="00377D63">
                        <w:t>Capital</w:t>
                      </w:r>
                      <w:bookmarkEnd w:id="113"/>
                      <w:bookmarkEnd w:id="114"/>
                    </w:p>
                    <w:p w14:paraId="2914DF45" w14:textId="575A220D" w:rsidR="00454210" w:rsidRDefault="00454210" w:rsidP="00377D63">
                      <w:pPr>
                        <w:pStyle w:val="CaseStudyText"/>
                      </w:pPr>
                      <w:r>
                        <w:t>In 2020, Pacific Infrastructure Partners Pty Ltd, a majority United States privately</w:t>
                      </w:r>
                      <w:r>
                        <w:noBreakHyphen/>
                        <w:t xml:space="preserve">owned investor, acquired the financial advisory and trustee business of Sargon Capital Pty Ltd (Receivers Appointed), and together with its majority shareholder, </w:t>
                      </w:r>
                      <w:proofErr w:type="spellStart"/>
                      <w:r>
                        <w:t>Cloverhill</w:t>
                      </w:r>
                      <w:proofErr w:type="spellEnd"/>
                      <w:r>
                        <w:t xml:space="preserve"> S Capital Holdings LLC, also acquired Sargon Capital’s subsidiaries (Administrators Appointed), for a total consideration of $30 million.</w:t>
                      </w:r>
                    </w:p>
                    <w:p w14:paraId="20C62AB1" w14:textId="20E2B166" w:rsidR="00454210" w:rsidRDefault="00454210" w:rsidP="00377D63">
                      <w:pPr>
                        <w:pStyle w:val="CaseStudyText"/>
                      </w:pPr>
                      <w:r>
                        <w:t xml:space="preserve">This acquisition shows how foreign investment is woven into our daily lives, preserving </w:t>
                      </w:r>
                      <w:proofErr w:type="gramStart"/>
                      <w:r>
                        <w:t>jobs</w:t>
                      </w:r>
                      <w:proofErr w:type="gramEnd"/>
                      <w:r>
                        <w:t xml:space="preserve"> and creating more opportunities, and supporting local businesses. It is noteworthy that the proposal was submitted to the Foreign Investment Review Board and approved within five days, to avoid the risk of Sargon Capital’s business collapsing and about 90 employees losing their jobs.</w:t>
                      </w:r>
                    </w:p>
                    <w:p w14:paraId="6D608CDC" w14:textId="77777777" w:rsidR="00454210" w:rsidRDefault="00454210" w:rsidP="00377D63">
                      <w:pPr>
                        <w:pStyle w:val="CaseStudyText"/>
                      </w:pPr>
                      <w:r>
                        <w:t>The acquirers see value and opportunity in the Sargon Capital business, and intend to commit further working capital into the business while providing leadership capability and strengthened governance to enable Sargon Capital to provide increased choice in the Australian trustee market.</w:t>
                      </w:r>
                    </w:p>
                    <w:p w14:paraId="2C08B57B" w14:textId="77777777" w:rsidR="00454210" w:rsidRDefault="00454210" w:rsidP="00377D63">
                      <w:pPr>
                        <w:pStyle w:val="CaseStudyText"/>
                      </w:pPr>
                      <w:r>
                        <w:t>The Sargon Group, established in 2013 to provide a range of services for the Australian superannuation industry, contains Australian Registrable Superannuation Entity and Australian Financial Services licensed businesses.</w:t>
                      </w:r>
                    </w:p>
                    <w:p w14:paraId="6526F657" w14:textId="77777777" w:rsidR="00454210" w:rsidRDefault="00454210" w:rsidP="00873AA9">
                      <w:pPr>
                        <w:pStyle w:val="ChartGraphic"/>
                        <w:spacing w:before="240"/>
                        <w:ind w:left="227"/>
                      </w:pPr>
                      <w:r w:rsidRPr="00377D63">
                        <w:rPr>
                          <w:noProof/>
                          <w:shd w:val="clear" w:color="auto" w:fill="FFFFFF" w:themeFill="background1"/>
                        </w:rPr>
                        <w:drawing>
                          <wp:inline distT="0" distB="0" distL="0" distR="0" wp14:anchorId="437B5EE6" wp14:editId="2D952B88">
                            <wp:extent cx="4490720" cy="2071370"/>
                            <wp:effectExtent l="0" t="0" r="5080" b="5080"/>
                            <wp:docPr id="26" name="Picture 26" descr="https://www.sargon.com/static/financial-licences-94aec67dd238f9061f8c3ea4a6274d8f.png"/>
                            <wp:cNvGraphicFramePr/>
                            <a:graphic xmlns:a="http://schemas.openxmlformats.org/drawingml/2006/main">
                              <a:graphicData uri="http://schemas.openxmlformats.org/drawingml/2006/picture">
                                <pic:pic xmlns:pic="http://schemas.openxmlformats.org/drawingml/2006/picture">
                                  <pic:nvPicPr>
                                    <pic:cNvPr id="12" name="Picture 12" descr="https://www.sargon.com/static/financial-licences-94aec67dd238f9061f8c3ea4a6274d8f.pn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90720" cy="2071370"/>
                                    </a:xfrm>
                                    <a:prstGeom prst="rect">
                                      <a:avLst/>
                                    </a:prstGeom>
                                    <a:noFill/>
                                    <a:ln>
                                      <a:noFill/>
                                    </a:ln>
                                  </pic:spPr>
                                </pic:pic>
                              </a:graphicData>
                            </a:graphic>
                          </wp:inline>
                        </w:drawing>
                      </w:r>
                    </w:p>
                    <w:p w14:paraId="22C54C76" w14:textId="77777777" w:rsidR="00454210" w:rsidRPr="00377D63" w:rsidRDefault="00454210" w:rsidP="00377D63">
                      <w:pPr>
                        <w:pStyle w:val="ChartGraphic"/>
                      </w:pPr>
                    </w:p>
                  </w:txbxContent>
                </v:textbox>
                <w10:anchorlock/>
              </v:shape>
            </w:pict>
          </mc:Fallback>
        </mc:AlternateContent>
      </w:r>
    </w:p>
    <w:p w14:paraId="06131114" w14:textId="77777777" w:rsidR="00DE56DC" w:rsidRPr="00820C89" w:rsidRDefault="00DE56DC" w:rsidP="00DE56DC">
      <w:pPr>
        <w:pStyle w:val="Heading3"/>
      </w:pPr>
      <w:r w:rsidRPr="00820C89">
        <w:t>Manufacturing, electricity and gas</w:t>
      </w:r>
    </w:p>
    <w:p w14:paraId="2482E750" w14:textId="77777777" w:rsidR="00DE56DC" w:rsidRPr="00820C89" w:rsidRDefault="00F6204B" w:rsidP="00DE56DC">
      <w:r>
        <w:t>T</w:t>
      </w:r>
      <w:r w:rsidR="00DE56DC" w:rsidRPr="00820C89">
        <w:t>here was $</w:t>
      </w:r>
      <w:r w:rsidR="00023C48" w:rsidRPr="00820C89">
        <w:t>33</w:t>
      </w:r>
      <w:r w:rsidR="00DE56DC" w:rsidRPr="00820C89">
        <w:t>.</w:t>
      </w:r>
      <w:r w:rsidR="00023C48" w:rsidRPr="00820C89">
        <w:t>0</w:t>
      </w:r>
      <w:r w:rsidR="00DE56DC" w:rsidRPr="00820C89">
        <w:t> billion worth of proposed investment approved in the manufacturing, electricity and gas sector</w:t>
      </w:r>
      <w:r>
        <w:t xml:space="preserve"> (see Table 3.8)</w:t>
      </w:r>
      <w:r w:rsidR="00DE56DC" w:rsidRPr="00820C89">
        <w:t>. This represents a $</w:t>
      </w:r>
      <w:r w:rsidR="001951C9">
        <w:t>3</w:t>
      </w:r>
      <w:r w:rsidR="00DE56DC" w:rsidRPr="00820C89">
        <w:t>.</w:t>
      </w:r>
      <w:r w:rsidR="00023C48" w:rsidRPr="00820C89">
        <w:t>7</w:t>
      </w:r>
      <w:r w:rsidR="00DE56DC" w:rsidRPr="00820C89">
        <w:t xml:space="preserve"> billion </w:t>
      </w:r>
      <w:r w:rsidR="00023C48" w:rsidRPr="00820C89">
        <w:t>decrease</w:t>
      </w:r>
      <w:r w:rsidR="00DE56DC" w:rsidRPr="00820C89">
        <w:t xml:space="preserve"> on the value recorded in 201</w:t>
      </w:r>
      <w:r w:rsidR="00023C48" w:rsidRPr="00820C89">
        <w:t>8</w:t>
      </w:r>
      <w:r w:rsidR="00F26A86">
        <w:t>–</w:t>
      </w:r>
      <w:r w:rsidR="00023C48" w:rsidRPr="00820C89">
        <w:t>19</w:t>
      </w:r>
      <w:r w:rsidR="00DE56DC" w:rsidRPr="00820C89">
        <w:t>.</w:t>
      </w:r>
    </w:p>
    <w:p w14:paraId="4CF0A0A2" w14:textId="2270BB14" w:rsidR="00F6204B" w:rsidRPr="00820C89" w:rsidRDefault="00F6204B" w:rsidP="00F6204B">
      <w:r>
        <w:t xml:space="preserve">This was </w:t>
      </w:r>
      <w:r w:rsidRPr="00820C89">
        <w:t xml:space="preserve">the result of a decrease </w:t>
      </w:r>
      <w:r>
        <w:t xml:space="preserve">in the value of approvals in the </w:t>
      </w:r>
      <w:r w:rsidR="00BD4D19">
        <w:t>‘</w:t>
      </w:r>
      <w:r w:rsidRPr="00820C89">
        <w:t>other</w:t>
      </w:r>
      <w:r w:rsidR="00BD4D19">
        <w:t>’</w:t>
      </w:r>
      <w:r w:rsidRPr="00820C89">
        <w:t xml:space="preserve"> </w:t>
      </w:r>
      <w:r>
        <w:t>category ($</w:t>
      </w:r>
      <w:r w:rsidRPr="00820C89">
        <w:t>17.</w:t>
      </w:r>
      <w:r w:rsidR="001951C9">
        <w:t>3</w:t>
      </w:r>
      <w:r w:rsidR="008A14F9">
        <w:t> </w:t>
      </w:r>
      <w:r w:rsidRPr="00820C89">
        <w:t>billion</w:t>
      </w:r>
      <w:r>
        <w:t>),</w:t>
      </w:r>
      <w:r w:rsidRPr="002834CA">
        <w:t xml:space="preserve"> </w:t>
      </w:r>
      <w:r w:rsidR="00380699">
        <w:t>w</w:t>
      </w:r>
      <w:r w:rsidR="00380699" w:rsidRPr="002834CA">
        <w:t>ater, sewerage &amp; waste disposal</w:t>
      </w:r>
      <w:r w:rsidR="00380699">
        <w:t xml:space="preserve"> ($1.8 billion) and </w:t>
      </w:r>
      <w:r>
        <w:t>chemical, petroleum &amp; coal products ($3.7</w:t>
      </w:r>
      <w:r w:rsidR="00380699">
        <w:t> </w:t>
      </w:r>
      <w:r>
        <w:t>billion)</w:t>
      </w:r>
      <w:r w:rsidRPr="00820C89">
        <w:t xml:space="preserve">. </w:t>
      </w:r>
      <w:r>
        <w:t>The de</w:t>
      </w:r>
      <w:r w:rsidRPr="00820C89">
        <w:t xml:space="preserve">crease </w:t>
      </w:r>
      <w:r>
        <w:t>was</w:t>
      </w:r>
      <w:r w:rsidRPr="00820C89">
        <w:t xml:space="preserve"> </w:t>
      </w:r>
      <w:r>
        <w:t xml:space="preserve">partially </w:t>
      </w:r>
      <w:r w:rsidRPr="00820C89">
        <w:t xml:space="preserve">offset by </w:t>
      </w:r>
      <w:r w:rsidR="00380699">
        <w:t xml:space="preserve">two large </w:t>
      </w:r>
      <w:r>
        <w:t>approvals in</w:t>
      </w:r>
      <w:r w:rsidRPr="00820C89">
        <w:t xml:space="preserve"> </w:t>
      </w:r>
      <w:r w:rsidR="00BF22B1">
        <w:t xml:space="preserve">the </w:t>
      </w:r>
      <w:r w:rsidRPr="00820C89">
        <w:t xml:space="preserve">food, beverages and tobacco </w:t>
      </w:r>
      <w:r w:rsidR="00380699">
        <w:t>category</w:t>
      </w:r>
      <w:r w:rsidRPr="00820C89">
        <w:t xml:space="preserve">. </w:t>
      </w:r>
    </w:p>
    <w:p w14:paraId="464F4603" w14:textId="77777777" w:rsidR="00F6204B" w:rsidRPr="00820C89" w:rsidRDefault="00F6204B" w:rsidP="00F6204B">
      <w:bookmarkStart w:id="111" w:name="_Toc32247766"/>
      <w:r>
        <w:t>The value of approvals in e</w:t>
      </w:r>
      <w:r w:rsidRPr="00820C89">
        <w:t xml:space="preserve">lectricity and gas supply saw a modest increase </w:t>
      </w:r>
      <w:r>
        <w:t>of $1.9</w:t>
      </w:r>
      <w:r w:rsidR="008A14F9">
        <w:t> </w:t>
      </w:r>
      <w:r>
        <w:t xml:space="preserve">billion </w:t>
      </w:r>
      <w:r w:rsidRPr="00820C89">
        <w:t>from its low in 2018</w:t>
      </w:r>
      <w:r w:rsidR="00F26A86">
        <w:t>–</w:t>
      </w:r>
      <w:r w:rsidRPr="00820C89">
        <w:t>19.</w:t>
      </w:r>
    </w:p>
    <w:p w14:paraId="6A3DAECA" w14:textId="77777777" w:rsidR="00F6204B" w:rsidRPr="00820C89" w:rsidRDefault="00F6204B" w:rsidP="00F6204B">
      <w:r w:rsidRPr="00820C89">
        <w:t>Japan was again the largest source country of investment by value in this sector ($17.5 billion), followed by France ($5.0 billion), Canada ($2.0 billion) and China ($1.9</w:t>
      </w:r>
      <w:r w:rsidR="008A14F9">
        <w:t> </w:t>
      </w:r>
      <w:r w:rsidRPr="00820C89">
        <w:t>billion)</w:t>
      </w:r>
      <w:r>
        <w:t xml:space="preserve"> (see Table</w:t>
      </w:r>
      <w:r w:rsidR="008A14F9">
        <w:t> </w:t>
      </w:r>
      <w:r>
        <w:t>3.17)</w:t>
      </w:r>
      <w:r w:rsidRPr="00820C89">
        <w:t>.</w:t>
      </w:r>
    </w:p>
    <w:p w14:paraId="5B676315" w14:textId="77777777" w:rsidR="00DE56DC" w:rsidRPr="00820C89" w:rsidRDefault="00A359D3" w:rsidP="00F6204B">
      <w:pPr>
        <w:pStyle w:val="TableMainHeading"/>
        <w:keepLines/>
      </w:pPr>
      <w:bookmarkStart w:id="112" w:name="_Toc63798276"/>
      <w:bookmarkStart w:id="113" w:name="_Toc73984735"/>
      <w:r>
        <w:t>Table 3.8</w:t>
      </w:r>
      <w:r w:rsidR="00DE56DC" w:rsidRPr="00820C89">
        <w:t>: Manufacturing, electricity and gas sector approvals: 201</w:t>
      </w:r>
      <w:r w:rsidR="00420DD4">
        <w:t>6</w:t>
      </w:r>
      <w:r w:rsidR="00DE56DC" w:rsidRPr="00820C89">
        <w:t>–1</w:t>
      </w:r>
      <w:r w:rsidR="00420DD4">
        <w:t>7</w:t>
      </w:r>
      <w:r w:rsidR="00DE56DC" w:rsidRPr="00820C89">
        <w:t xml:space="preserve"> to 201</w:t>
      </w:r>
      <w:r w:rsidR="00420DD4">
        <w:t>9</w:t>
      </w:r>
      <w:r w:rsidR="00DE56DC" w:rsidRPr="00820C89">
        <w:t>–</w:t>
      </w:r>
      <w:r w:rsidR="00420DD4">
        <w:t>20</w:t>
      </w:r>
      <w:bookmarkEnd w:id="111"/>
      <w:bookmarkEnd w:id="112"/>
      <w:bookmarkEnd w:id="113"/>
    </w:p>
    <w:tbl>
      <w:tblPr>
        <w:tblW w:w="5000" w:type="pct"/>
        <w:tblLook w:val="04A0" w:firstRow="1" w:lastRow="0" w:firstColumn="1" w:lastColumn="0" w:noHBand="0" w:noVBand="1"/>
      </w:tblPr>
      <w:tblGrid>
        <w:gridCol w:w="3718"/>
        <w:gridCol w:w="465"/>
        <w:gridCol w:w="528"/>
        <w:gridCol w:w="465"/>
        <w:gridCol w:w="528"/>
        <w:gridCol w:w="466"/>
        <w:gridCol w:w="528"/>
        <w:gridCol w:w="483"/>
        <w:gridCol w:w="529"/>
      </w:tblGrid>
      <w:tr w:rsidR="00023C48" w:rsidRPr="00023C48" w14:paraId="32C48763" w14:textId="77777777" w:rsidTr="003A0934">
        <w:trPr>
          <w:trHeight w:val="227"/>
        </w:trPr>
        <w:tc>
          <w:tcPr>
            <w:tcW w:w="2412" w:type="pct"/>
            <w:tcBorders>
              <w:top w:val="single" w:sz="4" w:space="0" w:color="auto"/>
              <w:left w:val="nil"/>
              <w:bottom w:val="nil"/>
              <w:right w:val="nil"/>
            </w:tcBorders>
            <w:shd w:val="clear" w:color="000000" w:fill="FFFFFF"/>
            <w:noWrap/>
            <w:vAlign w:val="center"/>
            <w:hideMark/>
          </w:tcPr>
          <w:p w14:paraId="28510575" w14:textId="77777777" w:rsidR="00023C48" w:rsidRPr="00023C48" w:rsidRDefault="00023C48" w:rsidP="00F6204B">
            <w:pPr>
              <w:keepNext/>
              <w:keepLines/>
              <w:spacing w:after="0" w:line="240" w:lineRule="auto"/>
              <w:jc w:val="left"/>
              <w:rPr>
                <w:rFonts w:ascii="Calibri" w:hAnsi="Calibri" w:cs="Calibri"/>
                <w:sz w:val="22"/>
                <w:szCs w:val="22"/>
              </w:rPr>
            </w:pPr>
            <w:r w:rsidRPr="00023C48">
              <w:rPr>
                <w:rFonts w:ascii="Calibri" w:hAnsi="Calibri" w:cs="Calibri"/>
                <w:sz w:val="22"/>
                <w:szCs w:val="22"/>
              </w:rPr>
              <w:t> </w:t>
            </w:r>
          </w:p>
        </w:tc>
        <w:tc>
          <w:tcPr>
            <w:tcW w:w="644" w:type="pct"/>
            <w:gridSpan w:val="2"/>
            <w:tcBorders>
              <w:top w:val="single" w:sz="4" w:space="0" w:color="auto"/>
              <w:left w:val="nil"/>
              <w:bottom w:val="single" w:sz="4" w:space="0" w:color="auto"/>
              <w:right w:val="nil"/>
            </w:tcBorders>
            <w:shd w:val="clear" w:color="000000" w:fill="FFFFFF"/>
            <w:noWrap/>
            <w:vAlign w:val="center"/>
            <w:hideMark/>
          </w:tcPr>
          <w:p w14:paraId="474B1166"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2016</w:t>
            </w:r>
            <w:r w:rsidR="00F26A86">
              <w:rPr>
                <w:rFonts w:ascii="Arial" w:hAnsi="Arial" w:cs="Arial"/>
                <w:color w:val="auto"/>
                <w:sz w:val="16"/>
                <w:szCs w:val="16"/>
              </w:rPr>
              <w:t>–</w:t>
            </w:r>
            <w:r w:rsidRPr="00023C48">
              <w:rPr>
                <w:rFonts w:ascii="Arial" w:hAnsi="Arial" w:cs="Arial"/>
                <w:color w:val="auto"/>
                <w:sz w:val="16"/>
                <w:szCs w:val="16"/>
              </w:rPr>
              <w:t>17</w:t>
            </w:r>
          </w:p>
        </w:tc>
        <w:tc>
          <w:tcPr>
            <w:tcW w:w="644" w:type="pct"/>
            <w:gridSpan w:val="2"/>
            <w:tcBorders>
              <w:top w:val="single" w:sz="4" w:space="0" w:color="auto"/>
              <w:left w:val="nil"/>
              <w:bottom w:val="single" w:sz="4" w:space="0" w:color="auto"/>
              <w:right w:val="nil"/>
            </w:tcBorders>
            <w:shd w:val="clear" w:color="auto" w:fill="auto"/>
            <w:noWrap/>
            <w:vAlign w:val="center"/>
            <w:hideMark/>
          </w:tcPr>
          <w:p w14:paraId="25E7633A"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2017</w:t>
            </w:r>
            <w:r w:rsidR="00F26A86">
              <w:rPr>
                <w:rFonts w:ascii="Arial" w:hAnsi="Arial" w:cs="Arial"/>
                <w:color w:val="auto"/>
                <w:sz w:val="16"/>
                <w:szCs w:val="16"/>
              </w:rPr>
              <w:t>–</w:t>
            </w:r>
            <w:r w:rsidRPr="00023C48">
              <w:rPr>
                <w:rFonts w:ascii="Arial" w:hAnsi="Arial" w:cs="Arial"/>
                <w:color w:val="auto"/>
                <w:sz w:val="16"/>
                <w:szCs w:val="16"/>
              </w:rPr>
              <w:t>18</w:t>
            </w:r>
          </w:p>
        </w:tc>
        <w:tc>
          <w:tcPr>
            <w:tcW w:w="644" w:type="pct"/>
            <w:gridSpan w:val="2"/>
            <w:tcBorders>
              <w:top w:val="single" w:sz="4" w:space="0" w:color="auto"/>
              <w:left w:val="nil"/>
              <w:bottom w:val="single" w:sz="4" w:space="0" w:color="auto"/>
              <w:right w:val="nil"/>
            </w:tcBorders>
            <w:shd w:val="clear" w:color="000000" w:fill="FFFFFF"/>
            <w:noWrap/>
            <w:vAlign w:val="center"/>
            <w:hideMark/>
          </w:tcPr>
          <w:p w14:paraId="38D6747F"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2018</w:t>
            </w:r>
            <w:r w:rsidR="00F26A86">
              <w:rPr>
                <w:rFonts w:ascii="Arial" w:hAnsi="Arial" w:cs="Arial"/>
                <w:color w:val="auto"/>
                <w:sz w:val="16"/>
                <w:szCs w:val="16"/>
              </w:rPr>
              <w:t>–</w:t>
            </w:r>
            <w:r w:rsidRPr="00023C48">
              <w:rPr>
                <w:rFonts w:ascii="Arial" w:hAnsi="Arial" w:cs="Arial"/>
                <w:color w:val="auto"/>
                <w:sz w:val="16"/>
                <w:szCs w:val="16"/>
              </w:rPr>
              <w:t>19</w:t>
            </w:r>
          </w:p>
        </w:tc>
        <w:tc>
          <w:tcPr>
            <w:tcW w:w="656" w:type="pct"/>
            <w:gridSpan w:val="2"/>
            <w:tcBorders>
              <w:top w:val="single" w:sz="4" w:space="0" w:color="auto"/>
              <w:left w:val="nil"/>
              <w:bottom w:val="single" w:sz="4" w:space="0" w:color="auto"/>
              <w:right w:val="nil"/>
            </w:tcBorders>
            <w:shd w:val="clear" w:color="000000" w:fill="F2F2F2"/>
            <w:noWrap/>
            <w:vAlign w:val="center"/>
            <w:hideMark/>
          </w:tcPr>
          <w:p w14:paraId="16401078"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2019</w:t>
            </w:r>
            <w:r w:rsidR="00F26A86">
              <w:rPr>
                <w:rFonts w:ascii="Arial" w:hAnsi="Arial" w:cs="Arial"/>
                <w:color w:val="auto"/>
                <w:sz w:val="16"/>
                <w:szCs w:val="16"/>
              </w:rPr>
              <w:t>–</w:t>
            </w:r>
            <w:r w:rsidRPr="00023C48">
              <w:rPr>
                <w:rFonts w:ascii="Arial" w:hAnsi="Arial" w:cs="Arial"/>
                <w:color w:val="auto"/>
                <w:sz w:val="16"/>
                <w:szCs w:val="16"/>
              </w:rPr>
              <w:t>20</w:t>
            </w:r>
          </w:p>
        </w:tc>
      </w:tr>
      <w:tr w:rsidR="00023C48" w:rsidRPr="00023C48" w14:paraId="073F8F34" w14:textId="77777777" w:rsidTr="003A0934">
        <w:trPr>
          <w:trHeight w:val="227"/>
        </w:trPr>
        <w:tc>
          <w:tcPr>
            <w:tcW w:w="2412" w:type="pct"/>
            <w:tcBorders>
              <w:top w:val="nil"/>
              <w:left w:val="nil"/>
              <w:bottom w:val="single" w:sz="4" w:space="0" w:color="auto"/>
              <w:right w:val="nil"/>
            </w:tcBorders>
            <w:shd w:val="clear" w:color="000000" w:fill="FFFFFF"/>
            <w:vAlign w:val="center"/>
            <w:hideMark/>
          </w:tcPr>
          <w:p w14:paraId="388AB8DB" w14:textId="77777777" w:rsidR="00023C48" w:rsidRPr="00023C48" w:rsidRDefault="00023C48" w:rsidP="00F6204B">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Group</w:t>
            </w:r>
          </w:p>
        </w:tc>
        <w:tc>
          <w:tcPr>
            <w:tcW w:w="302" w:type="pct"/>
            <w:tcBorders>
              <w:top w:val="nil"/>
              <w:left w:val="nil"/>
              <w:bottom w:val="single" w:sz="4" w:space="0" w:color="auto"/>
              <w:right w:val="nil"/>
            </w:tcBorders>
            <w:shd w:val="clear" w:color="000000" w:fill="FFFFFF"/>
            <w:vAlign w:val="center"/>
            <w:hideMark/>
          </w:tcPr>
          <w:p w14:paraId="3CE285DF"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No.</w:t>
            </w:r>
          </w:p>
        </w:tc>
        <w:tc>
          <w:tcPr>
            <w:tcW w:w="342" w:type="pct"/>
            <w:tcBorders>
              <w:top w:val="nil"/>
              <w:left w:val="nil"/>
              <w:bottom w:val="single" w:sz="4" w:space="0" w:color="auto"/>
              <w:right w:val="nil"/>
            </w:tcBorders>
            <w:shd w:val="clear" w:color="000000" w:fill="FFFFFF"/>
            <w:vAlign w:val="bottom"/>
            <w:hideMark/>
          </w:tcPr>
          <w:p w14:paraId="59368D75"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$b</w:t>
            </w:r>
          </w:p>
        </w:tc>
        <w:tc>
          <w:tcPr>
            <w:tcW w:w="302" w:type="pct"/>
            <w:tcBorders>
              <w:top w:val="nil"/>
              <w:left w:val="nil"/>
              <w:bottom w:val="single" w:sz="4" w:space="0" w:color="auto"/>
              <w:right w:val="nil"/>
            </w:tcBorders>
            <w:shd w:val="clear" w:color="000000" w:fill="FFFFFF"/>
            <w:vAlign w:val="center"/>
            <w:hideMark/>
          </w:tcPr>
          <w:p w14:paraId="1CDDAC5B"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No.</w:t>
            </w:r>
          </w:p>
        </w:tc>
        <w:tc>
          <w:tcPr>
            <w:tcW w:w="342" w:type="pct"/>
            <w:tcBorders>
              <w:top w:val="nil"/>
              <w:left w:val="nil"/>
              <w:bottom w:val="single" w:sz="4" w:space="0" w:color="auto"/>
              <w:right w:val="nil"/>
            </w:tcBorders>
            <w:shd w:val="clear" w:color="000000" w:fill="FFFFFF"/>
            <w:vAlign w:val="bottom"/>
            <w:hideMark/>
          </w:tcPr>
          <w:p w14:paraId="7F29D348"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$b</w:t>
            </w:r>
          </w:p>
        </w:tc>
        <w:tc>
          <w:tcPr>
            <w:tcW w:w="302" w:type="pct"/>
            <w:tcBorders>
              <w:top w:val="nil"/>
              <w:left w:val="nil"/>
              <w:bottom w:val="single" w:sz="4" w:space="0" w:color="auto"/>
              <w:right w:val="nil"/>
            </w:tcBorders>
            <w:shd w:val="clear" w:color="000000" w:fill="FFFFFF"/>
            <w:vAlign w:val="center"/>
            <w:hideMark/>
          </w:tcPr>
          <w:p w14:paraId="029B6227"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No.</w:t>
            </w:r>
          </w:p>
        </w:tc>
        <w:tc>
          <w:tcPr>
            <w:tcW w:w="342" w:type="pct"/>
            <w:tcBorders>
              <w:top w:val="nil"/>
              <w:left w:val="nil"/>
              <w:bottom w:val="single" w:sz="4" w:space="0" w:color="auto"/>
              <w:right w:val="nil"/>
            </w:tcBorders>
            <w:shd w:val="clear" w:color="000000" w:fill="FFFFFF"/>
            <w:vAlign w:val="bottom"/>
            <w:hideMark/>
          </w:tcPr>
          <w:p w14:paraId="1E112259"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$b</w:t>
            </w:r>
          </w:p>
        </w:tc>
        <w:tc>
          <w:tcPr>
            <w:tcW w:w="313" w:type="pct"/>
            <w:tcBorders>
              <w:top w:val="nil"/>
              <w:left w:val="nil"/>
              <w:bottom w:val="single" w:sz="4" w:space="0" w:color="auto"/>
              <w:right w:val="nil"/>
            </w:tcBorders>
            <w:shd w:val="clear" w:color="000000" w:fill="F2F2F2"/>
            <w:vAlign w:val="center"/>
            <w:hideMark/>
          </w:tcPr>
          <w:p w14:paraId="125F824F"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No.</w:t>
            </w:r>
          </w:p>
        </w:tc>
        <w:tc>
          <w:tcPr>
            <w:tcW w:w="342" w:type="pct"/>
            <w:tcBorders>
              <w:top w:val="nil"/>
              <w:left w:val="nil"/>
              <w:bottom w:val="single" w:sz="4" w:space="0" w:color="auto"/>
              <w:right w:val="nil"/>
            </w:tcBorders>
            <w:shd w:val="clear" w:color="000000" w:fill="F2F2F2"/>
            <w:vAlign w:val="bottom"/>
            <w:hideMark/>
          </w:tcPr>
          <w:p w14:paraId="7516D03C"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$b</w:t>
            </w:r>
          </w:p>
        </w:tc>
      </w:tr>
      <w:tr w:rsidR="00023C48" w:rsidRPr="00023C48" w14:paraId="108FE56A" w14:textId="77777777" w:rsidTr="003A0934">
        <w:trPr>
          <w:trHeight w:val="227"/>
        </w:trPr>
        <w:tc>
          <w:tcPr>
            <w:tcW w:w="2412" w:type="pct"/>
            <w:tcBorders>
              <w:top w:val="nil"/>
              <w:left w:val="nil"/>
              <w:bottom w:val="nil"/>
              <w:right w:val="nil"/>
            </w:tcBorders>
            <w:shd w:val="clear" w:color="000000" w:fill="FFFFFF"/>
            <w:vAlign w:val="center"/>
            <w:hideMark/>
          </w:tcPr>
          <w:p w14:paraId="2C6565AE" w14:textId="77777777" w:rsidR="00023C48" w:rsidRPr="00023C48" w:rsidRDefault="00023C48" w:rsidP="00F6204B">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Chemical, petroleum &amp;</w:t>
            </w:r>
            <w:r w:rsidRPr="00023C48">
              <w:rPr>
                <w:rFonts w:ascii="Arial" w:hAnsi="Arial" w:cs="Arial"/>
                <w:color w:val="auto"/>
                <w:sz w:val="16"/>
                <w:szCs w:val="16"/>
              </w:rPr>
              <w:br/>
              <w:t xml:space="preserve">  coal products</w:t>
            </w:r>
          </w:p>
        </w:tc>
        <w:tc>
          <w:tcPr>
            <w:tcW w:w="302" w:type="pct"/>
            <w:tcBorders>
              <w:top w:val="nil"/>
              <w:left w:val="nil"/>
              <w:bottom w:val="nil"/>
              <w:right w:val="nil"/>
            </w:tcBorders>
            <w:shd w:val="clear" w:color="000000" w:fill="FFFFFF"/>
            <w:noWrap/>
            <w:vAlign w:val="center"/>
            <w:hideMark/>
          </w:tcPr>
          <w:p w14:paraId="48FA88FF"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w:t>
            </w:r>
          </w:p>
        </w:tc>
        <w:tc>
          <w:tcPr>
            <w:tcW w:w="342" w:type="pct"/>
            <w:tcBorders>
              <w:top w:val="nil"/>
              <w:left w:val="nil"/>
              <w:bottom w:val="nil"/>
              <w:right w:val="nil"/>
            </w:tcBorders>
            <w:shd w:val="clear" w:color="000000" w:fill="FFFFFF"/>
            <w:noWrap/>
            <w:vAlign w:val="center"/>
            <w:hideMark/>
          </w:tcPr>
          <w:p w14:paraId="4E666EBC"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1.0</w:t>
            </w:r>
          </w:p>
        </w:tc>
        <w:tc>
          <w:tcPr>
            <w:tcW w:w="302" w:type="pct"/>
            <w:tcBorders>
              <w:top w:val="nil"/>
              <w:left w:val="nil"/>
              <w:bottom w:val="nil"/>
              <w:right w:val="nil"/>
            </w:tcBorders>
            <w:shd w:val="clear" w:color="000000" w:fill="FFFFFF"/>
            <w:noWrap/>
            <w:vAlign w:val="center"/>
            <w:hideMark/>
          </w:tcPr>
          <w:p w14:paraId="4AB302CE"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2</w:t>
            </w:r>
          </w:p>
        </w:tc>
        <w:tc>
          <w:tcPr>
            <w:tcW w:w="342" w:type="pct"/>
            <w:tcBorders>
              <w:top w:val="nil"/>
              <w:left w:val="nil"/>
              <w:bottom w:val="nil"/>
              <w:right w:val="nil"/>
            </w:tcBorders>
            <w:shd w:val="clear" w:color="000000" w:fill="FFFFFF"/>
            <w:noWrap/>
            <w:vAlign w:val="center"/>
            <w:hideMark/>
          </w:tcPr>
          <w:p w14:paraId="507F70E0"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0.3</w:t>
            </w:r>
          </w:p>
        </w:tc>
        <w:tc>
          <w:tcPr>
            <w:tcW w:w="302" w:type="pct"/>
            <w:tcBorders>
              <w:top w:val="nil"/>
              <w:left w:val="nil"/>
              <w:bottom w:val="nil"/>
              <w:right w:val="nil"/>
            </w:tcBorders>
            <w:shd w:val="clear" w:color="000000" w:fill="FFFFFF"/>
            <w:noWrap/>
            <w:vAlign w:val="center"/>
            <w:hideMark/>
          </w:tcPr>
          <w:p w14:paraId="441A2BA0"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4</w:t>
            </w:r>
          </w:p>
        </w:tc>
        <w:tc>
          <w:tcPr>
            <w:tcW w:w="342" w:type="pct"/>
            <w:tcBorders>
              <w:top w:val="nil"/>
              <w:left w:val="nil"/>
              <w:bottom w:val="nil"/>
              <w:right w:val="nil"/>
            </w:tcBorders>
            <w:shd w:val="clear" w:color="000000" w:fill="FFFFFF"/>
            <w:noWrap/>
            <w:vAlign w:val="center"/>
            <w:hideMark/>
          </w:tcPr>
          <w:p w14:paraId="3B086255"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4.4</w:t>
            </w:r>
          </w:p>
        </w:tc>
        <w:tc>
          <w:tcPr>
            <w:tcW w:w="313" w:type="pct"/>
            <w:tcBorders>
              <w:top w:val="nil"/>
              <w:left w:val="nil"/>
              <w:bottom w:val="nil"/>
              <w:right w:val="nil"/>
            </w:tcBorders>
            <w:shd w:val="clear" w:color="000000" w:fill="F2F2F2"/>
            <w:noWrap/>
            <w:vAlign w:val="center"/>
            <w:hideMark/>
          </w:tcPr>
          <w:p w14:paraId="4BB11C1D"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3</w:t>
            </w:r>
          </w:p>
        </w:tc>
        <w:tc>
          <w:tcPr>
            <w:tcW w:w="342" w:type="pct"/>
            <w:tcBorders>
              <w:top w:val="nil"/>
              <w:left w:val="nil"/>
              <w:bottom w:val="nil"/>
              <w:right w:val="nil"/>
            </w:tcBorders>
            <w:shd w:val="clear" w:color="000000" w:fill="F2F2F2"/>
            <w:noWrap/>
            <w:vAlign w:val="center"/>
            <w:hideMark/>
          </w:tcPr>
          <w:p w14:paraId="64905814"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0.7</w:t>
            </w:r>
          </w:p>
        </w:tc>
      </w:tr>
      <w:tr w:rsidR="00023C48" w:rsidRPr="00023C48" w14:paraId="1F85A865" w14:textId="77777777" w:rsidTr="003A0934">
        <w:trPr>
          <w:trHeight w:val="227"/>
        </w:trPr>
        <w:tc>
          <w:tcPr>
            <w:tcW w:w="2412" w:type="pct"/>
            <w:tcBorders>
              <w:top w:val="nil"/>
              <w:left w:val="nil"/>
              <w:bottom w:val="nil"/>
              <w:right w:val="nil"/>
            </w:tcBorders>
            <w:shd w:val="clear" w:color="000000" w:fill="FFFFFF"/>
            <w:noWrap/>
            <w:vAlign w:val="center"/>
            <w:hideMark/>
          </w:tcPr>
          <w:p w14:paraId="7B60C76E" w14:textId="77777777" w:rsidR="00023C48" w:rsidRPr="00023C48" w:rsidRDefault="00023C48" w:rsidP="00F6204B">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Electricity &amp; gas supply</w:t>
            </w:r>
          </w:p>
        </w:tc>
        <w:tc>
          <w:tcPr>
            <w:tcW w:w="302" w:type="pct"/>
            <w:tcBorders>
              <w:top w:val="nil"/>
              <w:left w:val="nil"/>
              <w:bottom w:val="nil"/>
              <w:right w:val="nil"/>
            </w:tcBorders>
            <w:shd w:val="clear" w:color="000000" w:fill="FFFFFF"/>
            <w:noWrap/>
            <w:vAlign w:val="center"/>
            <w:hideMark/>
          </w:tcPr>
          <w:p w14:paraId="4ACFC271"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37</w:t>
            </w:r>
          </w:p>
        </w:tc>
        <w:tc>
          <w:tcPr>
            <w:tcW w:w="342" w:type="pct"/>
            <w:tcBorders>
              <w:top w:val="nil"/>
              <w:left w:val="nil"/>
              <w:bottom w:val="nil"/>
              <w:right w:val="nil"/>
            </w:tcBorders>
            <w:shd w:val="clear" w:color="000000" w:fill="FFFFFF"/>
            <w:noWrap/>
            <w:vAlign w:val="center"/>
            <w:hideMark/>
          </w:tcPr>
          <w:p w14:paraId="1F635014"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33.5</w:t>
            </w:r>
          </w:p>
        </w:tc>
        <w:tc>
          <w:tcPr>
            <w:tcW w:w="302" w:type="pct"/>
            <w:tcBorders>
              <w:top w:val="nil"/>
              <w:left w:val="nil"/>
              <w:bottom w:val="nil"/>
              <w:right w:val="nil"/>
            </w:tcBorders>
            <w:shd w:val="clear" w:color="000000" w:fill="FFFFFF"/>
            <w:noWrap/>
            <w:vAlign w:val="center"/>
            <w:hideMark/>
          </w:tcPr>
          <w:p w14:paraId="4003DFBD"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52</w:t>
            </w:r>
          </w:p>
        </w:tc>
        <w:tc>
          <w:tcPr>
            <w:tcW w:w="342" w:type="pct"/>
            <w:tcBorders>
              <w:top w:val="nil"/>
              <w:left w:val="nil"/>
              <w:bottom w:val="nil"/>
              <w:right w:val="nil"/>
            </w:tcBorders>
            <w:shd w:val="clear" w:color="000000" w:fill="FFFFFF"/>
            <w:noWrap/>
            <w:vAlign w:val="center"/>
            <w:hideMark/>
          </w:tcPr>
          <w:p w14:paraId="6FAB32A5"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9.3</w:t>
            </w:r>
          </w:p>
        </w:tc>
        <w:tc>
          <w:tcPr>
            <w:tcW w:w="302" w:type="pct"/>
            <w:tcBorders>
              <w:top w:val="nil"/>
              <w:left w:val="nil"/>
              <w:bottom w:val="nil"/>
              <w:right w:val="nil"/>
            </w:tcBorders>
            <w:shd w:val="clear" w:color="000000" w:fill="FFFFFF"/>
            <w:noWrap/>
            <w:vAlign w:val="center"/>
            <w:hideMark/>
          </w:tcPr>
          <w:p w14:paraId="15C2CDBE"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47</w:t>
            </w:r>
          </w:p>
        </w:tc>
        <w:tc>
          <w:tcPr>
            <w:tcW w:w="342" w:type="pct"/>
            <w:tcBorders>
              <w:top w:val="nil"/>
              <w:left w:val="nil"/>
              <w:bottom w:val="nil"/>
              <w:right w:val="nil"/>
            </w:tcBorders>
            <w:shd w:val="clear" w:color="000000" w:fill="FFFFFF"/>
            <w:noWrap/>
            <w:vAlign w:val="center"/>
            <w:hideMark/>
          </w:tcPr>
          <w:p w14:paraId="6D5BB7C7"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3.7</w:t>
            </w:r>
          </w:p>
        </w:tc>
        <w:tc>
          <w:tcPr>
            <w:tcW w:w="313" w:type="pct"/>
            <w:tcBorders>
              <w:top w:val="nil"/>
              <w:left w:val="nil"/>
              <w:bottom w:val="nil"/>
              <w:right w:val="nil"/>
            </w:tcBorders>
            <w:shd w:val="clear" w:color="000000" w:fill="F2F2F2"/>
            <w:noWrap/>
            <w:vAlign w:val="center"/>
            <w:hideMark/>
          </w:tcPr>
          <w:p w14:paraId="72A6519D"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65</w:t>
            </w:r>
          </w:p>
        </w:tc>
        <w:tc>
          <w:tcPr>
            <w:tcW w:w="342" w:type="pct"/>
            <w:tcBorders>
              <w:top w:val="nil"/>
              <w:left w:val="nil"/>
              <w:bottom w:val="nil"/>
              <w:right w:val="nil"/>
            </w:tcBorders>
            <w:shd w:val="clear" w:color="000000" w:fill="F2F2F2"/>
            <w:noWrap/>
            <w:vAlign w:val="center"/>
            <w:hideMark/>
          </w:tcPr>
          <w:p w14:paraId="7195EBD8"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5.6</w:t>
            </w:r>
          </w:p>
        </w:tc>
      </w:tr>
      <w:tr w:rsidR="00023C48" w:rsidRPr="00023C48" w14:paraId="6A881677" w14:textId="77777777" w:rsidTr="003A0934">
        <w:trPr>
          <w:trHeight w:val="227"/>
        </w:trPr>
        <w:tc>
          <w:tcPr>
            <w:tcW w:w="2412" w:type="pct"/>
            <w:tcBorders>
              <w:top w:val="nil"/>
              <w:left w:val="nil"/>
              <w:bottom w:val="nil"/>
              <w:right w:val="nil"/>
            </w:tcBorders>
            <w:shd w:val="clear" w:color="000000" w:fill="FFFFFF"/>
            <w:noWrap/>
            <w:vAlign w:val="center"/>
            <w:hideMark/>
          </w:tcPr>
          <w:p w14:paraId="6599E5F5" w14:textId="77777777" w:rsidR="00023C48" w:rsidRPr="00023C48" w:rsidRDefault="00023C48" w:rsidP="00F6204B">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Food, beverages &amp; tobacco</w:t>
            </w:r>
          </w:p>
        </w:tc>
        <w:tc>
          <w:tcPr>
            <w:tcW w:w="302" w:type="pct"/>
            <w:tcBorders>
              <w:top w:val="nil"/>
              <w:left w:val="nil"/>
              <w:bottom w:val="nil"/>
              <w:right w:val="nil"/>
            </w:tcBorders>
            <w:shd w:val="clear" w:color="000000" w:fill="FFFFFF"/>
            <w:noWrap/>
            <w:vAlign w:val="center"/>
            <w:hideMark/>
          </w:tcPr>
          <w:p w14:paraId="5C17DBD7"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21</w:t>
            </w:r>
          </w:p>
        </w:tc>
        <w:tc>
          <w:tcPr>
            <w:tcW w:w="342" w:type="pct"/>
            <w:tcBorders>
              <w:top w:val="nil"/>
              <w:left w:val="nil"/>
              <w:bottom w:val="nil"/>
              <w:right w:val="nil"/>
            </w:tcBorders>
            <w:shd w:val="clear" w:color="000000" w:fill="FFFFFF"/>
            <w:noWrap/>
            <w:vAlign w:val="center"/>
            <w:hideMark/>
          </w:tcPr>
          <w:p w14:paraId="1A59C044"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3.8</w:t>
            </w:r>
          </w:p>
        </w:tc>
        <w:tc>
          <w:tcPr>
            <w:tcW w:w="302" w:type="pct"/>
            <w:tcBorders>
              <w:top w:val="nil"/>
              <w:left w:val="nil"/>
              <w:bottom w:val="nil"/>
              <w:right w:val="nil"/>
            </w:tcBorders>
            <w:shd w:val="clear" w:color="000000" w:fill="FFFFFF"/>
            <w:noWrap/>
            <w:vAlign w:val="center"/>
            <w:hideMark/>
          </w:tcPr>
          <w:p w14:paraId="0031BF88"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15</w:t>
            </w:r>
          </w:p>
        </w:tc>
        <w:tc>
          <w:tcPr>
            <w:tcW w:w="342" w:type="pct"/>
            <w:tcBorders>
              <w:top w:val="nil"/>
              <w:left w:val="nil"/>
              <w:bottom w:val="nil"/>
              <w:right w:val="nil"/>
            </w:tcBorders>
            <w:shd w:val="clear" w:color="000000" w:fill="FFFFFF"/>
            <w:noWrap/>
            <w:vAlign w:val="center"/>
            <w:hideMark/>
          </w:tcPr>
          <w:p w14:paraId="0F8D7B2F"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4.6</w:t>
            </w:r>
          </w:p>
        </w:tc>
        <w:tc>
          <w:tcPr>
            <w:tcW w:w="302" w:type="pct"/>
            <w:tcBorders>
              <w:top w:val="nil"/>
              <w:left w:val="nil"/>
              <w:bottom w:val="nil"/>
              <w:right w:val="nil"/>
            </w:tcBorders>
            <w:shd w:val="clear" w:color="000000" w:fill="FFFFFF"/>
            <w:noWrap/>
            <w:vAlign w:val="center"/>
            <w:hideMark/>
          </w:tcPr>
          <w:p w14:paraId="41BB6516"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15</w:t>
            </w:r>
          </w:p>
        </w:tc>
        <w:tc>
          <w:tcPr>
            <w:tcW w:w="342" w:type="pct"/>
            <w:tcBorders>
              <w:top w:val="nil"/>
              <w:left w:val="nil"/>
              <w:bottom w:val="nil"/>
              <w:right w:val="nil"/>
            </w:tcBorders>
            <w:shd w:val="clear" w:color="000000" w:fill="FFFFFF"/>
            <w:noWrap/>
            <w:vAlign w:val="center"/>
            <w:hideMark/>
          </w:tcPr>
          <w:p w14:paraId="4D21C8E0"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1.3</w:t>
            </w:r>
          </w:p>
        </w:tc>
        <w:tc>
          <w:tcPr>
            <w:tcW w:w="313" w:type="pct"/>
            <w:tcBorders>
              <w:top w:val="nil"/>
              <w:left w:val="nil"/>
              <w:bottom w:val="nil"/>
              <w:right w:val="nil"/>
            </w:tcBorders>
            <w:shd w:val="clear" w:color="000000" w:fill="F2F2F2"/>
            <w:noWrap/>
            <w:vAlign w:val="center"/>
            <w:hideMark/>
          </w:tcPr>
          <w:p w14:paraId="24241B29"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17</w:t>
            </w:r>
          </w:p>
        </w:tc>
        <w:tc>
          <w:tcPr>
            <w:tcW w:w="342" w:type="pct"/>
            <w:tcBorders>
              <w:top w:val="nil"/>
              <w:left w:val="nil"/>
              <w:bottom w:val="nil"/>
              <w:right w:val="nil"/>
            </w:tcBorders>
            <w:shd w:val="clear" w:color="000000" w:fill="F2F2F2"/>
            <w:noWrap/>
            <w:vAlign w:val="center"/>
            <w:hideMark/>
          </w:tcPr>
          <w:p w14:paraId="1832A8F2"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18.5</w:t>
            </w:r>
          </w:p>
        </w:tc>
      </w:tr>
      <w:tr w:rsidR="00023C48" w:rsidRPr="00023C48" w14:paraId="08E07C2A" w14:textId="77777777" w:rsidTr="003A0934">
        <w:trPr>
          <w:trHeight w:val="227"/>
        </w:trPr>
        <w:tc>
          <w:tcPr>
            <w:tcW w:w="2412" w:type="pct"/>
            <w:tcBorders>
              <w:top w:val="nil"/>
              <w:left w:val="nil"/>
              <w:bottom w:val="nil"/>
              <w:right w:val="nil"/>
            </w:tcBorders>
            <w:shd w:val="clear" w:color="000000" w:fill="FFFFFF"/>
            <w:vAlign w:val="center"/>
            <w:hideMark/>
          </w:tcPr>
          <w:p w14:paraId="01D2C92C" w14:textId="77777777" w:rsidR="00023C48" w:rsidRPr="00023C48" w:rsidRDefault="00023C48" w:rsidP="00F6204B">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Water, sewerage &amp; waste disposal</w:t>
            </w:r>
          </w:p>
        </w:tc>
        <w:tc>
          <w:tcPr>
            <w:tcW w:w="302" w:type="pct"/>
            <w:tcBorders>
              <w:top w:val="nil"/>
              <w:left w:val="nil"/>
              <w:bottom w:val="nil"/>
              <w:right w:val="nil"/>
            </w:tcBorders>
            <w:shd w:val="clear" w:color="000000" w:fill="FFFFFF"/>
            <w:noWrap/>
            <w:vAlign w:val="center"/>
            <w:hideMark/>
          </w:tcPr>
          <w:p w14:paraId="0E7C4CB8"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7</w:t>
            </w:r>
          </w:p>
        </w:tc>
        <w:tc>
          <w:tcPr>
            <w:tcW w:w="342" w:type="pct"/>
            <w:tcBorders>
              <w:top w:val="nil"/>
              <w:left w:val="nil"/>
              <w:bottom w:val="nil"/>
              <w:right w:val="nil"/>
            </w:tcBorders>
            <w:shd w:val="clear" w:color="000000" w:fill="FFFFFF"/>
            <w:noWrap/>
            <w:vAlign w:val="center"/>
            <w:hideMark/>
          </w:tcPr>
          <w:p w14:paraId="5197D702"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1.3</w:t>
            </w:r>
          </w:p>
        </w:tc>
        <w:tc>
          <w:tcPr>
            <w:tcW w:w="302" w:type="pct"/>
            <w:tcBorders>
              <w:top w:val="nil"/>
              <w:left w:val="nil"/>
              <w:bottom w:val="nil"/>
              <w:right w:val="nil"/>
            </w:tcBorders>
            <w:shd w:val="clear" w:color="000000" w:fill="FFFFFF"/>
            <w:noWrap/>
            <w:vAlign w:val="center"/>
            <w:hideMark/>
          </w:tcPr>
          <w:p w14:paraId="49203FFE"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8</w:t>
            </w:r>
          </w:p>
        </w:tc>
        <w:tc>
          <w:tcPr>
            <w:tcW w:w="342" w:type="pct"/>
            <w:tcBorders>
              <w:top w:val="nil"/>
              <w:left w:val="nil"/>
              <w:bottom w:val="nil"/>
              <w:right w:val="nil"/>
            </w:tcBorders>
            <w:shd w:val="clear" w:color="000000" w:fill="FFFFFF"/>
            <w:noWrap/>
            <w:vAlign w:val="center"/>
            <w:hideMark/>
          </w:tcPr>
          <w:p w14:paraId="7543CC0F"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0.2</w:t>
            </w:r>
          </w:p>
        </w:tc>
        <w:tc>
          <w:tcPr>
            <w:tcW w:w="302" w:type="pct"/>
            <w:tcBorders>
              <w:top w:val="nil"/>
              <w:left w:val="nil"/>
              <w:bottom w:val="nil"/>
              <w:right w:val="nil"/>
            </w:tcBorders>
            <w:shd w:val="clear" w:color="000000" w:fill="FFFFFF"/>
            <w:noWrap/>
            <w:vAlign w:val="center"/>
            <w:hideMark/>
          </w:tcPr>
          <w:p w14:paraId="44F86505"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9</w:t>
            </w:r>
          </w:p>
        </w:tc>
        <w:tc>
          <w:tcPr>
            <w:tcW w:w="342" w:type="pct"/>
            <w:tcBorders>
              <w:top w:val="nil"/>
              <w:left w:val="nil"/>
              <w:bottom w:val="nil"/>
              <w:right w:val="nil"/>
            </w:tcBorders>
            <w:shd w:val="clear" w:color="000000" w:fill="FFFFFF"/>
            <w:noWrap/>
            <w:vAlign w:val="center"/>
            <w:hideMark/>
          </w:tcPr>
          <w:p w14:paraId="0848372E"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2.0</w:t>
            </w:r>
          </w:p>
        </w:tc>
        <w:tc>
          <w:tcPr>
            <w:tcW w:w="313" w:type="pct"/>
            <w:tcBorders>
              <w:top w:val="nil"/>
              <w:left w:val="nil"/>
              <w:bottom w:val="nil"/>
              <w:right w:val="nil"/>
            </w:tcBorders>
            <w:shd w:val="clear" w:color="000000" w:fill="F2F2F2"/>
            <w:noWrap/>
            <w:vAlign w:val="center"/>
            <w:hideMark/>
          </w:tcPr>
          <w:p w14:paraId="55798254"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5</w:t>
            </w:r>
          </w:p>
        </w:tc>
        <w:tc>
          <w:tcPr>
            <w:tcW w:w="342" w:type="pct"/>
            <w:tcBorders>
              <w:top w:val="nil"/>
              <w:left w:val="nil"/>
              <w:bottom w:val="nil"/>
              <w:right w:val="nil"/>
            </w:tcBorders>
            <w:shd w:val="clear" w:color="000000" w:fill="F2F2F2"/>
            <w:noWrap/>
            <w:vAlign w:val="center"/>
            <w:hideMark/>
          </w:tcPr>
          <w:p w14:paraId="3189A735"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0.2</w:t>
            </w:r>
          </w:p>
        </w:tc>
      </w:tr>
      <w:tr w:rsidR="00023C48" w:rsidRPr="00023C48" w14:paraId="396079FD" w14:textId="77777777" w:rsidTr="003A0934">
        <w:trPr>
          <w:trHeight w:val="227"/>
        </w:trPr>
        <w:tc>
          <w:tcPr>
            <w:tcW w:w="2412" w:type="pct"/>
            <w:tcBorders>
              <w:top w:val="nil"/>
              <w:left w:val="nil"/>
              <w:bottom w:val="nil"/>
              <w:right w:val="nil"/>
            </w:tcBorders>
            <w:shd w:val="clear" w:color="000000" w:fill="FFFFFF"/>
            <w:noWrap/>
            <w:vAlign w:val="center"/>
            <w:hideMark/>
          </w:tcPr>
          <w:p w14:paraId="27081DEB" w14:textId="77777777" w:rsidR="00023C48" w:rsidRPr="00023C48" w:rsidRDefault="00023C48" w:rsidP="00F6204B">
            <w:pPr>
              <w:keepNext/>
              <w:keepLines/>
              <w:spacing w:after="0" w:line="240" w:lineRule="auto"/>
              <w:jc w:val="left"/>
              <w:rPr>
                <w:rFonts w:ascii="Arial" w:hAnsi="Arial" w:cs="Arial"/>
                <w:color w:val="auto"/>
                <w:sz w:val="16"/>
                <w:szCs w:val="16"/>
              </w:rPr>
            </w:pPr>
            <w:r w:rsidRPr="00023C48">
              <w:rPr>
                <w:rFonts w:ascii="Arial" w:hAnsi="Arial" w:cs="Arial"/>
                <w:color w:val="auto"/>
                <w:sz w:val="16"/>
                <w:szCs w:val="16"/>
              </w:rPr>
              <w:t>Other</w:t>
            </w:r>
            <w:r w:rsidRPr="00023C48">
              <w:rPr>
                <w:rFonts w:ascii="Arial" w:hAnsi="Arial" w:cs="Arial"/>
                <w:color w:val="auto"/>
                <w:sz w:val="12"/>
                <w:szCs w:val="12"/>
              </w:rPr>
              <w:t xml:space="preserve"> </w:t>
            </w:r>
            <w:r w:rsidRPr="00023C48">
              <w:rPr>
                <w:rFonts w:ascii="Arial" w:hAnsi="Arial" w:cs="Arial"/>
                <w:color w:val="auto"/>
                <w:sz w:val="16"/>
                <w:szCs w:val="16"/>
              </w:rPr>
              <w:t>(a)</w:t>
            </w:r>
          </w:p>
        </w:tc>
        <w:tc>
          <w:tcPr>
            <w:tcW w:w="302" w:type="pct"/>
            <w:tcBorders>
              <w:top w:val="nil"/>
              <w:left w:val="nil"/>
              <w:bottom w:val="nil"/>
              <w:right w:val="nil"/>
            </w:tcBorders>
            <w:shd w:val="clear" w:color="000000" w:fill="FFFFFF"/>
            <w:noWrap/>
            <w:vAlign w:val="center"/>
            <w:hideMark/>
          </w:tcPr>
          <w:p w14:paraId="7D707EDC"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7</w:t>
            </w:r>
          </w:p>
        </w:tc>
        <w:tc>
          <w:tcPr>
            <w:tcW w:w="342" w:type="pct"/>
            <w:tcBorders>
              <w:top w:val="nil"/>
              <w:left w:val="nil"/>
              <w:bottom w:val="nil"/>
              <w:right w:val="nil"/>
            </w:tcBorders>
            <w:shd w:val="clear" w:color="000000" w:fill="FFFFFF"/>
            <w:noWrap/>
            <w:vAlign w:val="center"/>
            <w:hideMark/>
          </w:tcPr>
          <w:p w14:paraId="5FBFAA7E"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1.3</w:t>
            </w:r>
          </w:p>
        </w:tc>
        <w:tc>
          <w:tcPr>
            <w:tcW w:w="302" w:type="pct"/>
            <w:tcBorders>
              <w:top w:val="nil"/>
              <w:left w:val="nil"/>
              <w:bottom w:val="nil"/>
              <w:right w:val="nil"/>
            </w:tcBorders>
            <w:shd w:val="clear" w:color="000000" w:fill="FFFFFF"/>
            <w:noWrap/>
            <w:vAlign w:val="center"/>
            <w:hideMark/>
          </w:tcPr>
          <w:p w14:paraId="56FC8541"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18</w:t>
            </w:r>
          </w:p>
        </w:tc>
        <w:tc>
          <w:tcPr>
            <w:tcW w:w="342" w:type="pct"/>
            <w:tcBorders>
              <w:top w:val="nil"/>
              <w:left w:val="nil"/>
              <w:bottom w:val="nil"/>
              <w:right w:val="nil"/>
            </w:tcBorders>
            <w:shd w:val="clear" w:color="000000" w:fill="FFFFFF"/>
            <w:noWrap/>
            <w:vAlign w:val="center"/>
            <w:hideMark/>
          </w:tcPr>
          <w:p w14:paraId="3090F484"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2.2</w:t>
            </w:r>
          </w:p>
        </w:tc>
        <w:tc>
          <w:tcPr>
            <w:tcW w:w="302" w:type="pct"/>
            <w:tcBorders>
              <w:top w:val="nil"/>
              <w:left w:val="nil"/>
              <w:bottom w:val="nil"/>
              <w:right w:val="nil"/>
            </w:tcBorders>
            <w:shd w:val="clear" w:color="000000" w:fill="FFFFFF"/>
            <w:noWrap/>
            <w:vAlign w:val="center"/>
            <w:hideMark/>
          </w:tcPr>
          <w:p w14:paraId="440146FE"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24</w:t>
            </w:r>
          </w:p>
        </w:tc>
        <w:tc>
          <w:tcPr>
            <w:tcW w:w="342" w:type="pct"/>
            <w:tcBorders>
              <w:top w:val="nil"/>
              <w:left w:val="nil"/>
              <w:bottom w:val="nil"/>
              <w:right w:val="nil"/>
            </w:tcBorders>
            <w:shd w:val="clear" w:color="000000" w:fill="FFFFFF"/>
            <w:noWrap/>
            <w:vAlign w:val="center"/>
            <w:hideMark/>
          </w:tcPr>
          <w:p w14:paraId="000D4C5A"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25.3</w:t>
            </w:r>
          </w:p>
        </w:tc>
        <w:tc>
          <w:tcPr>
            <w:tcW w:w="313" w:type="pct"/>
            <w:tcBorders>
              <w:top w:val="nil"/>
              <w:left w:val="nil"/>
              <w:bottom w:val="nil"/>
              <w:right w:val="nil"/>
            </w:tcBorders>
            <w:shd w:val="clear" w:color="000000" w:fill="F2F2F2"/>
            <w:noWrap/>
            <w:vAlign w:val="center"/>
            <w:hideMark/>
          </w:tcPr>
          <w:p w14:paraId="1936D684"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10</w:t>
            </w:r>
          </w:p>
        </w:tc>
        <w:tc>
          <w:tcPr>
            <w:tcW w:w="342" w:type="pct"/>
            <w:tcBorders>
              <w:top w:val="nil"/>
              <w:left w:val="nil"/>
              <w:bottom w:val="nil"/>
              <w:right w:val="nil"/>
            </w:tcBorders>
            <w:shd w:val="clear" w:color="000000" w:fill="F2F2F2"/>
            <w:noWrap/>
            <w:vAlign w:val="center"/>
            <w:hideMark/>
          </w:tcPr>
          <w:p w14:paraId="67D033CF" w14:textId="77777777" w:rsidR="00023C48" w:rsidRPr="00023C48" w:rsidRDefault="00023C48" w:rsidP="00F6204B">
            <w:pPr>
              <w:keepNext/>
              <w:keepLines/>
              <w:spacing w:after="0" w:line="240" w:lineRule="auto"/>
              <w:jc w:val="right"/>
              <w:rPr>
                <w:rFonts w:ascii="Arial" w:hAnsi="Arial" w:cs="Arial"/>
                <w:color w:val="auto"/>
                <w:sz w:val="16"/>
                <w:szCs w:val="16"/>
              </w:rPr>
            </w:pPr>
            <w:r w:rsidRPr="00023C48">
              <w:rPr>
                <w:rFonts w:ascii="Arial" w:hAnsi="Arial" w:cs="Arial"/>
                <w:color w:val="auto"/>
                <w:sz w:val="16"/>
                <w:szCs w:val="16"/>
              </w:rPr>
              <w:t>8.0</w:t>
            </w:r>
          </w:p>
        </w:tc>
      </w:tr>
      <w:tr w:rsidR="00023C48" w:rsidRPr="00023C48" w14:paraId="48162947" w14:textId="77777777" w:rsidTr="003A0934">
        <w:trPr>
          <w:trHeight w:val="227"/>
        </w:trPr>
        <w:tc>
          <w:tcPr>
            <w:tcW w:w="2412" w:type="pct"/>
            <w:tcBorders>
              <w:top w:val="single" w:sz="4" w:space="0" w:color="auto"/>
              <w:left w:val="nil"/>
              <w:bottom w:val="single" w:sz="4" w:space="0" w:color="auto"/>
              <w:right w:val="nil"/>
            </w:tcBorders>
            <w:shd w:val="clear" w:color="000000" w:fill="FFFFFF"/>
            <w:noWrap/>
            <w:vAlign w:val="center"/>
            <w:hideMark/>
          </w:tcPr>
          <w:p w14:paraId="4534B4DA" w14:textId="77777777" w:rsidR="00023C48" w:rsidRPr="00023C48" w:rsidRDefault="00023C48" w:rsidP="00F6204B">
            <w:pPr>
              <w:keepNext/>
              <w:keepLines/>
              <w:spacing w:after="0" w:line="240" w:lineRule="auto"/>
              <w:jc w:val="left"/>
              <w:rPr>
                <w:rFonts w:ascii="Arial" w:hAnsi="Arial" w:cs="Arial"/>
                <w:b/>
                <w:bCs/>
                <w:color w:val="auto"/>
                <w:sz w:val="16"/>
                <w:szCs w:val="16"/>
              </w:rPr>
            </w:pPr>
            <w:r w:rsidRPr="00023C48">
              <w:rPr>
                <w:rFonts w:ascii="Arial" w:hAnsi="Arial" w:cs="Arial"/>
                <w:b/>
                <w:bCs/>
                <w:color w:val="auto"/>
                <w:sz w:val="16"/>
                <w:szCs w:val="16"/>
              </w:rPr>
              <w:t>Total</w:t>
            </w:r>
          </w:p>
        </w:tc>
        <w:tc>
          <w:tcPr>
            <w:tcW w:w="302" w:type="pct"/>
            <w:tcBorders>
              <w:top w:val="single" w:sz="4" w:space="0" w:color="auto"/>
              <w:left w:val="nil"/>
              <w:bottom w:val="single" w:sz="4" w:space="0" w:color="auto"/>
              <w:right w:val="nil"/>
            </w:tcBorders>
            <w:shd w:val="clear" w:color="000000" w:fill="FFFFFF"/>
            <w:noWrap/>
            <w:vAlign w:val="center"/>
            <w:hideMark/>
          </w:tcPr>
          <w:p w14:paraId="120AF626" w14:textId="77777777" w:rsidR="00023C48" w:rsidRPr="00023C48" w:rsidRDefault="00023C48" w:rsidP="00F6204B">
            <w:pPr>
              <w:keepNext/>
              <w:keepLines/>
              <w:spacing w:after="0" w:line="240" w:lineRule="auto"/>
              <w:jc w:val="right"/>
              <w:rPr>
                <w:rFonts w:ascii="Arial" w:hAnsi="Arial" w:cs="Arial"/>
                <w:b/>
                <w:bCs/>
                <w:color w:val="auto"/>
                <w:sz w:val="16"/>
                <w:szCs w:val="16"/>
              </w:rPr>
            </w:pPr>
            <w:r w:rsidRPr="00023C48">
              <w:rPr>
                <w:rFonts w:ascii="Arial" w:hAnsi="Arial" w:cs="Arial"/>
                <w:b/>
                <w:bCs/>
                <w:color w:val="auto"/>
                <w:sz w:val="16"/>
                <w:szCs w:val="16"/>
              </w:rPr>
              <w:t>73</w:t>
            </w:r>
          </w:p>
        </w:tc>
        <w:tc>
          <w:tcPr>
            <w:tcW w:w="342" w:type="pct"/>
            <w:tcBorders>
              <w:top w:val="single" w:sz="4" w:space="0" w:color="auto"/>
              <w:left w:val="nil"/>
              <w:bottom w:val="single" w:sz="4" w:space="0" w:color="auto"/>
              <w:right w:val="nil"/>
            </w:tcBorders>
            <w:shd w:val="clear" w:color="000000" w:fill="FFFFFF"/>
            <w:noWrap/>
            <w:vAlign w:val="center"/>
            <w:hideMark/>
          </w:tcPr>
          <w:p w14:paraId="4991D94F" w14:textId="77777777" w:rsidR="00023C48" w:rsidRPr="00023C48" w:rsidRDefault="00023C48" w:rsidP="00F6204B">
            <w:pPr>
              <w:keepNext/>
              <w:keepLines/>
              <w:spacing w:after="0" w:line="240" w:lineRule="auto"/>
              <w:jc w:val="right"/>
              <w:rPr>
                <w:rFonts w:ascii="Arial" w:hAnsi="Arial" w:cs="Arial"/>
                <w:b/>
                <w:bCs/>
                <w:color w:val="auto"/>
                <w:sz w:val="16"/>
                <w:szCs w:val="16"/>
              </w:rPr>
            </w:pPr>
            <w:r w:rsidRPr="00023C48">
              <w:rPr>
                <w:rFonts w:ascii="Arial" w:hAnsi="Arial" w:cs="Arial"/>
                <w:b/>
                <w:bCs/>
                <w:color w:val="auto"/>
                <w:sz w:val="16"/>
                <w:szCs w:val="16"/>
              </w:rPr>
              <w:t>40.9</w:t>
            </w:r>
          </w:p>
        </w:tc>
        <w:tc>
          <w:tcPr>
            <w:tcW w:w="302" w:type="pct"/>
            <w:tcBorders>
              <w:top w:val="single" w:sz="4" w:space="0" w:color="auto"/>
              <w:left w:val="nil"/>
              <w:bottom w:val="single" w:sz="4" w:space="0" w:color="auto"/>
              <w:right w:val="nil"/>
            </w:tcBorders>
            <w:shd w:val="clear" w:color="000000" w:fill="FFFFFF"/>
            <w:noWrap/>
            <w:vAlign w:val="center"/>
            <w:hideMark/>
          </w:tcPr>
          <w:p w14:paraId="7B4A8CCE" w14:textId="77777777" w:rsidR="00023C48" w:rsidRPr="00023C48" w:rsidRDefault="00023C48" w:rsidP="00F6204B">
            <w:pPr>
              <w:keepNext/>
              <w:keepLines/>
              <w:spacing w:after="0" w:line="240" w:lineRule="auto"/>
              <w:jc w:val="right"/>
              <w:rPr>
                <w:rFonts w:ascii="Arial" w:hAnsi="Arial" w:cs="Arial"/>
                <w:b/>
                <w:bCs/>
                <w:color w:val="auto"/>
                <w:sz w:val="16"/>
                <w:szCs w:val="16"/>
              </w:rPr>
            </w:pPr>
            <w:r w:rsidRPr="00023C48">
              <w:rPr>
                <w:rFonts w:ascii="Arial" w:hAnsi="Arial" w:cs="Arial"/>
                <w:b/>
                <w:bCs/>
                <w:color w:val="auto"/>
                <w:sz w:val="16"/>
                <w:szCs w:val="16"/>
              </w:rPr>
              <w:t>95</w:t>
            </w:r>
          </w:p>
        </w:tc>
        <w:tc>
          <w:tcPr>
            <w:tcW w:w="342" w:type="pct"/>
            <w:tcBorders>
              <w:top w:val="single" w:sz="4" w:space="0" w:color="auto"/>
              <w:left w:val="nil"/>
              <w:bottom w:val="single" w:sz="4" w:space="0" w:color="auto"/>
              <w:right w:val="nil"/>
            </w:tcBorders>
            <w:shd w:val="clear" w:color="000000" w:fill="FFFFFF"/>
            <w:noWrap/>
            <w:vAlign w:val="center"/>
            <w:hideMark/>
          </w:tcPr>
          <w:p w14:paraId="7608A442" w14:textId="77777777" w:rsidR="00023C48" w:rsidRPr="00023C48" w:rsidRDefault="00023C48" w:rsidP="00F6204B">
            <w:pPr>
              <w:keepNext/>
              <w:keepLines/>
              <w:spacing w:after="0" w:line="240" w:lineRule="auto"/>
              <w:jc w:val="right"/>
              <w:rPr>
                <w:rFonts w:ascii="Arial" w:hAnsi="Arial" w:cs="Arial"/>
                <w:b/>
                <w:bCs/>
                <w:color w:val="auto"/>
                <w:sz w:val="16"/>
                <w:szCs w:val="16"/>
              </w:rPr>
            </w:pPr>
            <w:r w:rsidRPr="00023C48">
              <w:rPr>
                <w:rFonts w:ascii="Arial" w:hAnsi="Arial" w:cs="Arial"/>
                <w:b/>
                <w:bCs/>
                <w:color w:val="auto"/>
                <w:sz w:val="16"/>
                <w:szCs w:val="16"/>
              </w:rPr>
              <w:t>16.6</w:t>
            </w:r>
          </w:p>
        </w:tc>
        <w:tc>
          <w:tcPr>
            <w:tcW w:w="302" w:type="pct"/>
            <w:tcBorders>
              <w:top w:val="single" w:sz="4" w:space="0" w:color="auto"/>
              <w:left w:val="nil"/>
              <w:bottom w:val="single" w:sz="4" w:space="0" w:color="auto"/>
              <w:right w:val="nil"/>
            </w:tcBorders>
            <w:shd w:val="clear" w:color="000000" w:fill="FFFFFF"/>
            <w:noWrap/>
            <w:vAlign w:val="center"/>
            <w:hideMark/>
          </w:tcPr>
          <w:p w14:paraId="449267B2" w14:textId="77777777" w:rsidR="00023C48" w:rsidRPr="00820C89" w:rsidRDefault="00023C48" w:rsidP="00F6204B">
            <w:pPr>
              <w:keepNext/>
              <w:keepLines/>
              <w:spacing w:after="0" w:line="240" w:lineRule="auto"/>
              <w:jc w:val="right"/>
              <w:rPr>
                <w:rFonts w:ascii="Arial" w:hAnsi="Arial" w:cs="Arial"/>
                <w:b/>
                <w:color w:val="auto"/>
                <w:sz w:val="16"/>
                <w:szCs w:val="16"/>
              </w:rPr>
            </w:pPr>
            <w:r w:rsidRPr="00820C89">
              <w:rPr>
                <w:rFonts w:ascii="Arial" w:hAnsi="Arial" w:cs="Arial"/>
                <w:b/>
                <w:color w:val="auto"/>
                <w:sz w:val="16"/>
                <w:szCs w:val="16"/>
              </w:rPr>
              <w:t>99</w:t>
            </w:r>
          </w:p>
        </w:tc>
        <w:tc>
          <w:tcPr>
            <w:tcW w:w="342" w:type="pct"/>
            <w:tcBorders>
              <w:top w:val="single" w:sz="4" w:space="0" w:color="auto"/>
              <w:left w:val="nil"/>
              <w:bottom w:val="single" w:sz="4" w:space="0" w:color="auto"/>
              <w:right w:val="nil"/>
            </w:tcBorders>
            <w:shd w:val="clear" w:color="000000" w:fill="FFFFFF"/>
            <w:noWrap/>
            <w:vAlign w:val="center"/>
            <w:hideMark/>
          </w:tcPr>
          <w:p w14:paraId="3FA0EAE9" w14:textId="77777777" w:rsidR="00023C48" w:rsidRPr="00820C89" w:rsidRDefault="00023C48" w:rsidP="00F6204B">
            <w:pPr>
              <w:keepNext/>
              <w:keepLines/>
              <w:spacing w:after="0" w:line="240" w:lineRule="auto"/>
              <w:jc w:val="right"/>
              <w:rPr>
                <w:rFonts w:ascii="Arial" w:hAnsi="Arial" w:cs="Arial"/>
                <w:b/>
                <w:color w:val="auto"/>
                <w:sz w:val="16"/>
                <w:szCs w:val="16"/>
              </w:rPr>
            </w:pPr>
            <w:r w:rsidRPr="00820C89">
              <w:rPr>
                <w:rFonts w:ascii="Arial" w:hAnsi="Arial" w:cs="Arial"/>
                <w:b/>
                <w:color w:val="auto"/>
                <w:sz w:val="16"/>
                <w:szCs w:val="16"/>
              </w:rPr>
              <w:t>36.7</w:t>
            </w:r>
          </w:p>
        </w:tc>
        <w:tc>
          <w:tcPr>
            <w:tcW w:w="313" w:type="pct"/>
            <w:tcBorders>
              <w:top w:val="single" w:sz="4" w:space="0" w:color="auto"/>
              <w:left w:val="nil"/>
              <w:bottom w:val="single" w:sz="4" w:space="0" w:color="auto"/>
              <w:right w:val="nil"/>
            </w:tcBorders>
            <w:shd w:val="clear" w:color="000000" w:fill="F2F2F2"/>
            <w:noWrap/>
            <w:vAlign w:val="center"/>
            <w:hideMark/>
          </w:tcPr>
          <w:p w14:paraId="1B60BEEB" w14:textId="77777777" w:rsidR="00023C48" w:rsidRPr="00820C89" w:rsidRDefault="00023C48" w:rsidP="00F6204B">
            <w:pPr>
              <w:keepNext/>
              <w:keepLines/>
              <w:spacing w:after="0" w:line="240" w:lineRule="auto"/>
              <w:jc w:val="right"/>
              <w:rPr>
                <w:rFonts w:ascii="Arial" w:hAnsi="Arial" w:cs="Arial"/>
                <w:b/>
                <w:color w:val="auto"/>
                <w:sz w:val="16"/>
                <w:szCs w:val="16"/>
              </w:rPr>
            </w:pPr>
            <w:r w:rsidRPr="00820C89">
              <w:rPr>
                <w:rFonts w:ascii="Arial" w:hAnsi="Arial" w:cs="Arial"/>
                <w:b/>
                <w:color w:val="auto"/>
                <w:sz w:val="16"/>
                <w:szCs w:val="16"/>
              </w:rPr>
              <w:t>100</w:t>
            </w:r>
          </w:p>
        </w:tc>
        <w:tc>
          <w:tcPr>
            <w:tcW w:w="342" w:type="pct"/>
            <w:tcBorders>
              <w:top w:val="single" w:sz="4" w:space="0" w:color="auto"/>
              <w:left w:val="nil"/>
              <w:bottom w:val="single" w:sz="4" w:space="0" w:color="auto"/>
              <w:right w:val="nil"/>
            </w:tcBorders>
            <w:shd w:val="clear" w:color="000000" w:fill="F2F2F2"/>
            <w:noWrap/>
            <w:vAlign w:val="center"/>
            <w:hideMark/>
          </w:tcPr>
          <w:p w14:paraId="698901C7" w14:textId="77777777" w:rsidR="00023C48" w:rsidRPr="00820C89" w:rsidRDefault="00023C48" w:rsidP="00F6204B">
            <w:pPr>
              <w:keepNext/>
              <w:keepLines/>
              <w:spacing w:after="0" w:line="240" w:lineRule="auto"/>
              <w:jc w:val="right"/>
              <w:rPr>
                <w:rFonts w:ascii="Arial" w:hAnsi="Arial" w:cs="Arial"/>
                <w:b/>
                <w:color w:val="auto"/>
                <w:sz w:val="16"/>
                <w:szCs w:val="16"/>
              </w:rPr>
            </w:pPr>
            <w:r w:rsidRPr="00820C89">
              <w:rPr>
                <w:rFonts w:ascii="Arial" w:hAnsi="Arial" w:cs="Arial"/>
                <w:b/>
                <w:color w:val="auto"/>
                <w:sz w:val="16"/>
                <w:szCs w:val="16"/>
              </w:rPr>
              <w:t>33.0</w:t>
            </w:r>
          </w:p>
        </w:tc>
      </w:tr>
    </w:tbl>
    <w:p w14:paraId="153A578C" w14:textId="77777777" w:rsidR="00023C48" w:rsidRDefault="00023C48" w:rsidP="00F6204B">
      <w:pPr>
        <w:pStyle w:val="ChartorTableNote"/>
        <w:keepNext/>
        <w:keepLines/>
      </w:pPr>
      <w:r w:rsidRPr="00BF48CD">
        <w:t xml:space="preserve">Before republishing this data or comparing between years, thoroughly review the methodological and data caveats in Appendix B. </w:t>
      </w:r>
    </w:p>
    <w:p w14:paraId="7A3D45A9" w14:textId="28ED12E0" w:rsidR="00023C48" w:rsidRDefault="00023C48" w:rsidP="00377D63">
      <w:pPr>
        <w:pStyle w:val="ChartandTableFootnoteAlpha"/>
      </w:pPr>
      <w:r w:rsidRPr="00BF48CD">
        <w:t>Comprises: textile, leather, clothing and footwear manufacturing; pulp, paper and converted paper product manufacturing; polymer product and rubber products manufacturing; non</w:t>
      </w:r>
      <w:r w:rsidR="00BD4D19">
        <w:noBreakHyphen/>
      </w:r>
      <w:r w:rsidRPr="00BF48CD">
        <w:t>metallic mineral product manufacturing; primary metal and metal product manufacturing; fabricated metal products manufacturing; transport equipment manufacturing; machinery and equipment manufacturing; and furniture manufacturing.</w:t>
      </w:r>
    </w:p>
    <w:p w14:paraId="1BA66041" w14:textId="77777777" w:rsidR="00F6204B" w:rsidRPr="00BF48CD" w:rsidRDefault="00F6204B" w:rsidP="00377D63">
      <w:pPr>
        <w:pStyle w:val="SingleParagraph"/>
      </w:pPr>
    </w:p>
    <w:p w14:paraId="58C75AD4" w14:textId="77777777" w:rsidR="00DE56DC" w:rsidRPr="00820C89" w:rsidRDefault="00DE56DC" w:rsidP="00DE56DC">
      <w:pPr>
        <w:pStyle w:val="Heading3"/>
      </w:pPr>
      <w:r w:rsidRPr="00820C89">
        <w:t>Mineral exploration and development</w:t>
      </w:r>
    </w:p>
    <w:p w14:paraId="72F46036" w14:textId="77777777" w:rsidR="009573BB" w:rsidRDefault="009573BB" w:rsidP="009573BB">
      <w:bookmarkStart w:id="114" w:name="_Toc32247767"/>
      <w:r>
        <w:t>The mineral exploration and development sector saw a decline in both the number of approvals (from 121 in 2018</w:t>
      </w:r>
      <w:r w:rsidR="00F26A86">
        <w:t>–</w:t>
      </w:r>
      <w:r>
        <w:t>19 to 108 in 2019</w:t>
      </w:r>
      <w:r w:rsidR="00F26A86">
        <w:t>–</w:t>
      </w:r>
      <w:r>
        <w:t>20), and in the value of those approvals (from $16.9</w:t>
      </w:r>
      <w:r w:rsidR="008A14F9">
        <w:t> </w:t>
      </w:r>
      <w:r>
        <w:t>billion in 2018</w:t>
      </w:r>
      <w:r w:rsidR="00F26A86">
        <w:t>–</w:t>
      </w:r>
      <w:r>
        <w:t>19 to $11.2</w:t>
      </w:r>
      <w:r w:rsidR="008A14F9">
        <w:t> </w:t>
      </w:r>
      <w:r>
        <w:t>billion in 2019</w:t>
      </w:r>
      <w:r w:rsidR="00F26A86">
        <w:t>–</w:t>
      </w:r>
      <w:r>
        <w:t>20).</w:t>
      </w:r>
    </w:p>
    <w:p w14:paraId="241BF8B8" w14:textId="77777777" w:rsidR="008E3CA6" w:rsidRDefault="008E3CA6" w:rsidP="008E3CA6">
      <w:r>
        <w:t>The United States ($4.7</w:t>
      </w:r>
      <w:r w:rsidR="008A14F9">
        <w:t> </w:t>
      </w:r>
      <w:r>
        <w:t>billion), the United Kingdom ($1.3</w:t>
      </w:r>
      <w:r w:rsidR="008A14F9">
        <w:t> </w:t>
      </w:r>
      <w:r>
        <w:t>billion) and China ($0.8</w:t>
      </w:r>
      <w:r w:rsidR="008A14F9">
        <w:t> </w:t>
      </w:r>
      <w:r>
        <w:t>billion) were the largest source countries of investment by value in the sector (see Table 3.17).</w:t>
      </w:r>
    </w:p>
    <w:p w14:paraId="6021837B" w14:textId="77777777" w:rsidR="00C95D7C" w:rsidRDefault="00A359D3" w:rsidP="008E3CA6">
      <w:pPr>
        <w:pStyle w:val="TableMainHeading"/>
        <w:keepLines/>
      </w:pPr>
      <w:bookmarkStart w:id="115" w:name="_Toc63798277"/>
      <w:bookmarkStart w:id="116" w:name="_Toc73984736"/>
      <w:r>
        <w:t>Table 3.9</w:t>
      </w:r>
      <w:r w:rsidR="00C95D7C" w:rsidRPr="00820C89">
        <w:t>: Mineral exploration and development sector approvals: 201</w:t>
      </w:r>
      <w:r w:rsidR="00C95D7C">
        <w:t>6</w:t>
      </w:r>
      <w:r w:rsidR="00C95D7C" w:rsidRPr="00820C89">
        <w:t>–1</w:t>
      </w:r>
      <w:r w:rsidR="00C95D7C">
        <w:t>7</w:t>
      </w:r>
      <w:r w:rsidR="00C95D7C" w:rsidRPr="00820C89">
        <w:t xml:space="preserve"> to 201</w:t>
      </w:r>
      <w:r w:rsidR="00C95D7C">
        <w:t>9</w:t>
      </w:r>
      <w:r w:rsidR="00C95D7C" w:rsidRPr="00820C89">
        <w:t>–</w:t>
      </w:r>
      <w:r w:rsidR="00C95D7C">
        <w:t>20</w:t>
      </w:r>
      <w:bookmarkEnd w:id="115"/>
      <w:bookmarkEnd w:id="116"/>
    </w:p>
    <w:tbl>
      <w:tblPr>
        <w:tblW w:w="5000" w:type="pct"/>
        <w:tblLook w:val="04A0" w:firstRow="1" w:lastRow="0" w:firstColumn="1" w:lastColumn="0" w:noHBand="0" w:noVBand="1"/>
      </w:tblPr>
      <w:tblGrid>
        <w:gridCol w:w="2605"/>
        <w:gridCol w:w="595"/>
        <w:gridCol w:w="683"/>
        <w:gridCol w:w="638"/>
        <w:gridCol w:w="638"/>
        <w:gridCol w:w="638"/>
        <w:gridCol w:w="638"/>
        <w:gridCol w:w="638"/>
        <w:gridCol w:w="637"/>
      </w:tblGrid>
      <w:tr w:rsidR="00C95D7C" w:rsidRPr="00C95D7C" w14:paraId="1BC01905" w14:textId="77777777" w:rsidTr="003A0934">
        <w:trPr>
          <w:trHeight w:val="227"/>
        </w:trPr>
        <w:tc>
          <w:tcPr>
            <w:tcW w:w="1689" w:type="pct"/>
            <w:tcBorders>
              <w:top w:val="single" w:sz="4" w:space="0" w:color="auto"/>
              <w:left w:val="nil"/>
              <w:bottom w:val="nil"/>
              <w:right w:val="nil"/>
            </w:tcBorders>
            <w:shd w:val="clear" w:color="000000" w:fill="FFFFFF"/>
            <w:noWrap/>
            <w:vAlign w:val="center"/>
            <w:hideMark/>
          </w:tcPr>
          <w:p w14:paraId="00BE0152"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 </w:t>
            </w:r>
          </w:p>
        </w:tc>
        <w:tc>
          <w:tcPr>
            <w:tcW w:w="828" w:type="pct"/>
            <w:gridSpan w:val="2"/>
            <w:tcBorders>
              <w:top w:val="single" w:sz="4" w:space="0" w:color="auto"/>
              <w:left w:val="nil"/>
              <w:bottom w:val="single" w:sz="4" w:space="0" w:color="auto"/>
              <w:right w:val="nil"/>
            </w:tcBorders>
            <w:shd w:val="clear" w:color="000000" w:fill="FFFFFF"/>
            <w:noWrap/>
            <w:vAlign w:val="center"/>
            <w:hideMark/>
          </w:tcPr>
          <w:p w14:paraId="14454F07" w14:textId="77777777" w:rsidR="00C95D7C" w:rsidRPr="00C95D7C" w:rsidRDefault="00C95D7C" w:rsidP="008E3CA6">
            <w:pPr>
              <w:keepNext/>
              <w:keepLines/>
              <w:spacing w:after="0" w:line="240" w:lineRule="auto"/>
              <w:jc w:val="center"/>
              <w:rPr>
                <w:rFonts w:ascii="Arial" w:hAnsi="Arial" w:cs="Arial"/>
                <w:color w:val="auto"/>
                <w:sz w:val="16"/>
                <w:szCs w:val="16"/>
              </w:rPr>
            </w:pPr>
            <w:r w:rsidRPr="00C95D7C">
              <w:rPr>
                <w:rFonts w:ascii="Arial" w:hAnsi="Arial" w:cs="Arial"/>
                <w:color w:val="auto"/>
                <w:sz w:val="16"/>
                <w:szCs w:val="16"/>
              </w:rPr>
              <w:t>2016</w:t>
            </w:r>
            <w:r w:rsidR="00F26A86">
              <w:rPr>
                <w:rFonts w:ascii="Arial" w:hAnsi="Arial" w:cs="Arial"/>
                <w:color w:val="auto"/>
                <w:sz w:val="16"/>
                <w:szCs w:val="16"/>
              </w:rPr>
              <w:t>–</w:t>
            </w:r>
            <w:r w:rsidRPr="00C95D7C">
              <w:rPr>
                <w:rFonts w:ascii="Arial" w:hAnsi="Arial" w:cs="Arial"/>
                <w:color w:val="auto"/>
                <w:sz w:val="16"/>
                <w:szCs w:val="16"/>
              </w:rPr>
              <w:t>17</w:t>
            </w:r>
          </w:p>
        </w:tc>
        <w:tc>
          <w:tcPr>
            <w:tcW w:w="828" w:type="pct"/>
            <w:gridSpan w:val="2"/>
            <w:tcBorders>
              <w:top w:val="single" w:sz="4" w:space="0" w:color="auto"/>
              <w:left w:val="nil"/>
              <w:bottom w:val="single" w:sz="4" w:space="0" w:color="auto"/>
              <w:right w:val="nil"/>
            </w:tcBorders>
            <w:shd w:val="clear" w:color="auto" w:fill="auto"/>
            <w:noWrap/>
            <w:vAlign w:val="center"/>
            <w:hideMark/>
          </w:tcPr>
          <w:p w14:paraId="41F587C6" w14:textId="77777777" w:rsidR="00C95D7C" w:rsidRPr="00C95D7C" w:rsidRDefault="00C95D7C" w:rsidP="008E3CA6">
            <w:pPr>
              <w:keepNext/>
              <w:keepLines/>
              <w:spacing w:after="0" w:line="240" w:lineRule="auto"/>
              <w:jc w:val="center"/>
              <w:rPr>
                <w:rFonts w:ascii="Arial" w:hAnsi="Arial" w:cs="Arial"/>
                <w:sz w:val="16"/>
                <w:szCs w:val="16"/>
              </w:rPr>
            </w:pPr>
            <w:r w:rsidRPr="00C95D7C">
              <w:rPr>
                <w:rFonts w:ascii="Arial" w:hAnsi="Arial" w:cs="Arial"/>
                <w:sz w:val="16"/>
                <w:szCs w:val="16"/>
              </w:rPr>
              <w:t>2017</w:t>
            </w:r>
            <w:r w:rsidR="00F26A86">
              <w:rPr>
                <w:rFonts w:ascii="Arial" w:hAnsi="Arial" w:cs="Arial"/>
                <w:sz w:val="16"/>
                <w:szCs w:val="16"/>
              </w:rPr>
              <w:t>–</w:t>
            </w:r>
            <w:r w:rsidRPr="00C95D7C">
              <w:rPr>
                <w:rFonts w:ascii="Arial" w:hAnsi="Arial" w:cs="Arial"/>
                <w:sz w:val="16"/>
                <w:szCs w:val="16"/>
              </w:rPr>
              <w:t>18</w:t>
            </w:r>
          </w:p>
        </w:tc>
        <w:tc>
          <w:tcPr>
            <w:tcW w:w="828" w:type="pct"/>
            <w:gridSpan w:val="2"/>
            <w:tcBorders>
              <w:top w:val="single" w:sz="4" w:space="0" w:color="auto"/>
              <w:left w:val="nil"/>
              <w:bottom w:val="single" w:sz="4" w:space="0" w:color="auto"/>
              <w:right w:val="nil"/>
            </w:tcBorders>
            <w:shd w:val="clear" w:color="000000" w:fill="FFFFFF"/>
            <w:noWrap/>
            <w:vAlign w:val="center"/>
            <w:hideMark/>
          </w:tcPr>
          <w:p w14:paraId="0366A02C" w14:textId="77777777" w:rsidR="00C95D7C" w:rsidRPr="00C95D7C" w:rsidRDefault="00C95D7C" w:rsidP="008E3CA6">
            <w:pPr>
              <w:keepNext/>
              <w:keepLines/>
              <w:spacing w:after="0" w:line="240" w:lineRule="auto"/>
              <w:jc w:val="center"/>
              <w:rPr>
                <w:rFonts w:ascii="Arial" w:hAnsi="Arial" w:cs="Arial"/>
                <w:sz w:val="16"/>
                <w:szCs w:val="16"/>
              </w:rPr>
            </w:pPr>
            <w:r w:rsidRPr="00C95D7C">
              <w:rPr>
                <w:rFonts w:ascii="Arial" w:hAnsi="Arial" w:cs="Arial"/>
                <w:sz w:val="16"/>
                <w:szCs w:val="16"/>
              </w:rPr>
              <w:t>2018</w:t>
            </w:r>
            <w:r w:rsidR="00F26A86">
              <w:rPr>
                <w:rFonts w:ascii="Arial" w:hAnsi="Arial" w:cs="Arial"/>
                <w:sz w:val="16"/>
                <w:szCs w:val="16"/>
              </w:rPr>
              <w:t>–</w:t>
            </w:r>
            <w:r w:rsidRPr="00C95D7C">
              <w:rPr>
                <w:rFonts w:ascii="Arial" w:hAnsi="Arial" w:cs="Arial"/>
                <w:sz w:val="16"/>
                <w:szCs w:val="16"/>
              </w:rPr>
              <w:t>19</w:t>
            </w:r>
          </w:p>
        </w:tc>
        <w:tc>
          <w:tcPr>
            <w:tcW w:w="828" w:type="pct"/>
            <w:gridSpan w:val="2"/>
            <w:tcBorders>
              <w:top w:val="single" w:sz="4" w:space="0" w:color="auto"/>
              <w:left w:val="nil"/>
              <w:bottom w:val="single" w:sz="4" w:space="0" w:color="auto"/>
              <w:right w:val="nil"/>
            </w:tcBorders>
            <w:shd w:val="clear" w:color="000000" w:fill="F2F2F2"/>
            <w:noWrap/>
            <w:vAlign w:val="center"/>
            <w:hideMark/>
          </w:tcPr>
          <w:p w14:paraId="131B5CB4" w14:textId="77777777" w:rsidR="00C95D7C" w:rsidRPr="00C95D7C" w:rsidRDefault="00C95D7C" w:rsidP="008E3CA6">
            <w:pPr>
              <w:keepNext/>
              <w:keepLines/>
              <w:spacing w:after="0" w:line="240" w:lineRule="auto"/>
              <w:jc w:val="center"/>
              <w:rPr>
                <w:rFonts w:ascii="Arial" w:hAnsi="Arial" w:cs="Arial"/>
                <w:sz w:val="16"/>
                <w:szCs w:val="16"/>
              </w:rPr>
            </w:pPr>
            <w:r w:rsidRPr="00C95D7C">
              <w:rPr>
                <w:rFonts w:ascii="Arial" w:hAnsi="Arial" w:cs="Arial"/>
                <w:sz w:val="16"/>
                <w:szCs w:val="16"/>
              </w:rPr>
              <w:t>2019</w:t>
            </w:r>
            <w:r w:rsidR="00F26A86">
              <w:rPr>
                <w:rFonts w:ascii="Arial" w:hAnsi="Arial" w:cs="Arial"/>
                <w:sz w:val="16"/>
                <w:szCs w:val="16"/>
              </w:rPr>
              <w:t>–</w:t>
            </w:r>
            <w:r w:rsidRPr="00C95D7C">
              <w:rPr>
                <w:rFonts w:ascii="Arial" w:hAnsi="Arial" w:cs="Arial"/>
                <w:sz w:val="16"/>
                <w:szCs w:val="16"/>
              </w:rPr>
              <w:t>20</w:t>
            </w:r>
          </w:p>
        </w:tc>
      </w:tr>
      <w:tr w:rsidR="00C95D7C" w:rsidRPr="00C95D7C" w14:paraId="5D90F9D9" w14:textId="77777777" w:rsidTr="003A0934">
        <w:trPr>
          <w:trHeight w:val="227"/>
        </w:trPr>
        <w:tc>
          <w:tcPr>
            <w:tcW w:w="1689" w:type="pct"/>
            <w:tcBorders>
              <w:top w:val="nil"/>
              <w:left w:val="nil"/>
              <w:bottom w:val="single" w:sz="4" w:space="0" w:color="000000"/>
              <w:right w:val="nil"/>
            </w:tcBorders>
            <w:shd w:val="clear" w:color="000000" w:fill="FFFFFF"/>
            <w:noWrap/>
            <w:vAlign w:val="center"/>
            <w:hideMark/>
          </w:tcPr>
          <w:p w14:paraId="338C8E10"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Group</w:t>
            </w:r>
          </w:p>
        </w:tc>
        <w:tc>
          <w:tcPr>
            <w:tcW w:w="385" w:type="pct"/>
            <w:tcBorders>
              <w:top w:val="nil"/>
              <w:left w:val="nil"/>
              <w:bottom w:val="single" w:sz="4" w:space="0" w:color="000000"/>
              <w:right w:val="nil"/>
            </w:tcBorders>
            <w:shd w:val="clear" w:color="000000" w:fill="FFFFFF"/>
            <w:noWrap/>
            <w:vAlign w:val="center"/>
            <w:hideMark/>
          </w:tcPr>
          <w:p w14:paraId="3232CCF6"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No.</w:t>
            </w:r>
          </w:p>
        </w:tc>
        <w:tc>
          <w:tcPr>
            <w:tcW w:w="443" w:type="pct"/>
            <w:tcBorders>
              <w:top w:val="nil"/>
              <w:left w:val="nil"/>
              <w:bottom w:val="single" w:sz="4" w:space="0" w:color="000000"/>
              <w:right w:val="nil"/>
            </w:tcBorders>
            <w:shd w:val="clear" w:color="000000" w:fill="FFFFFF"/>
            <w:noWrap/>
            <w:vAlign w:val="center"/>
            <w:hideMark/>
          </w:tcPr>
          <w:p w14:paraId="61EDC857"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$b</w:t>
            </w:r>
          </w:p>
        </w:tc>
        <w:tc>
          <w:tcPr>
            <w:tcW w:w="414" w:type="pct"/>
            <w:tcBorders>
              <w:top w:val="nil"/>
              <w:left w:val="nil"/>
              <w:bottom w:val="single" w:sz="4" w:space="0" w:color="auto"/>
              <w:right w:val="nil"/>
            </w:tcBorders>
            <w:shd w:val="clear" w:color="000000" w:fill="FFFFFF"/>
            <w:vAlign w:val="center"/>
            <w:hideMark/>
          </w:tcPr>
          <w:p w14:paraId="7A2B9CAD" w14:textId="77777777" w:rsidR="00C95D7C" w:rsidRPr="00C95D7C" w:rsidRDefault="00C95D7C" w:rsidP="008E3CA6">
            <w:pPr>
              <w:keepNext/>
              <w:keepLines/>
              <w:spacing w:after="0" w:line="240" w:lineRule="auto"/>
              <w:jc w:val="right"/>
              <w:rPr>
                <w:rFonts w:ascii="Arial" w:hAnsi="Arial" w:cs="Arial"/>
                <w:sz w:val="16"/>
                <w:szCs w:val="16"/>
              </w:rPr>
            </w:pPr>
            <w:r w:rsidRPr="00C95D7C">
              <w:rPr>
                <w:rFonts w:ascii="Arial" w:hAnsi="Arial" w:cs="Arial"/>
                <w:sz w:val="16"/>
                <w:szCs w:val="16"/>
              </w:rPr>
              <w:t>No.</w:t>
            </w:r>
          </w:p>
        </w:tc>
        <w:tc>
          <w:tcPr>
            <w:tcW w:w="414" w:type="pct"/>
            <w:tcBorders>
              <w:top w:val="nil"/>
              <w:left w:val="nil"/>
              <w:bottom w:val="single" w:sz="4" w:space="0" w:color="auto"/>
              <w:right w:val="nil"/>
            </w:tcBorders>
            <w:shd w:val="clear" w:color="000000" w:fill="FFFFFF"/>
            <w:vAlign w:val="center"/>
            <w:hideMark/>
          </w:tcPr>
          <w:p w14:paraId="76268857" w14:textId="77777777" w:rsidR="00C95D7C" w:rsidRPr="00C95D7C" w:rsidRDefault="00C95D7C" w:rsidP="008E3CA6">
            <w:pPr>
              <w:keepNext/>
              <w:keepLines/>
              <w:spacing w:after="0" w:line="240" w:lineRule="auto"/>
              <w:jc w:val="right"/>
              <w:rPr>
                <w:rFonts w:ascii="Arial" w:hAnsi="Arial" w:cs="Arial"/>
                <w:sz w:val="16"/>
                <w:szCs w:val="16"/>
              </w:rPr>
            </w:pPr>
            <w:r w:rsidRPr="00C95D7C">
              <w:rPr>
                <w:rFonts w:ascii="Arial" w:hAnsi="Arial" w:cs="Arial"/>
                <w:sz w:val="16"/>
                <w:szCs w:val="16"/>
              </w:rPr>
              <w:t>$b</w:t>
            </w:r>
          </w:p>
        </w:tc>
        <w:tc>
          <w:tcPr>
            <w:tcW w:w="414" w:type="pct"/>
            <w:tcBorders>
              <w:top w:val="nil"/>
              <w:left w:val="nil"/>
              <w:bottom w:val="single" w:sz="4" w:space="0" w:color="auto"/>
              <w:right w:val="nil"/>
            </w:tcBorders>
            <w:shd w:val="clear" w:color="000000" w:fill="FFFFFF"/>
            <w:vAlign w:val="center"/>
            <w:hideMark/>
          </w:tcPr>
          <w:p w14:paraId="3F49563C" w14:textId="77777777" w:rsidR="00C95D7C" w:rsidRPr="00C95D7C" w:rsidRDefault="00C95D7C" w:rsidP="008E3CA6">
            <w:pPr>
              <w:keepNext/>
              <w:keepLines/>
              <w:spacing w:after="0" w:line="240" w:lineRule="auto"/>
              <w:jc w:val="right"/>
              <w:rPr>
                <w:rFonts w:ascii="Arial" w:hAnsi="Arial" w:cs="Arial"/>
                <w:sz w:val="16"/>
                <w:szCs w:val="16"/>
              </w:rPr>
            </w:pPr>
            <w:r w:rsidRPr="00C95D7C">
              <w:rPr>
                <w:rFonts w:ascii="Arial" w:hAnsi="Arial" w:cs="Arial"/>
                <w:sz w:val="16"/>
                <w:szCs w:val="16"/>
              </w:rPr>
              <w:t>No.</w:t>
            </w:r>
          </w:p>
        </w:tc>
        <w:tc>
          <w:tcPr>
            <w:tcW w:w="414" w:type="pct"/>
            <w:tcBorders>
              <w:top w:val="nil"/>
              <w:left w:val="nil"/>
              <w:bottom w:val="single" w:sz="4" w:space="0" w:color="auto"/>
              <w:right w:val="nil"/>
            </w:tcBorders>
            <w:shd w:val="clear" w:color="000000" w:fill="FFFFFF"/>
            <w:vAlign w:val="center"/>
            <w:hideMark/>
          </w:tcPr>
          <w:p w14:paraId="7B7E1389" w14:textId="77777777" w:rsidR="00C95D7C" w:rsidRPr="00C95D7C" w:rsidRDefault="00C95D7C" w:rsidP="008E3CA6">
            <w:pPr>
              <w:keepNext/>
              <w:keepLines/>
              <w:spacing w:after="0" w:line="240" w:lineRule="auto"/>
              <w:jc w:val="right"/>
              <w:rPr>
                <w:rFonts w:ascii="Arial" w:hAnsi="Arial" w:cs="Arial"/>
                <w:sz w:val="16"/>
                <w:szCs w:val="16"/>
              </w:rPr>
            </w:pPr>
            <w:r w:rsidRPr="00C95D7C">
              <w:rPr>
                <w:rFonts w:ascii="Arial" w:hAnsi="Arial" w:cs="Arial"/>
                <w:sz w:val="16"/>
                <w:szCs w:val="16"/>
              </w:rPr>
              <w:t>$b</w:t>
            </w:r>
          </w:p>
        </w:tc>
        <w:tc>
          <w:tcPr>
            <w:tcW w:w="414" w:type="pct"/>
            <w:tcBorders>
              <w:top w:val="nil"/>
              <w:left w:val="nil"/>
              <w:bottom w:val="single" w:sz="4" w:space="0" w:color="auto"/>
              <w:right w:val="nil"/>
            </w:tcBorders>
            <w:shd w:val="clear" w:color="000000" w:fill="F2F2F2"/>
            <w:vAlign w:val="center"/>
            <w:hideMark/>
          </w:tcPr>
          <w:p w14:paraId="2EC06382" w14:textId="77777777" w:rsidR="00C95D7C" w:rsidRPr="00C95D7C" w:rsidRDefault="00C95D7C" w:rsidP="008E3CA6">
            <w:pPr>
              <w:keepNext/>
              <w:keepLines/>
              <w:spacing w:after="0" w:line="240" w:lineRule="auto"/>
              <w:jc w:val="right"/>
              <w:rPr>
                <w:rFonts w:ascii="Arial" w:hAnsi="Arial" w:cs="Arial"/>
                <w:sz w:val="16"/>
                <w:szCs w:val="16"/>
              </w:rPr>
            </w:pPr>
            <w:r w:rsidRPr="00C95D7C">
              <w:rPr>
                <w:rFonts w:ascii="Arial" w:hAnsi="Arial" w:cs="Arial"/>
                <w:sz w:val="16"/>
                <w:szCs w:val="16"/>
              </w:rPr>
              <w:t>No.</w:t>
            </w:r>
          </w:p>
        </w:tc>
        <w:tc>
          <w:tcPr>
            <w:tcW w:w="414" w:type="pct"/>
            <w:tcBorders>
              <w:top w:val="nil"/>
              <w:left w:val="nil"/>
              <w:bottom w:val="single" w:sz="4" w:space="0" w:color="auto"/>
              <w:right w:val="nil"/>
            </w:tcBorders>
            <w:shd w:val="clear" w:color="000000" w:fill="F2F2F2"/>
            <w:vAlign w:val="center"/>
            <w:hideMark/>
          </w:tcPr>
          <w:p w14:paraId="25B64C11" w14:textId="77777777" w:rsidR="00C95D7C" w:rsidRPr="00C95D7C" w:rsidRDefault="00C95D7C" w:rsidP="008E3CA6">
            <w:pPr>
              <w:keepNext/>
              <w:keepLines/>
              <w:spacing w:after="0" w:line="240" w:lineRule="auto"/>
              <w:jc w:val="right"/>
              <w:rPr>
                <w:rFonts w:ascii="Arial" w:hAnsi="Arial" w:cs="Arial"/>
                <w:sz w:val="16"/>
                <w:szCs w:val="16"/>
              </w:rPr>
            </w:pPr>
            <w:r w:rsidRPr="00C95D7C">
              <w:rPr>
                <w:rFonts w:ascii="Arial" w:hAnsi="Arial" w:cs="Arial"/>
                <w:sz w:val="16"/>
                <w:szCs w:val="16"/>
              </w:rPr>
              <w:t>$b</w:t>
            </w:r>
          </w:p>
        </w:tc>
      </w:tr>
      <w:tr w:rsidR="00C95D7C" w:rsidRPr="00C95D7C" w14:paraId="3AA1A4E9" w14:textId="77777777" w:rsidTr="003A0934">
        <w:trPr>
          <w:trHeight w:val="227"/>
        </w:trPr>
        <w:tc>
          <w:tcPr>
            <w:tcW w:w="1689" w:type="pct"/>
            <w:tcBorders>
              <w:top w:val="nil"/>
              <w:left w:val="nil"/>
              <w:bottom w:val="nil"/>
              <w:right w:val="nil"/>
            </w:tcBorders>
            <w:shd w:val="clear" w:color="000000" w:fill="FFFFFF"/>
            <w:noWrap/>
            <w:vAlign w:val="center"/>
            <w:hideMark/>
          </w:tcPr>
          <w:p w14:paraId="1DCDD339"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Coal</w:t>
            </w:r>
          </w:p>
        </w:tc>
        <w:tc>
          <w:tcPr>
            <w:tcW w:w="385" w:type="pct"/>
            <w:tcBorders>
              <w:top w:val="nil"/>
              <w:left w:val="nil"/>
              <w:bottom w:val="nil"/>
              <w:right w:val="nil"/>
            </w:tcBorders>
            <w:shd w:val="clear" w:color="000000" w:fill="FFFFFF"/>
            <w:noWrap/>
            <w:vAlign w:val="center"/>
            <w:hideMark/>
          </w:tcPr>
          <w:p w14:paraId="7C2CFFE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24</w:t>
            </w:r>
          </w:p>
        </w:tc>
        <w:tc>
          <w:tcPr>
            <w:tcW w:w="443" w:type="pct"/>
            <w:tcBorders>
              <w:top w:val="nil"/>
              <w:left w:val="nil"/>
              <w:bottom w:val="nil"/>
              <w:right w:val="nil"/>
            </w:tcBorders>
            <w:shd w:val="clear" w:color="000000" w:fill="FFFFFF"/>
            <w:noWrap/>
            <w:vAlign w:val="center"/>
            <w:hideMark/>
          </w:tcPr>
          <w:p w14:paraId="65633F93"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5.5</w:t>
            </w:r>
          </w:p>
        </w:tc>
        <w:tc>
          <w:tcPr>
            <w:tcW w:w="414" w:type="pct"/>
            <w:tcBorders>
              <w:top w:val="nil"/>
              <w:left w:val="nil"/>
              <w:bottom w:val="nil"/>
              <w:right w:val="nil"/>
            </w:tcBorders>
            <w:shd w:val="clear" w:color="000000" w:fill="FFFFFF"/>
            <w:noWrap/>
            <w:vAlign w:val="center"/>
            <w:hideMark/>
          </w:tcPr>
          <w:p w14:paraId="2B8ADCD2"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23</w:t>
            </w:r>
          </w:p>
        </w:tc>
        <w:tc>
          <w:tcPr>
            <w:tcW w:w="414" w:type="pct"/>
            <w:tcBorders>
              <w:top w:val="nil"/>
              <w:left w:val="nil"/>
              <w:bottom w:val="nil"/>
              <w:right w:val="nil"/>
            </w:tcBorders>
            <w:shd w:val="clear" w:color="000000" w:fill="FFFFFF"/>
            <w:noWrap/>
            <w:vAlign w:val="center"/>
            <w:hideMark/>
          </w:tcPr>
          <w:p w14:paraId="094625C8"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8.5</w:t>
            </w:r>
          </w:p>
        </w:tc>
        <w:tc>
          <w:tcPr>
            <w:tcW w:w="414" w:type="pct"/>
            <w:tcBorders>
              <w:top w:val="nil"/>
              <w:left w:val="nil"/>
              <w:bottom w:val="nil"/>
              <w:right w:val="nil"/>
            </w:tcBorders>
            <w:shd w:val="clear" w:color="000000" w:fill="FFFFFF"/>
            <w:noWrap/>
            <w:vAlign w:val="center"/>
            <w:hideMark/>
          </w:tcPr>
          <w:p w14:paraId="632413B0"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37</w:t>
            </w:r>
          </w:p>
        </w:tc>
        <w:tc>
          <w:tcPr>
            <w:tcW w:w="414" w:type="pct"/>
            <w:tcBorders>
              <w:top w:val="nil"/>
              <w:left w:val="nil"/>
              <w:bottom w:val="nil"/>
              <w:right w:val="nil"/>
            </w:tcBorders>
            <w:shd w:val="clear" w:color="000000" w:fill="FFFFFF"/>
            <w:noWrap/>
            <w:vAlign w:val="center"/>
            <w:hideMark/>
          </w:tcPr>
          <w:p w14:paraId="7A14435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6.5</w:t>
            </w:r>
          </w:p>
        </w:tc>
        <w:tc>
          <w:tcPr>
            <w:tcW w:w="414" w:type="pct"/>
            <w:tcBorders>
              <w:top w:val="nil"/>
              <w:left w:val="nil"/>
              <w:bottom w:val="nil"/>
              <w:right w:val="nil"/>
            </w:tcBorders>
            <w:shd w:val="clear" w:color="000000" w:fill="F2F2F2"/>
            <w:noWrap/>
            <w:vAlign w:val="center"/>
            <w:hideMark/>
          </w:tcPr>
          <w:p w14:paraId="76676858"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27</w:t>
            </w:r>
          </w:p>
        </w:tc>
        <w:tc>
          <w:tcPr>
            <w:tcW w:w="414" w:type="pct"/>
            <w:tcBorders>
              <w:top w:val="nil"/>
              <w:left w:val="nil"/>
              <w:bottom w:val="nil"/>
              <w:right w:val="nil"/>
            </w:tcBorders>
            <w:shd w:val="clear" w:color="000000" w:fill="F2F2F2"/>
            <w:noWrap/>
            <w:vAlign w:val="center"/>
            <w:hideMark/>
          </w:tcPr>
          <w:p w14:paraId="781AE3CA"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1.3</w:t>
            </w:r>
          </w:p>
        </w:tc>
      </w:tr>
      <w:tr w:rsidR="00C95D7C" w:rsidRPr="00C95D7C" w14:paraId="6285F4E5" w14:textId="77777777" w:rsidTr="003A0934">
        <w:trPr>
          <w:trHeight w:val="227"/>
        </w:trPr>
        <w:tc>
          <w:tcPr>
            <w:tcW w:w="1689" w:type="pct"/>
            <w:tcBorders>
              <w:top w:val="nil"/>
              <w:left w:val="nil"/>
              <w:bottom w:val="nil"/>
              <w:right w:val="nil"/>
            </w:tcBorders>
            <w:shd w:val="clear" w:color="000000" w:fill="FFFFFF"/>
            <w:noWrap/>
            <w:vAlign w:val="center"/>
            <w:hideMark/>
          </w:tcPr>
          <w:p w14:paraId="6640411B"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Oil &amp; gas extraction</w:t>
            </w:r>
          </w:p>
        </w:tc>
        <w:tc>
          <w:tcPr>
            <w:tcW w:w="385" w:type="pct"/>
            <w:tcBorders>
              <w:top w:val="nil"/>
              <w:left w:val="nil"/>
              <w:bottom w:val="nil"/>
              <w:right w:val="nil"/>
            </w:tcBorders>
            <w:shd w:val="clear" w:color="000000" w:fill="FFFFFF"/>
            <w:noWrap/>
            <w:vAlign w:val="center"/>
            <w:hideMark/>
          </w:tcPr>
          <w:p w14:paraId="4A0E871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17</w:t>
            </w:r>
          </w:p>
        </w:tc>
        <w:tc>
          <w:tcPr>
            <w:tcW w:w="443" w:type="pct"/>
            <w:tcBorders>
              <w:top w:val="nil"/>
              <w:left w:val="nil"/>
              <w:bottom w:val="nil"/>
              <w:right w:val="nil"/>
            </w:tcBorders>
            <w:shd w:val="clear" w:color="000000" w:fill="FFFFFF"/>
            <w:noWrap/>
            <w:vAlign w:val="center"/>
            <w:hideMark/>
          </w:tcPr>
          <w:p w14:paraId="2A608459"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1.1</w:t>
            </w:r>
          </w:p>
        </w:tc>
        <w:tc>
          <w:tcPr>
            <w:tcW w:w="414" w:type="pct"/>
            <w:tcBorders>
              <w:top w:val="nil"/>
              <w:left w:val="nil"/>
              <w:bottom w:val="nil"/>
              <w:right w:val="nil"/>
            </w:tcBorders>
            <w:shd w:val="clear" w:color="000000" w:fill="FFFFFF"/>
            <w:noWrap/>
            <w:vAlign w:val="center"/>
            <w:hideMark/>
          </w:tcPr>
          <w:p w14:paraId="53C216C2"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20</w:t>
            </w:r>
          </w:p>
        </w:tc>
        <w:tc>
          <w:tcPr>
            <w:tcW w:w="414" w:type="pct"/>
            <w:tcBorders>
              <w:top w:val="nil"/>
              <w:left w:val="nil"/>
              <w:bottom w:val="nil"/>
              <w:right w:val="nil"/>
            </w:tcBorders>
            <w:shd w:val="clear" w:color="000000" w:fill="FFFFFF"/>
            <w:noWrap/>
            <w:vAlign w:val="center"/>
            <w:hideMark/>
          </w:tcPr>
          <w:p w14:paraId="57EFF4C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1.6</w:t>
            </w:r>
          </w:p>
        </w:tc>
        <w:tc>
          <w:tcPr>
            <w:tcW w:w="414" w:type="pct"/>
            <w:tcBorders>
              <w:top w:val="nil"/>
              <w:left w:val="nil"/>
              <w:bottom w:val="nil"/>
              <w:right w:val="nil"/>
            </w:tcBorders>
            <w:shd w:val="clear" w:color="000000" w:fill="FFFFFF"/>
            <w:noWrap/>
            <w:vAlign w:val="center"/>
            <w:hideMark/>
          </w:tcPr>
          <w:p w14:paraId="2B8F64F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17</w:t>
            </w:r>
          </w:p>
        </w:tc>
        <w:tc>
          <w:tcPr>
            <w:tcW w:w="414" w:type="pct"/>
            <w:tcBorders>
              <w:top w:val="nil"/>
              <w:left w:val="nil"/>
              <w:bottom w:val="nil"/>
              <w:right w:val="nil"/>
            </w:tcBorders>
            <w:shd w:val="clear" w:color="000000" w:fill="FFFFFF"/>
            <w:noWrap/>
            <w:vAlign w:val="center"/>
            <w:hideMark/>
          </w:tcPr>
          <w:p w14:paraId="37223C2A"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4.1</w:t>
            </w:r>
          </w:p>
        </w:tc>
        <w:tc>
          <w:tcPr>
            <w:tcW w:w="414" w:type="pct"/>
            <w:tcBorders>
              <w:top w:val="nil"/>
              <w:left w:val="nil"/>
              <w:bottom w:val="nil"/>
              <w:right w:val="nil"/>
            </w:tcBorders>
            <w:shd w:val="clear" w:color="000000" w:fill="F2F2F2"/>
            <w:noWrap/>
            <w:vAlign w:val="center"/>
            <w:hideMark/>
          </w:tcPr>
          <w:p w14:paraId="376AF392"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14</w:t>
            </w:r>
          </w:p>
        </w:tc>
        <w:tc>
          <w:tcPr>
            <w:tcW w:w="414" w:type="pct"/>
            <w:tcBorders>
              <w:top w:val="nil"/>
              <w:left w:val="nil"/>
              <w:bottom w:val="nil"/>
              <w:right w:val="nil"/>
            </w:tcBorders>
            <w:shd w:val="clear" w:color="000000" w:fill="F2F2F2"/>
            <w:noWrap/>
            <w:vAlign w:val="center"/>
            <w:hideMark/>
          </w:tcPr>
          <w:p w14:paraId="1D0EF97D"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2.5</w:t>
            </w:r>
          </w:p>
        </w:tc>
      </w:tr>
      <w:tr w:rsidR="00C95D7C" w:rsidRPr="00C95D7C" w14:paraId="35560F82" w14:textId="77777777" w:rsidTr="003A0934">
        <w:trPr>
          <w:trHeight w:val="227"/>
        </w:trPr>
        <w:tc>
          <w:tcPr>
            <w:tcW w:w="1689" w:type="pct"/>
            <w:tcBorders>
              <w:top w:val="nil"/>
              <w:left w:val="nil"/>
              <w:bottom w:val="nil"/>
              <w:right w:val="nil"/>
            </w:tcBorders>
            <w:shd w:val="clear" w:color="000000" w:fill="FFFFFF"/>
            <w:noWrap/>
            <w:vAlign w:val="center"/>
            <w:hideMark/>
          </w:tcPr>
          <w:p w14:paraId="4810CFC8"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Metallic minerals</w:t>
            </w:r>
          </w:p>
        </w:tc>
        <w:tc>
          <w:tcPr>
            <w:tcW w:w="385" w:type="pct"/>
            <w:tcBorders>
              <w:top w:val="nil"/>
              <w:left w:val="nil"/>
              <w:bottom w:val="nil"/>
              <w:right w:val="nil"/>
            </w:tcBorders>
            <w:shd w:val="clear" w:color="000000" w:fill="FFFFFF"/>
            <w:noWrap/>
            <w:vAlign w:val="center"/>
            <w:hideMark/>
          </w:tcPr>
          <w:p w14:paraId="47FFF649"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73</w:t>
            </w:r>
          </w:p>
        </w:tc>
        <w:tc>
          <w:tcPr>
            <w:tcW w:w="443" w:type="pct"/>
            <w:tcBorders>
              <w:top w:val="nil"/>
              <w:left w:val="nil"/>
              <w:bottom w:val="nil"/>
              <w:right w:val="nil"/>
            </w:tcBorders>
            <w:shd w:val="clear" w:color="000000" w:fill="FFFFFF"/>
            <w:noWrap/>
            <w:vAlign w:val="center"/>
            <w:hideMark/>
          </w:tcPr>
          <w:p w14:paraId="41982510"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6.3</w:t>
            </w:r>
          </w:p>
        </w:tc>
        <w:tc>
          <w:tcPr>
            <w:tcW w:w="414" w:type="pct"/>
            <w:tcBorders>
              <w:top w:val="nil"/>
              <w:left w:val="nil"/>
              <w:bottom w:val="nil"/>
              <w:right w:val="nil"/>
            </w:tcBorders>
            <w:shd w:val="clear" w:color="000000" w:fill="FFFFFF"/>
            <w:noWrap/>
            <w:vAlign w:val="center"/>
            <w:hideMark/>
          </w:tcPr>
          <w:p w14:paraId="04D2A8CA"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51</w:t>
            </w:r>
          </w:p>
        </w:tc>
        <w:tc>
          <w:tcPr>
            <w:tcW w:w="414" w:type="pct"/>
            <w:tcBorders>
              <w:top w:val="nil"/>
              <w:left w:val="nil"/>
              <w:bottom w:val="nil"/>
              <w:right w:val="nil"/>
            </w:tcBorders>
            <w:shd w:val="clear" w:color="000000" w:fill="FFFFFF"/>
            <w:noWrap/>
            <w:vAlign w:val="center"/>
            <w:hideMark/>
          </w:tcPr>
          <w:p w14:paraId="20A1F5EC"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4.9</w:t>
            </w:r>
          </w:p>
        </w:tc>
        <w:tc>
          <w:tcPr>
            <w:tcW w:w="414" w:type="pct"/>
            <w:tcBorders>
              <w:top w:val="nil"/>
              <w:left w:val="nil"/>
              <w:bottom w:val="nil"/>
              <w:right w:val="nil"/>
            </w:tcBorders>
            <w:shd w:val="clear" w:color="000000" w:fill="FFFFFF"/>
            <w:noWrap/>
            <w:vAlign w:val="center"/>
            <w:hideMark/>
          </w:tcPr>
          <w:p w14:paraId="00641C7B"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43</w:t>
            </w:r>
          </w:p>
        </w:tc>
        <w:tc>
          <w:tcPr>
            <w:tcW w:w="414" w:type="pct"/>
            <w:tcBorders>
              <w:top w:val="nil"/>
              <w:left w:val="nil"/>
              <w:bottom w:val="nil"/>
              <w:right w:val="nil"/>
            </w:tcBorders>
            <w:shd w:val="clear" w:color="000000" w:fill="FFFFFF"/>
            <w:noWrap/>
            <w:vAlign w:val="center"/>
            <w:hideMark/>
          </w:tcPr>
          <w:p w14:paraId="1BA54193"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4.6</w:t>
            </w:r>
          </w:p>
        </w:tc>
        <w:tc>
          <w:tcPr>
            <w:tcW w:w="414" w:type="pct"/>
            <w:tcBorders>
              <w:top w:val="nil"/>
              <w:left w:val="nil"/>
              <w:bottom w:val="nil"/>
              <w:right w:val="nil"/>
            </w:tcBorders>
            <w:shd w:val="clear" w:color="000000" w:fill="F2F2F2"/>
            <w:noWrap/>
            <w:vAlign w:val="center"/>
            <w:hideMark/>
          </w:tcPr>
          <w:p w14:paraId="2DD1624C"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34</w:t>
            </w:r>
          </w:p>
        </w:tc>
        <w:tc>
          <w:tcPr>
            <w:tcW w:w="414" w:type="pct"/>
            <w:tcBorders>
              <w:top w:val="nil"/>
              <w:left w:val="nil"/>
              <w:bottom w:val="nil"/>
              <w:right w:val="nil"/>
            </w:tcBorders>
            <w:shd w:val="clear" w:color="000000" w:fill="F2F2F2"/>
            <w:noWrap/>
            <w:vAlign w:val="center"/>
            <w:hideMark/>
          </w:tcPr>
          <w:p w14:paraId="54B4C0D2"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3.1</w:t>
            </w:r>
          </w:p>
        </w:tc>
      </w:tr>
      <w:tr w:rsidR="00C95D7C" w:rsidRPr="00C95D7C" w14:paraId="6EB8E227" w14:textId="77777777" w:rsidTr="003A0934">
        <w:trPr>
          <w:trHeight w:val="227"/>
        </w:trPr>
        <w:tc>
          <w:tcPr>
            <w:tcW w:w="1689" w:type="pct"/>
            <w:tcBorders>
              <w:top w:val="nil"/>
              <w:left w:val="nil"/>
              <w:bottom w:val="nil"/>
              <w:right w:val="nil"/>
            </w:tcBorders>
            <w:shd w:val="clear" w:color="000000" w:fill="FFFFFF"/>
            <w:vAlign w:val="center"/>
            <w:hideMark/>
          </w:tcPr>
          <w:p w14:paraId="419DB230" w14:textId="708CA6D6"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Non</w:t>
            </w:r>
            <w:r w:rsidR="00BD4D19">
              <w:rPr>
                <w:rFonts w:ascii="Arial" w:hAnsi="Arial" w:cs="Arial"/>
                <w:color w:val="auto"/>
                <w:sz w:val="16"/>
                <w:szCs w:val="16"/>
              </w:rPr>
              <w:noBreakHyphen/>
            </w:r>
            <w:r w:rsidRPr="00C95D7C">
              <w:rPr>
                <w:rFonts w:ascii="Arial" w:hAnsi="Arial" w:cs="Arial"/>
                <w:color w:val="auto"/>
                <w:sz w:val="16"/>
                <w:szCs w:val="16"/>
              </w:rPr>
              <w:t>metallic minerals mining and quarrying</w:t>
            </w:r>
          </w:p>
        </w:tc>
        <w:tc>
          <w:tcPr>
            <w:tcW w:w="385" w:type="pct"/>
            <w:tcBorders>
              <w:top w:val="nil"/>
              <w:left w:val="nil"/>
              <w:bottom w:val="nil"/>
              <w:right w:val="nil"/>
            </w:tcBorders>
            <w:shd w:val="clear" w:color="000000" w:fill="FFFFFF"/>
            <w:noWrap/>
            <w:vAlign w:val="center"/>
            <w:hideMark/>
          </w:tcPr>
          <w:p w14:paraId="59C9AB9C"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w:t>
            </w:r>
          </w:p>
        </w:tc>
        <w:tc>
          <w:tcPr>
            <w:tcW w:w="443" w:type="pct"/>
            <w:tcBorders>
              <w:top w:val="nil"/>
              <w:left w:val="nil"/>
              <w:bottom w:val="nil"/>
              <w:right w:val="nil"/>
            </w:tcBorders>
            <w:shd w:val="clear" w:color="000000" w:fill="FFFFFF"/>
            <w:noWrap/>
            <w:vAlign w:val="center"/>
            <w:hideMark/>
          </w:tcPr>
          <w:p w14:paraId="28C96726"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0.2</w:t>
            </w:r>
          </w:p>
        </w:tc>
        <w:tc>
          <w:tcPr>
            <w:tcW w:w="414" w:type="pct"/>
            <w:tcBorders>
              <w:top w:val="nil"/>
              <w:left w:val="nil"/>
              <w:bottom w:val="nil"/>
              <w:right w:val="nil"/>
            </w:tcBorders>
            <w:shd w:val="clear" w:color="000000" w:fill="FFFFFF"/>
            <w:noWrap/>
            <w:vAlign w:val="center"/>
            <w:hideMark/>
          </w:tcPr>
          <w:p w14:paraId="5186F0B9"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w:t>
            </w:r>
          </w:p>
        </w:tc>
        <w:tc>
          <w:tcPr>
            <w:tcW w:w="414" w:type="pct"/>
            <w:tcBorders>
              <w:top w:val="nil"/>
              <w:left w:val="nil"/>
              <w:bottom w:val="nil"/>
              <w:right w:val="nil"/>
            </w:tcBorders>
            <w:shd w:val="clear" w:color="000000" w:fill="FFFFFF"/>
            <w:noWrap/>
            <w:vAlign w:val="center"/>
            <w:hideMark/>
          </w:tcPr>
          <w:p w14:paraId="40CDD3D5" w14:textId="3A0FB8DE" w:rsidR="00C95D7C" w:rsidRPr="00C95D7C" w:rsidRDefault="00BD4D19" w:rsidP="008E3CA6">
            <w:pPr>
              <w:keepNext/>
              <w:keepLines/>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414" w:type="pct"/>
            <w:tcBorders>
              <w:top w:val="nil"/>
              <w:left w:val="nil"/>
              <w:bottom w:val="nil"/>
              <w:right w:val="nil"/>
            </w:tcBorders>
            <w:shd w:val="clear" w:color="000000" w:fill="FFFFFF"/>
            <w:noWrap/>
            <w:vAlign w:val="center"/>
            <w:hideMark/>
          </w:tcPr>
          <w:p w14:paraId="33445810"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w:t>
            </w:r>
          </w:p>
        </w:tc>
        <w:tc>
          <w:tcPr>
            <w:tcW w:w="414" w:type="pct"/>
            <w:tcBorders>
              <w:top w:val="nil"/>
              <w:left w:val="nil"/>
              <w:bottom w:val="nil"/>
              <w:right w:val="nil"/>
            </w:tcBorders>
            <w:shd w:val="clear" w:color="000000" w:fill="FFFFFF"/>
            <w:noWrap/>
            <w:vAlign w:val="center"/>
            <w:hideMark/>
          </w:tcPr>
          <w:p w14:paraId="5FF334CD"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0.8</w:t>
            </w:r>
          </w:p>
        </w:tc>
        <w:tc>
          <w:tcPr>
            <w:tcW w:w="414" w:type="pct"/>
            <w:tcBorders>
              <w:top w:val="nil"/>
              <w:left w:val="nil"/>
              <w:bottom w:val="nil"/>
              <w:right w:val="nil"/>
            </w:tcBorders>
            <w:shd w:val="clear" w:color="000000" w:fill="F2F2F2"/>
            <w:noWrap/>
            <w:vAlign w:val="center"/>
            <w:hideMark/>
          </w:tcPr>
          <w:p w14:paraId="103D9842"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7</w:t>
            </w:r>
          </w:p>
        </w:tc>
        <w:tc>
          <w:tcPr>
            <w:tcW w:w="414" w:type="pct"/>
            <w:tcBorders>
              <w:top w:val="nil"/>
              <w:left w:val="nil"/>
              <w:bottom w:val="nil"/>
              <w:right w:val="nil"/>
            </w:tcBorders>
            <w:shd w:val="clear" w:color="000000" w:fill="F2F2F2"/>
            <w:noWrap/>
            <w:vAlign w:val="center"/>
            <w:hideMark/>
          </w:tcPr>
          <w:p w14:paraId="2606D227"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0.1</w:t>
            </w:r>
          </w:p>
        </w:tc>
      </w:tr>
      <w:tr w:rsidR="00C95D7C" w:rsidRPr="00C95D7C" w14:paraId="22A81A4D" w14:textId="77777777" w:rsidTr="003A0934">
        <w:trPr>
          <w:trHeight w:val="227"/>
        </w:trPr>
        <w:tc>
          <w:tcPr>
            <w:tcW w:w="1689" w:type="pct"/>
            <w:tcBorders>
              <w:top w:val="nil"/>
              <w:left w:val="nil"/>
              <w:bottom w:val="nil"/>
              <w:right w:val="nil"/>
            </w:tcBorders>
            <w:shd w:val="clear" w:color="000000" w:fill="FFFFFF"/>
            <w:vAlign w:val="center"/>
            <w:hideMark/>
          </w:tcPr>
          <w:p w14:paraId="45C8F704"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Exploration and other mining support services</w:t>
            </w:r>
          </w:p>
        </w:tc>
        <w:tc>
          <w:tcPr>
            <w:tcW w:w="385" w:type="pct"/>
            <w:tcBorders>
              <w:top w:val="nil"/>
              <w:left w:val="nil"/>
              <w:bottom w:val="single" w:sz="4" w:space="0" w:color="000000"/>
              <w:right w:val="nil"/>
            </w:tcBorders>
            <w:shd w:val="clear" w:color="000000" w:fill="FFFFFF"/>
            <w:noWrap/>
            <w:vAlign w:val="bottom"/>
            <w:hideMark/>
          </w:tcPr>
          <w:p w14:paraId="49B9303D"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22</w:t>
            </w:r>
          </w:p>
        </w:tc>
        <w:tc>
          <w:tcPr>
            <w:tcW w:w="443" w:type="pct"/>
            <w:tcBorders>
              <w:top w:val="nil"/>
              <w:left w:val="nil"/>
              <w:bottom w:val="single" w:sz="4" w:space="0" w:color="000000"/>
              <w:right w:val="nil"/>
            </w:tcBorders>
            <w:shd w:val="clear" w:color="000000" w:fill="FFFFFF"/>
            <w:noWrap/>
            <w:vAlign w:val="bottom"/>
            <w:hideMark/>
          </w:tcPr>
          <w:p w14:paraId="607C818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2.8</w:t>
            </w:r>
          </w:p>
        </w:tc>
        <w:tc>
          <w:tcPr>
            <w:tcW w:w="414" w:type="pct"/>
            <w:tcBorders>
              <w:top w:val="nil"/>
              <w:left w:val="nil"/>
              <w:bottom w:val="single" w:sz="4" w:space="0" w:color="000000"/>
              <w:right w:val="nil"/>
            </w:tcBorders>
            <w:shd w:val="clear" w:color="000000" w:fill="FFFFFF"/>
            <w:noWrap/>
            <w:vAlign w:val="bottom"/>
            <w:hideMark/>
          </w:tcPr>
          <w:p w14:paraId="238305EB"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18</w:t>
            </w:r>
          </w:p>
        </w:tc>
        <w:tc>
          <w:tcPr>
            <w:tcW w:w="414" w:type="pct"/>
            <w:tcBorders>
              <w:top w:val="nil"/>
              <w:left w:val="nil"/>
              <w:bottom w:val="single" w:sz="4" w:space="0" w:color="000000"/>
              <w:right w:val="nil"/>
            </w:tcBorders>
            <w:shd w:val="clear" w:color="000000" w:fill="FFFFFF"/>
            <w:noWrap/>
            <w:vAlign w:val="bottom"/>
            <w:hideMark/>
          </w:tcPr>
          <w:p w14:paraId="7486E056"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2.4</w:t>
            </w:r>
          </w:p>
        </w:tc>
        <w:tc>
          <w:tcPr>
            <w:tcW w:w="414" w:type="pct"/>
            <w:tcBorders>
              <w:top w:val="nil"/>
              <w:left w:val="nil"/>
              <w:bottom w:val="single" w:sz="4" w:space="0" w:color="000000"/>
              <w:right w:val="nil"/>
            </w:tcBorders>
            <w:shd w:val="clear" w:color="000000" w:fill="FFFFFF"/>
            <w:noWrap/>
            <w:vAlign w:val="bottom"/>
            <w:hideMark/>
          </w:tcPr>
          <w:p w14:paraId="75592685"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21</w:t>
            </w:r>
          </w:p>
        </w:tc>
        <w:tc>
          <w:tcPr>
            <w:tcW w:w="414" w:type="pct"/>
            <w:tcBorders>
              <w:top w:val="nil"/>
              <w:left w:val="nil"/>
              <w:bottom w:val="single" w:sz="4" w:space="0" w:color="000000"/>
              <w:right w:val="nil"/>
            </w:tcBorders>
            <w:shd w:val="clear" w:color="000000" w:fill="FFFFFF"/>
            <w:noWrap/>
            <w:vAlign w:val="bottom"/>
            <w:hideMark/>
          </w:tcPr>
          <w:p w14:paraId="7827B01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0.9</w:t>
            </w:r>
          </w:p>
        </w:tc>
        <w:tc>
          <w:tcPr>
            <w:tcW w:w="414" w:type="pct"/>
            <w:tcBorders>
              <w:top w:val="nil"/>
              <w:left w:val="nil"/>
              <w:bottom w:val="single" w:sz="4" w:space="0" w:color="000000"/>
              <w:right w:val="nil"/>
            </w:tcBorders>
            <w:shd w:val="clear" w:color="000000" w:fill="F2F2F2"/>
            <w:noWrap/>
            <w:vAlign w:val="bottom"/>
            <w:hideMark/>
          </w:tcPr>
          <w:p w14:paraId="259AE189"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26</w:t>
            </w:r>
          </w:p>
        </w:tc>
        <w:tc>
          <w:tcPr>
            <w:tcW w:w="414" w:type="pct"/>
            <w:tcBorders>
              <w:top w:val="nil"/>
              <w:left w:val="nil"/>
              <w:bottom w:val="single" w:sz="4" w:space="0" w:color="000000"/>
              <w:right w:val="nil"/>
            </w:tcBorders>
            <w:shd w:val="clear" w:color="000000" w:fill="F2F2F2"/>
            <w:noWrap/>
            <w:vAlign w:val="bottom"/>
            <w:hideMark/>
          </w:tcPr>
          <w:p w14:paraId="41CAF865"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4.1</w:t>
            </w:r>
          </w:p>
        </w:tc>
      </w:tr>
      <w:tr w:rsidR="00C95D7C" w:rsidRPr="00C95D7C" w14:paraId="5242942A" w14:textId="77777777" w:rsidTr="003A0934">
        <w:trPr>
          <w:trHeight w:val="227"/>
        </w:trPr>
        <w:tc>
          <w:tcPr>
            <w:tcW w:w="1689" w:type="pct"/>
            <w:tcBorders>
              <w:top w:val="nil"/>
              <w:left w:val="nil"/>
              <w:bottom w:val="single" w:sz="4" w:space="0" w:color="auto"/>
              <w:right w:val="nil"/>
            </w:tcBorders>
            <w:shd w:val="clear" w:color="000000" w:fill="FFFFFF"/>
            <w:noWrap/>
            <w:vAlign w:val="center"/>
            <w:hideMark/>
          </w:tcPr>
          <w:p w14:paraId="2605CD1F" w14:textId="77777777" w:rsidR="00C95D7C" w:rsidRPr="00C95D7C" w:rsidRDefault="00C95D7C" w:rsidP="008E3CA6">
            <w:pPr>
              <w:keepNext/>
              <w:keepLines/>
              <w:spacing w:after="0" w:line="240" w:lineRule="auto"/>
              <w:jc w:val="left"/>
              <w:rPr>
                <w:rFonts w:ascii="Arial" w:hAnsi="Arial" w:cs="Arial"/>
                <w:b/>
                <w:bCs/>
                <w:color w:val="auto"/>
                <w:sz w:val="16"/>
                <w:szCs w:val="16"/>
              </w:rPr>
            </w:pPr>
            <w:r w:rsidRPr="00C95D7C">
              <w:rPr>
                <w:rFonts w:ascii="Arial" w:hAnsi="Arial" w:cs="Arial"/>
                <w:b/>
                <w:bCs/>
                <w:color w:val="auto"/>
                <w:sz w:val="16"/>
                <w:szCs w:val="16"/>
              </w:rPr>
              <w:t>Total</w:t>
            </w:r>
          </w:p>
        </w:tc>
        <w:tc>
          <w:tcPr>
            <w:tcW w:w="385" w:type="pct"/>
            <w:tcBorders>
              <w:top w:val="nil"/>
              <w:left w:val="nil"/>
              <w:bottom w:val="single" w:sz="4" w:space="0" w:color="auto"/>
              <w:right w:val="nil"/>
            </w:tcBorders>
            <w:shd w:val="clear" w:color="000000" w:fill="FFFFFF"/>
            <w:noWrap/>
            <w:vAlign w:val="center"/>
            <w:hideMark/>
          </w:tcPr>
          <w:p w14:paraId="479AED3C"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140</w:t>
            </w:r>
          </w:p>
        </w:tc>
        <w:tc>
          <w:tcPr>
            <w:tcW w:w="443" w:type="pct"/>
            <w:tcBorders>
              <w:top w:val="nil"/>
              <w:left w:val="nil"/>
              <w:bottom w:val="single" w:sz="4" w:space="0" w:color="auto"/>
              <w:right w:val="nil"/>
            </w:tcBorders>
            <w:shd w:val="clear" w:color="000000" w:fill="FFFFFF"/>
            <w:noWrap/>
            <w:vAlign w:val="center"/>
            <w:hideMark/>
          </w:tcPr>
          <w:p w14:paraId="1D8C01DF"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15.9</w:t>
            </w:r>
          </w:p>
        </w:tc>
        <w:tc>
          <w:tcPr>
            <w:tcW w:w="414" w:type="pct"/>
            <w:tcBorders>
              <w:top w:val="nil"/>
              <w:left w:val="nil"/>
              <w:bottom w:val="single" w:sz="4" w:space="0" w:color="auto"/>
              <w:right w:val="nil"/>
            </w:tcBorders>
            <w:shd w:val="clear" w:color="000000" w:fill="FFFFFF"/>
            <w:noWrap/>
            <w:vAlign w:val="center"/>
            <w:hideMark/>
          </w:tcPr>
          <w:p w14:paraId="1F309125"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115</w:t>
            </w:r>
          </w:p>
        </w:tc>
        <w:tc>
          <w:tcPr>
            <w:tcW w:w="414" w:type="pct"/>
            <w:tcBorders>
              <w:top w:val="nil"/>
              <w:left w:val="nil"/>
              <w:bottom w:val="single" w:sz="4" w:space="0" w:color="auto"/>
              <w:right w:val="nil"/>
            </w:tcBorders>
            <w:shd w:val="clear" w:color="000000" w:fill="FFFFFF"/>
            <w:noWrap/>
            <w:vAlign w:val="center"/>
            <w:hideMark/>
          </w:tcPr>
          <w:p w14:paraId="253CF6B5"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17.4</w:t>
            </w:r>
          </w:p>
        </w:tc>
        <w:tc>
          <w:tcPr>
            <w:tcW w:w="414" w:type="pct"/>
            <w:tcBorders>
              <w:top w:val="nil"/>
              <w:left w:val="nil"/>
              <w:bottom w:val="single" w:sz="4" w:space="0" w:color="auto"/>
              <w:right w:val="nil"/>
            </w:tcBorders>
            <w:shd w:val="clear" w:color="000000" w:fill="FFFFFF"/>
            <w:noWrap/>
            <w:vAlign w:val="center"/>
            <w:hideMark/>
          </w:tcPr>
          <w:p w14:paraId="2ED1556C"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121</w:t>
            </w:r>
          </w:p>
        </w:tc>
        <w:tc>
          <w:tcPr>
            <w:tcW w:w="414" w:type="pct"/>
            <w:tcBorders>
              <w:top w:val="nil"/>
              <w:left w:val="nil"/>
              <w:bottom w:val="single" w:sz="4" w:space="0" w:color="auto"/>
              <w:right w:val="nil"/>
            </w:tcBorders>
            <w:shd w:val="clear" w:color="000000" w:fill="FFFFFF"/>
            <w:noWrap/>
            <w:vAlign w:val="center"/>
            <w:hideMark/>
          </w:tcPr>
          <w:p w14:paraId="2FC6D7A4"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16.9</w:t>
            </w:r>
          </w:p>
        </w:tc>
        <w:tc>
          <w:tcPr>
            <w:tcW w:w="414" w:type="pct"/>
            <w:tcBorders>
              <w:top w:val="nil"/>
              <w:left w:val="nil"/>
              <w:bottom w:val="single" w:sz="4" w:space="0" w:color="auto"/>
              <w:right w:val="nil"/>
            </w:tcBorders>
            <w:shd w:val="clear" w:color="000000" w:fill="F2F2F2"/>
            <w:noWrap/>
            <w:vAlign w:val="center"/>
            <w:hideMark/>
          </w:tcPr>
          <w:p w14:paraId="7A4B8C63"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108</w:t>
            </w:r>
          </w:p>
        </w:tc>
        <w:tc>
          <w:tcPr>
            <w:tcW w:w="414" w:type="pct"/>
            <w:tcBorders>
              <w:top w:val="nil"/>
              <w:left w:val="nil"/>
              <w:bottom w:val="single" w:sz="4" w:space="0" w:color="auto"/>
              <w:right w:val="nil"/>
            </w:tcBorders>
            <w:shd w:val="clear" w:color="000000" w:fill="F2F2F2"/>
            <w:noWrap/>
            <w:vAlign w:val="center"/>
            <w:hideMark/>
          </w:tcPr>
          <w:p w14:paraId="3F559BB0"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11.2</w:t>
            </w:r>
          </w:p>
        </w:tc>
      </w:tr>
    </w:tbl>
    <w:bookmarkEnd w:id="114"/>
    <w:p w14:paraId="5F3AF84E" w14:textId="77777777" w:rsidR="00C95D7C" w:rsidRDefault="00C95D7C" w:rsidP="00C95D7C">
      <w:pPr>
        <w:pStyle w:val="ChartorTableNote"/>
      </w:pPr>
      <w:r w:rsidRPr="00BF48CD">
        <w:t xml:space="preserve">Before republishing this data or comparing between years, thoroughly review the methodological and data caveats in Appendix B. </w:t>
      </w:r>
    </w:p>
    <w:p w14:paraId="7454BB7F" w14:textId="77777777" w:rsidR="00DE56DC" w:rsidRPr="00820C89" w:rsidRDefault="00DE56DC" w:rsidP="00DE56DC">
      <w:pPr>
        <w:pStyle w:val="Heading3"/>
      </w:pPr>
      <w:r w:rsidRPr="00820C89">
        <w:t>Services</w:t>
      </w:r>
    </w:p>
    <w:p w14:paraId="71A9FE4E" w14:textId="77777777" w:rsidR="008E3CA6" w:rsidRDefault="008E3CA6" w:rsidP="008E3CA6">
      <w:r>
        <w:t>There were 296</w:t>
      </w:r>
      <w:r w:rsidR="008A14F9">
        <w:t> </w:t>
      </w:r>
      <w:r>
        <w:t>approvals for proposed investment in the services sec</w:t>
      </w:r>
      <w:r w:rsidR="00EE19C5">
        <w:t>tor in 2019</w:t>
      </w:r>
      <w:r w:rsidR="00F26A86">
        <w:t>–</w:t>
      </w:r>
      <w:r w:rsidR="00EE19C5">
        <w:t>20, an increase of 5</w:t>
      </w:r>
      <w:r>
        <w:t>1</w:t>
      </w:r>
      <w:r w:rsidR="008A14F9">
        <w:t> </w:t>
      </w:r>
      <w:r>
        <w:t>approvals on the previous year (see Table 3.10).</w:t>
      </w:r>
    </w:p>
    <w:p w14:paraId="218DEA41" w14:textId="77777777" w:rsidR="008E3CA6" w:rsidRDefault="008E3CA6" w:rsidP="008E3CA6">
      <w:r>
        <w:t>In 2019</w:t>
      </w:r>
      <w:r w:rsidR="00F26A86">
        <w:t>–</w:t>
      </w:r>
      <w:r>
        <w:t>20, the United States was the largest source country by value with $27.9</w:t>
      </w:r>
      <w:r w:rsidR="008A14F9">
        <w:t> </w:t>
      </w:r>
      <w:r>
        <w:t>billion of proposed investment. This was more than three times the value of the second largest source country, the United Kingdom which recorded $9.0</w:t>
      </w:r>
      <w:r w:rsidR="008A14F9">
        <w:t> </w:t>
      </w:r>
      <w:r>
        <w:t>billion of proposed investment in this sector (see Table 3.17).</w:t>
      </w:r>
    </w:p>
    <w:p w14:paraId="7B2C0B06" w14:textId="77777777" w:rsidR="00C95D7C" w:rsidRPr="00820C89" w:rsidRDefault="00C95D7C" w:rsidP="008E3CA6">
      <w:pPr>
        <w:pStyle w:val="TableMainHeading"/>
        <w:keepLines/>
      </w:pPr>
      <w:bookmarkStart w:id="117" w:name="_Toc63798278"/>
      <w:bookmarkStart w:id="118" w:name="_Toc73984737"/>
      <w:r w:rsidRPr="00820C89">
        <w:t>Table 3.</w:t>
      </w:r>
      <w:r w:rsidR="00A359D3">
        <w:t>10</w:t>
      </w:r>
      <w:r w:rsidRPr="00820C89">
        <w:t xml:space="preserve"> Services sector approvals: 201</w:t>
      </w:r>
      <w:r>
        <w:t>6</w:t>
      </w:r>
      <w:r w:rsidRPr="00820C89">
        <w:t>–1</w:t>
      </w:r>
      <w:r>
        <w:t>7</w:t>
      </w:r>
      <w:r w:rsidRPr="00820C89">
        <w:t xml:space="preserve"> to 201</w:t>
      </w:r>
      <w:r>
        <w:t>9</w:t>
      </w:r>
      <w:r w:rsidRPr="00820C89">
        <w:t>–</w:t>
      </w:r>
      <w:r>
        <w:t>20</w:t>
      </w:r>
      <w:bookmarkEnd w:id="117"/>
      <w:bookmarkEnd w:id="118"/>
    </w:p>
    <w:tbl>
      <w:tblPr>
        <w:tblW w:w="5000" w:type="pct"/>
        <w:tblLook w:val="04A0" w:firstRow="1" w:lastRow="0" w:firstColumn="1" w:lastColumn="0" w:noHBand="0" w:noVBand="1"/>
      </w:tblPr>
      <w:tblGrid>
        <w:gridCol w:w="2294"/>
        <w:gridCol w:w="677"/>
        <w:gridCol w:w="677"/>
        <w:gridCol w:w="677"/>
        <w:gridCol w:w="677"/>
        <w:gridCol w:w="677"/>
        <w:gridCol w:w="677"/>
        <w:gridCol w:w="677"/>
        <w:gridCol w:w="677"/>
      </w:tblGrid>
      <w:tr w:rsidR="00C95D7C" w:rsidRPr="00C95D7C" w14:paraId="72816E88" w14:textId="77777777" w:rsidTr="003A0934">
        <w:trPr>
          <w:trHeight w:val="227"/>
        </w:trPr>
        <w:tc>
          <w:tcPr>
            <w:tcW w:w="1488" w:type="pct"/>
            <w:tcBorders>
              <w:top w:val="single" w:sz="4" w:space="0" w:color="auto"/>
              <w:left w:val="nil"/>
              <w:bottom w:val="nil"/>
              <w:right w:val="nil"/>
            </w:tcBorders>
            <w:shd w:val="clear" w:color="000000" w:fill="FFFFFF"/>
            <w:noWrap/>
            <w:vAlign w:val="center"/>
            <w:hideMark/>
          </w:tcPr>
          <w:p w14:paraId="63AFE4EE"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 </w:t>
            </w:r>
          </w:p>
        </w:tc>
        <w:tc>
          <w:tcPr>
            <w:tcW w:w="878" w:type="pct"/>
            <w:gridSpan w:val="2"/>
            <w:tcBorders>
              <w:top w:val="single" w:sz="4" w:space="0" w:color="auto"/>
              <w:left w:val="nil"/>
              <w:bottom w:val="single" w:sz="4" w:space="0" w:color="auto"/>
              <w:right w:val="nil"/>
            </w:tcBorders>
            <w:shd w:val="clear" w:color="000000" w:fill="FFFFFF"/>
            <w:noWrap/>
            <w:vAlign w:val="center"/>
            <w:hideMark/>
          </w:tcPr>
          <w:p w14:paraId="6DEE731F"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2016</w:t>
            </w:r>
            <w:r w:rsidR="00F26A86">
              <w:rPr>
                <w:rFonts w:ascii="Arial" w:hAnsi="Arial" w:cs="Arial"/>
                <w:color w:val="auto"/>
                <w:sz w:val="16"/>
                <w:szCs w:val="16"/>
              </w:rPr>
              <w:t>–</w:t>
            </w:r>
            <w:r w:rsidRPr="00C95D7C">
              <w:rPr>
                <w:rFonts w:ascii="Arial" w:hAnsi="Arial" w:cs="Arial"/>
                <w:color w:val="auto"/>
                <w:sz w:val="16"/>
                <w:szCs w:val="16"/>
              </w:rPr>
              <w:t>17</w:t>
            </w:r>
          </w:p>
        </w:tc>
        <w:tc>
          <w:tcPr>
            <w:tcW w:w="878" w:type="pct"/>
            <w:gridSpan w:val="2"/>
            <w:tcBorders>
              <w:top w:val="single" w:sz="4" w:space="0" w:color="auto"/>
              <w:left w:val="nil"/>
              <w:bottom w:val="single" w:sz="4" w:space="0" w:color="auto"/>
              <w:right w:val="nil"/>
            </w:tcBorders>
            <w:shd w:val="clear" w:color="000000" w:fill="FFFFFF"/>
            <w:noWrap/>
            <w:vAlign w:val="center"/>
            <w:hideMark/>
          </w:tcPr>
          <w:p w14:paraId="6FC36558"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2017</w:t>
            </w:r>
            <w:r w:rsidR="00F26A86">
              <w:rPr>
                <w:rFonts w:ascii="Arial" w:hAnsi="Arial" w:cs="Arial"/>
                <w:color w:val="auto"/>
                <w:sz w:val="16"/>
                <w:szCs w:val="16"/>
              </w:rPr>
              <w:t>–</w:t>
            </w:r>
            <w:r w:rsidRPr="00C95D7C">
              <w:rPr>
                <w:rFonts w:ascii="Arial" w:hAnsi="Arial" w:cs="Arial"/>
                <w:color w:val="auto"/>
                <w:sz w:val="16"/>
                <w:szCs w:val="16"/>
              </w:rPr>
              <w:t>18</w:t>
            </w:r>
          </w:p>
        </w:tc>
        <w:tc>
          <w:tcPr>
            <w:tcW w:w="878" w:type="pct"/>
            <w:gridSpan w:val="2"/>
            <w:tcBorders>
              <w:top w:val="single" w:sz="4" w:space="0" w:color="auto"/>
              <w:left w:val="nil"/>
              <w:bottom w:val="single" w:sz="4" w:space="0" w:color="auto"/>
              <w:right w:val="nil"/>
            </w:tcBorders>
            <w:shd w:val="clear" w:color="000000" w:fill="FFFFFF"/>
            <w:noWrap/>
            <w:vAlign w:val="center"/>
            <w:hideMark/>
          </w:tcPr>
          <w:p w14:paraId="3613CF30"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2018</w:t>
            </w:r>
            <w:r w:rsidR="00F26A86">
              <w:rPr>
                <w:rFonts w:ascii="Arial" w:hAnsi="Arial" w:cs="Arial"/>
                <w:color w:val="auto"/>
                <w:sz w:val="16"/>
                <w:szCs w:val="16"/>
              </w:rPr>
              <w:t>–</w:t>
            </w:r>
            <w:r w:rsidRPr="00C95D7C">
              <w:rPr>
                <w:rFonts w:ascii="Arial" w:hAnsi="Arial" w:cs="Arial"/>
                <w:color w:val="auto"/>
                <w:sz w:val="16"/>
                <w:szCs w:val="16"/>
              </w:rPr>
              <w:t>19</w:t>
            </w:r>
          </w:p>
        </w:tc>
        <w:tc>
          <w:tcPr>
            <w:tcW w:w="878" w:type="pct"/>
            <w:gridSpan w:val="2"/>
            <w:tcBorders>
              <w:top w:val="single" w:sz="4" w:space="0" w:color="auto"/>
              <w:left w:val="nil"/>
              <w:bottom w:val="single" w:sz="4" w:space="0" w:color="auto"/>
              <w:right w:val="nil"/>
            </w:tcBorders>
            <w:shd w:val="clear" w:color="000000" w:fill="F2F2F2"/>
            <w:noWrap/>
            <w:vAlign w:val="center"/>
            <w:hideMark/>
          </w:tcPr>
          <w:p w14:paraId="310045C5"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2019</w:t>
            </w:r>
            <w:r w:rsidR="00F26A86">
              <w:rPr>
                <w:rFonts w:ascii="Arial" w:hAnsi="Arial" w:cs="Arial"/>
                <w:color w:val="auto"/>
                <w:sz w:val="16"/>
                <w:szCs w:val="16"/>
              </w:rPr>
              <w:t>–</w:t>
            </w:r>
            <w:r w:rsidRPr="00C95D7C">
              <w:rPr>
                <w:rFonts w:ascii="Arial" w:hAnsi="Arial" w:cs="Arial"/>
                <w:color w:val="auto"/>
                <w:sz w:val="16"/>
                <w:szCs w:val="16"/>
              </w:rPr>
              <w:t>20</w:t>
            </w:r>
          </w:p>
        </w:tc>
      </w:tr>
      <w:tr w:rsidR="00C95D7C" w:rsidRPr="00C95D7C" w14:paraId="18C80F44" w14:textId="77777777" w:rsidTr="003A0934">
        <w:trPr>
          <w:trHeight w:val="227"/>
        </w:trPr>
        <w:tc>
          <w:tcPr>
            <w:tcW w:w="1488" w:type="pct"/>
            <w:tcBorders>
              <w:top w:val="nil"/>
              <w:left w:val="nil"/>
              <w:bottom w:val="single" w:sz="4" w:space="0" w:color="auto"/>
              <w:right w:val="nil"/>
            </w:tcBorders>
            <w:shd w:val="clear" w:color="000000" w:fill="FFFFFF"/>
            <w:noWrap/>
            <w:vAlign w:val="center"/>
            <w:hideMark/>
          </w:tcPr>
          <w:p w14:paraId="6A7A3AAF"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Group</w:t>
            </w:r>
          </w:p>
        </w:tc>
        <w:tc>
          <w:tcPr>
            <w:tcW w:w="439" w:type="pct"/>
            <w:tcBorders>
              <w:top w:val="nil"/>
              <w:left w:val="nil"/>
              <w:bottom w:val="single" w:sz="4" w:space="0" w:color="auto"/>
              <w:right w:val="nil"/>
            </w:tcBorders>
            <w:shd w:val="clear" w:color="000000" w:fill="FFFFFF"/>
            <w:noWrap/>
            <w:vAlign w:val="center"/>
            <w:hideMark/>
          </w:tcPr>
          <w:p w14:paraId="6E2A3F56"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No.</w:t>
            </w:r>
          </w:p>
        </w:tc>
        <w:tc>
          <w:tcPr>
            <w:tcW w:w="439" w:type="pct"/>
            <w:tcBorders>
              <w:top w:val="nil"/>
              <w:left w:val="nil"/>
              <w:bottom w:val="single" w:sz="4" w:space="0" w:color="auto"/>
              <w:right w:val="nil"/>
            </w:tcBorders>
            <w:shd w:val="clear" w:color="000000" w:fill="FFFFFF"/>
            <w:noWrap/>
            <w:vAlign w:val="center"/>
            <w:hideMark/>
          </w:tcPr>
          <w:p w14:paraId="65CCB86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$b</w:t>
            </w:r>
          </w:p>
        </w:tc>
        <w:tc>
          <w:tcPr>
            <w:tcW w:w="439" w:type="pct"/>
            <w:tcBorders>
              <w:top w:val="nil"/>
              <w:left w:val="nil"/>
              <w:bottom w:val="single" w:sz="4" w:space="0" w:color="auto"/>
              <w:right w:val="nil"/>
            </w:tcBorders>
            <w:shd w:val="clear" w:color="000000" w:fill="FFFFFF"/>
            <w:vAlign w:val="center"/>
            <w:hideMark/>
          </w:tcPr>
          <w:p w14:paraId="79CC4D4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No.</w:t>
            </w:r>
          </w:p>
        </w:tc>
        <w:tc>
          <w:tcPr>
            <w:tcW w:w="439" w:type="pct"/>
            <w:tcBorders>
              <w:top w:val="nil"/>
              <w:left w:val="nil"/>
              <w:bottom w:val="single" w:sz="4" w:space="0" w:color="auto"/>
              <w:right w:val="nil"/>
            </w:tcBorders>
            <w:shd w:val="clear" w:color="000000" w:fill="FFFFFF"/>
            <w:vAlign w:val="center"/>
            <w:hideMark/>
          </w:tcPr>
          <w:p w14:paraId="2DBD2CD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$b</w:t>
            </w:r>
          </w:p>
        </w:tc>
        <w:tc>
          <w:tcPr>
            <w:tcW w:w="439" w:type="pct"/>
            <w:tcBorders>
              <w:top w:val="nil"/>
              <w:left w:val="nil"/>
              <w:bottom w:val="single" w:sz="4" w:space="0" w:color="auto"/>
              <w:right w:val="nil"/>
            </w:tcBorders>
            <w:shd w:val="clear" w:color="000000" w:fill="FFFFFF"/>
            <w:vAlign w:val="center"/>
            <w:hideMark/>
          </w:tcPr>
          <w:p w14:paraId="4D6D960F"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No.</w:t>
            </w:r>
          </w:p>
        </w:tc>
        <w:tc>
          <w:tcPr>
            <w:tcW w:w="439" w:type="pct"/>
            <w:tcBorders>
              <w:top w:val="nil"/>
              <w:left w:val="nil"/>
              <w:bottom w:val="single" w:sz="4" w:space="0" w:color="auto"/>
              <w:right w:val="nil"/>
            </w:tcBorders>
            <w:shd w:val="clear" w:color="000000" w:fill="FFFFFF"/>
            <w:vAlign w:val="center"/>
            <w:hideMark/>
          </w:tcPr>
          <w:p w14:paraId="00229D83"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$b</w:t>
            </w:r>
          </w:p>
        </w:tc>
        <w:tc>
          <w:tcPr>
            <w:tcW w:w="439" w:type="pct"/>
            <w:tcBorders>
              <w:top w:val="nil"/>
              <w:left w:val="nil"/>
              <w:bottom w:val="single" w:sz="4" w:space="0" w:color="auto"/>
              <w:right w:val="nil"/>
            </w:tcBorders>
            <w:shd w:val="clear" w:color="000000" w:fill="F2F2F2"/>
            <w:vAlign w:val="center"/>
            <w:hideMark/>
          </w:tcPr>
          <w:p w14:paraId="4B0158D2"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No.</w:t>
            </w:r>
          </w:p>
        </w:tc>
        <w:tc>
          <w:tcPr>
            <w:tcW w:w="439" w:type="pct"/>
            <w:tcBorders>
              <w:top w:val="nil"/>
              <w:left w:val="nil"/>
              <w:bottom w:val="single" w:sz="4" w:space="0" w:color="auto"/>
              <w:right w:val="nil"/>
            </w:tcBorders>
            <w:shd w:val="clear" w:color="000000" w:fill="F2F2F2"/>
            <w:vAlign w:val="center"/>
            <w:hideMark/>
          </w:tcPr>
          <w:p w14:paraId="0DB94CE8"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$b</w:t>
            </w:r>
          </w:p>
        </w:tc>
      </w:tr>
      <w:tr w:rsidR="00C95D7C" w:rsidRPr="00C95D7C" w14:paraId="2DE7FF51" w14:textId="77777777" w:rsidTr="003A0934">
        <w:trPr>
          <w:trHeight w:val="227"/>
        </w:trPr>
        <w:tc>
          <w:tcPr>
            <w:tcW w:w="1488" w:type="pct"/>
            <w:tcBorders>
              <w:top w:val="nil"/>
              <w:left w:val="nil"/>
              <w:bottom w:val="nil"/>
              <w:right w:val="nil"/>
            </w:tcBorders>
            <w:shd w:val="clear" w:color="000000" w:fill="FFFFFF"/>
            <w:vAlign w:val="center"/>
            <w:hideMark/>
          </w:tcPr>
          <w:p w14:paraId="4DFE52E8"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Accommodation,</w:t>
            </w:r>
            <w:r w:rsidRPr="00C95D7C">
              <w:rPr>
                <w:rFonts w:ascii="Arial" w:hAnsi="Arial" w:cs="Arial"/>
                <w:color w:val="auto"/>
                <w:sz w:val="16"/>
                <w:szCs w:val="16"/>
              </w:rPr>
              <w:br/>
              <w:t xml:space="preserve">  food and beverage (a)</w:t>
            </w:r>
          </w:p>
        </w:tc>
        <w:tc>
          <w:tcPr>
            <w:tcW w:w="439" w:type="pct"/>
            <w:tcBorders>
              <w:top w:val="nil"/>
              <w:left w:val="nil"/>
              <w:bottom w:val="nil"/>
              <w:right w:val="nil"/>
            </w:tcBorders>
            <w:shd w:val="clear" w:color="000000" w:fill="FFFFFF"/>
            <w:vAlign w:val="center"/>
            <w:hideMark/>
          </w:tcPr>
          <w:p w14:paraId="30BF78C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10</w:t>
            </w:r>
          </w:p>
        </w:tc>
        <w:tc>
          <w:tcPr>
            <w:tcW w:w="439" w:type="pct"/>
            <w:tcBorders>
              <w:top w:val="nil"/>
              <w:left w:val="nil"/>
              <w:bottom w:val="nil"/>
              <w:right w:val="nil"/>
            </w:tcBorders>
            <w:shd w:val="clear" w:color="000000" w:fill="FFFFFF"/>
            <w:vAlign w:val="center"/>
            <w:hideMark/>
          </w:tcPr>
          <w:p w14:paraId="3C886239"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1.4</w:t>
            </w:r>
          </w:p>
        </w:tc>
        <w:tc>
          <w:tcPr>
            <w:tcW w:w="439" w:type="pct"/>
            <w:tcBorders>
              <w:top w:val="nil"/>
              <w:left w:val="nil"/>
              <w:bottom w:val="nil"/>
              <w:right w:val="nil"/>
            </w:tcBorders>
            <w:shd w:val="clear" w:color="000000" w:fill="FFFFFF"/>
            <w:noWrap/>
            <w:vAlign w:val="center"/>
            <w:hideMark/>
          </w:tcPr>
          <w:p w14:paraId="572D03F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8</w:t>
            </w:r>
          </w:p>
        </w:tc>
        <w:tc>
          <w:tcPr>
            <w:tcW w:w="439" w:type="pct"/>
            <w:tcBorders>
              <w:top w:val="nil"/>
              <w:left w:val="nil"/>
              <w:bottom w:val="nil"/>
              <w:right w:val="nil"/>
            </w:tcBorders>
            <w:shd w:val="clear" w:color="000000" w:fill="FFFFFF"/>
            <w:noWrap/>
            <w:vAlign w:val="center"/>
            <w:hideMark/>
          </w:tcPr>
          <w:p w14:paraId="74FD0938"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2.0</w:t>
            </w:r>
          </w:p>
        </w:tc>
        <w:tc>
          <w:tcPr>
            <w:tcW w:w="439" w:type="pct"/>
            <w:tcBorders>
              <w:top w:val="nil"/>
              <w:left w:val="nil"/>
              <w:bottom w:val="nil"/>
              <w:right w:val="nil"/>
            </w:tcBorders>
            <w:shd w:val="clear" w:color="000000" w:fill="FFFFFF"/>
            <w:noWrap/>
            <w:vAlign w:val="center"/>
            <w:hideMark/>
          </w:tcPr>
          <w:p w14:paraId="2A578CED"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17</w:t>
            </w:r>
          </w:p>
        </w:tc>
        <w:tc>
          <w:tcPr>
            <w:tcW w:w="439" w:type="pct"/>
            <w:tcBorders>
              <w:top w:val="nil"/>
              <w:left w:val="nil"/>
              <w:bottom w:val="nil"/>
              <w:right w:val="nil"/>
            </w:tcBorders>
            <w:shd w:val="clear" w:color="000000" w:fill="FFFFFF"/>
            <w:noWrap/>
            <w:vAlign w:val="center"/>
            <w:hideMark/>
          </w:tcPr>
          <w:p w14:paraId="7BC6230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1.5</w:t>
            </w:r>
          </w:p>
        </w:tc>
        <w:tc>
          <w:tcPr>
            <w:tcW w:w="439" w:type="pct"/>
            <w:tcBorders>
              <w:top w:val="nil"/>
              <w:left w:val="nil"/>
              <w:bottom w:val="nil"/>
              <w:right w:val="nil"/>
            </w:tcBorders>
            <w:shd w:val="clear" w:color="000000" w:fill="F2F2F2"/>
            <w:noWrap/>
            <w:vAlign w:val="center"/>
            <w:hideMark/>
          </w:tcPr>
          <w:p w14:paraId="7B39E56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16</w:t>
            </w:r>
          </w:p>
        </w:tc>
        <w:tc>
          <w:tcPr>
            <w:tcW w:w="439" w:type="pct"/>
            <w:tcBorders>
              <w:top w:val="nil"/>
              <w:left w:val="nil"/>
              <w:bottom w:val="nil"/>
              <w:right w:val="nil"/>
            </w:tcBorders>
            <w:shd w:val="clear" w:color="000000" w:fill="F2F2F2"/>
            <w:noWrap/>
            <w:vAlign w:val="center"/>
            <w:hideMark/>
          </w:tcPr>
          <w:p w14:paraId="7723A7C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3.2</w:t>
            </w:r>
          </w:p>
        </w:tc>
      </w:tr>
      <w:tr w:rsidR="00C95D7C" w:rsidRPr="00C95D7C" w14:paraId="79353F76" w14:textId="77777777" w:rsidTr="003A0934">
        <w:trPr>
          <w:trHeight w:val="227"/>
        </w:trPr>
        <w:tc>
          <w:tcPr>
            <w:tcW w:w="1488" w:type="pct"/>
            <w:tcBorders>
              <w:top w:val="nil"/>
              <w:left w:val="nil"/>
              <w:bottom w:val="nil"/>
              <w:right w:val="nil"/>
            </w:tcBorders>
            <w:shd w:val="clear" w:color="000000" w:fill="FFFFFF"/>
            <w:vAlign w:val="bottom"/>
            <w:hideMark/>
          </w:tcPr>
          <w:p w14:paraId="383A9CAB"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 xml:space="preserve">Arts and Recreation (b) </w:t>
            </w:r>
          </w:p>
        </w:tc>
        <w:tc>
          <w:tcPr>
            <w:tcW w:w="439" w:type="pct"/>
            <w:tcBorders>
              <w:top w:val="nil"/>
              <w:left w:val="nil"/>
              <w:bottom w:val="nil"/>
              <w:right w:val="nil"/>
            </w:tcBorders>
            <w:shd w:val="clear" w:color="000000" w:fill="FFFFFF"/>
            <w:vAlign w:val="center"/>
            <w:hideMark/>
          </w:tcPr>
          <w:p w14:paraId="3B992895"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11</w:t>
            </w:r>
          </w:p>
        </w:tc>
        <w:tc>
          <w:tcPr>
            <w:tcW w:w="439" w:type="pct"/>
            <w:tcBorders>
              <w:top w:val="nil"/>
              <w:left w:val="nil"/>
              <w:bottom w:val="nil"/>
              <w:right w:val="nil"/>
            </w:tcBorders>
            <w:shd w:val="clear" w:color="000000" w:fill="FFFFFF"/>
            <w:vAlign w:val="center"/>
            <w:hideMark/>
          </w:tcPr>
          <w:p w14:paraId="7DB6BB82"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2.3</w:t>
            </w:r>
          </w:p>
        </w:tc>
        <w:tc>
          <w:tcPr>
            <w:tcW w:w="439" w:type="pct"/>
            <w:tcBorders>
              <w:top w:val="nil"/>
              <w:left w:val="nil"/>
              <w:bottom w:val="nil"/>
              <w:right w:val="nil"/>
            </w:tcBorders>
            <w:shd w:val="clear" w:color="000000" w:fill="FFFFFF"/>
            <w:noWrap/>
            <w:vAlign w:val="center"/>
            <w:hideMark/>
          </w:tcPr>
          <w:p w14:paraId="66447332"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14</w:t>
            </w:r>
          </w:p>
        </w:tc>
        <w:tc>
          <w:tcPr>
            <w:tcW w:w="439" w:type="pct"/>
            <w:tcBorders>
              <w:top w:val="nil"/>
              <w:left w:val="nil"/>
              <w:bottom w:val="nil"/>
              <w:right w:val="nil"/>
            </w:tcBorders>
            <w:shd w:val="clear" w:color="000000" w:fill="FFFFFF"/>
            <w:noWrap/>
            <w:vAlign w:val="center"/>
            <w:hideMark/>
          </w:tcPr>
          <w:p w14:paraId="6B042080"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1.3</w:t>
            </w:r>
          </w:p>
        </w:tc>
        <w:tc>
          <w:tcPr>
            <w:tcW w:w="439" w:type="pct"/>
            <w:tcBorders>
              <w:top w:val="nil"/>
              <w:left w:val="nil"/>
              <w:bottom w:val="nil"/>
              <w:right w:val="nil"/>
            </w:tcBorders>
            <w:shd w:val="clear" w:color="000000" w:fill="FFFFFF"/>
            <w:noWrap/>
            <w:vAlign w:val="center"/>
            <w:hideMark/>
          </w:tcPr>
          <w:p w14:paraId="185FB87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8</w:t>
            </w:r>
          </w:p>
        </w:tc>
        <w:tc>
          <w:tcPr>
            <w:tcW w:w="439" w:type="pct"/>
            <w:tcBorders>
              <w:top w:val="nil"/>
              <w:left w:val="nil"/>
              <w:bottom w:val="nil"/>
              <w:right w:val="nil"/>
            </w:tcBorders>
            <w:shd w:val="clear" w:color="000000" w:fill="FFFFFF"/>
            <w:noWrap/>
            <w:vAlign w:val="center"/>
            <w:hideMark/>
          </w:tcPr>
          <w:p w14:paraId="2B33E7A0"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0.7</w:t>
            </w:r>
          </w:p>
        </w:tc>
        <w:tc>
          <w:tcPr>
            <w:tcW w:w="439" w:type="pct"/>
            <w:tcBorders>
              <w:top w:val="nil"/>
              <w:left w:val="nil"/>
              <w:bottom w:val="nil"/>
              <w:right w:val="nil"/>
            </w:tcBorders>
            <w:shd w:val="clear" w:color="000000" w:fill="F2F2F2"/>
            <w:noWrap/>
            <w:vAlign w:val="center"/>
            <w:hideMark/>
          </w:tcPr>
          <w:p w14:paraId="0149A26C"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11</w:t>
            </w:r>
          </w:p>
        </w:tc>
        <w:tc>
          <w:tcPr>
            <w:tcW w:w="439" w:type="pct"/>
            <w:tcBorders>
              <w:top w:val="nil"/>
              <w:left w:val="nil"/>
              <w:bottom w:val="nil"/>
              <w:right w:val="nil"/>
            </w:tcBorders>
            <w:shd w:val="clear" w:color="000000" w:fill="F2F2F2"/>
            <w:noWrap/>
            <w:vAlign w:val="center"/>
            <w:hideMark/>
          </w:tcPr>
          <w:p w14:paraId="00E8ACA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3.8</w:t>
            </w:r>
          </w:p>
        </w:tc>
      </w:tr>
      <w:tr w:rsidR="00C95D7C" w:rsidRPr="00C95D7C" w14:paraId="01261174" w14:textId="77777777" w:rsidTr="003A0934">
        <w:trPr>
          <w:trHeight w:val="227"/>
        </w:trPr>
        <w:tc>
          <w:tcPr>
            <w:tcW w:w="1488" w:type="pct"/>
            <w:tcBorders>
              <w:top w:val="nil"/>
              <w:left w:val="nil"/>
              <w:bottom w:val="nil"/>
              <w:right w:val="nil"/>
            </w:tcBorders>
            <w:shd w:val="clear" w:color="000000" w:fill="FFFFFF"/>
            <w:noWrap/>
            <w:vAlign w:val="center"/>
            <w:hideMark/>
          </w:tcPr>
          <w:p w14:paraId="0AD09CAC"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Communications (c)</w:t>
            </w:r>
          </w:p>
        </w:tc>
        <w:tc>
          <w:tcPr>
            <w:tcW w:w="439" w:type="pct"/>
            <w:tcBorders>
              <w:top w:val="nil"/>
              <w:left w:val="nil"/>
              <w:bottom w:val="nil"/>
              <w:right w:val="nil"/>
            </w:tcBorders>
            <w:shd w:val="clear" w:color="000000" w:fill="FFFFFF"/>
            <w:vAlign w:val="center"/>
            <w:hideMark/>
          </w:tcPr>
          <w:p w14:paraId="001734F3"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8</w:t>
            </w:r>
          </w:p>
        </w:tc>
        <w:tc>
          <w:tcPr>
            <w:tcW w:w="439" w:type="pct"/>
            <w:tcBorders>
              <w:top w:val="nil"/>
              <w:left w:val="nil"/>
              <w:bottom w:val="nil"/>
              <w:right w:val="nil"/>
            </w:tcBorders>
            <w:shd w:val="clear" w:color="000000" w:fill="FFFFFF"/>
            <w:vAlign w:val="center"/>
            <w:hideMark/>
          </w:tcPr>
          <w:p w14:paraId="1557062D"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0.9</w:t>
            </w:r>
          </w:p>
        </w:tc>
        <w:tc>
          <w:tcPr>
            <w:tcW w:w="439" w:type="pct"/>
            <w:tcBorders>
              <w:top w:val="nil"/>
              <w:left w:val="nil"/>
              <w:bottom w:val="nil"/>
              <w:right w:val="nil"/>
            </w:tcBorders>
            <w:shd w:val="clear" w:color="000000" w:fill="FFFFFF"/>
            <w:noWrap/>
            <w:vAlign w:val="center"/>
            <w:hideMark/>
          </w:tcPr>
          <w:p w14:paraId="4694B328"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19</w:t>
            </w:r>
          </w:p>
        </w:tc>
        <w:tc>
          <w:tcPr>
            <w:tcW w:w="439" w:type="pct"/>
            <w:tcBorders>
              <w:top w:val="nil"/>
              <w:left w:val="nil"/>
              <w:bottom w:val="nil"/>
              <w:right w:val="nil"/>
            </w:tcBorders>
            <w:shd w:val="clear" w:color="000000" w:fill="FFFFFF"/>
            <w:noWrap/>
            <w:vAlign w:val="center"/>
            <w:hideMark/>
          </w:tcPr>
          <w:p w14:paraId="51A9DF9D"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2.2</w:t>
            </w:r>
          </w:p>
        </w:tc>
        <w:tc>
          <w:tcPr>
            <w:tcW w:w="439" w:type="pct"/>
            <w:tcBorders>
              <w:top w:val="nil"/>
              <w:left w:val="nil"/>
              <w:bottom w:val="nil"/>
              <w:right w:val="nil"/>
            </w:tcBorders>
            <w:shd w:val="clear" w:color="000000" w:fill="FFFFFF"/>
            <w:noWrap/>
            <w:vAlign w:val="center"/>
            <w:hideMark/>
          </w:tcPr>
          <w:p w14:paraId="7CF468B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21</w:t>
            </w:r>
          </w:p>
        </w:tc>
        <w:tc>
          <w:tcPr>
            <w:tcW w:w="439" w:type="pct"/>
            <w:tcBorders>
              <w:top w:val="nil"/>
              <w:left w:val="nil"/>
              <w:bottom w:val="nil"/>
              <w:right w:val="nil"/>
            </w:tcBorders>
            <w:shd w:val="clear" w:color="000000" w:fill="FFFFFF"/>
            <w:noWrap/>
            <w:vAlign w:val="center"/>
            <w:hideMark/>
          </w:tcPr>
          <w:p w14:paraId="476331A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17.4</w:t>
            </w:r>
          </w:p>
        </w:tc>
        <w:tc>
          <w:tcPr>
            <w:tcW w:w="439" w:type="pct"/>
            <w:tcBorders>
              <w:top w:val="nil"/>
              <w:left w:val="nil"/>
              <w:bottom w:val="nil"/>
              <w:right w:val="nil"/>
            </w:tcBorders>
            <w:shd w:val="clear" w:color="000000" w:fill="F2F2F2"/>
            <w:noWrap/>
            <w:vAlign w:val="center"/>
            <w:hideMark/>
          </w:tcPr>
          <w:p w14:paraId="43743AB8"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48</w:t>
            </w:r>
          </w:p>
        </w:tc>
        <w:tc>
          <w:tcPr>
            <w:tcW w:w="439" w:type="pct"/>
            <w:tcBorders>
              <w:top w:val="nil"/>
              <w:left w:val="nil"/>
              <w:bottom w:val="nil"/>
              <w:right w:val="nil"/>
            </w:tcBorders>
            <w:shd w:val="clear" w:color="000000" w:fill="F2F2F2"/>
            <w:noWrap/>
            <w:vAlign w:val="center"/>
            <w:hideMark/>
          </w:tcPr>
          <w:p w14:paraId="5CFD6C06"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21.0</w:t>
            </w:r>
          </w:p>
        </w:tc>
      </w:tr>
      <w:tr w:rsidR="00C95D7C" w:rsidRPr="00C95D7C" w14:paraId="235B9BA8" w14:textId="77777777" w:rsidTr="003A0934">
        <w:trPr>
          <w:trHeight w:val="227"/>
        </w:trPr>
        <w:tc>
          <w:tcPr>
            <w:tcW w:w="1488" w:type="pct"/>
            <w:tcBorders>
              <w:top w:val="nil"/>
              <w:left w:val="nil"/>
              <w:bottom w:val="nil"/>
              <w:right w:val="nil"/>
            </w:tcBorders>
            <w:shd w:val="clear" w:color="000000" w:fill="FFFFFF"/>
            <w:noWrap/>
            <w:vAlign w:val="center"/>
            <w:hideMark/>
          </w:tcPr>
          <w:p w14:paraId="2C783881"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Construction (d)</w:t>
            </w:r>
          </w:p>
        </w:tc>
        <w:tc>
          <w:tcPr>
            <w:tcW w:w="439" w:type="pct"/>
            <w:tcBorders>
              <w:top w:val="nil"/>
              <w:left w:val="nil"/>
              <w:bottom w:val="nil"/>
              <w:right w:val="nil"/>
            </w:tcBorders>
            <w:shd w:val="clear" w:color="000000" w:fill="FFFFFF"/>
            <w:vAlign w:val="center"/>
            <w:hideMark/>
          </w:tcPr>
          <w:p w14:paraId="1B1C6A88"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48</w:t>
            </w:r>
          </w:p>
        </w:tc>
        <w:tc>
          <w:tcPr>
            <w:tcW w:w="439" w:type="pct"/>
            <w:tcBorders>
              <w:top w:val="nil"/>
              <w:left w:val="nil"/>
              <w:bottom w:val="nil"/>
              <w:right w:val="nil"/>
            </w:tcBorders>
            <w:shd w:val="clear" w:color="000000" w:fill="FFFFFF"/>
            <w:vAlign w:val="center"/>
            <w:hideMark/>
          </w:tcPr>
          <w:p w14:paraId="2C2FB53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7.3</w:t>
            </w:r>
          </w:p>
        </w:tc>
        <w:tc>
          <w:tcPr>
            <w:tcW w:w="439" w:type="pct"/>
            <w:tcBorders>
              <w:top w:val="nil"/>
              <w:left w:val="nil"/>
              <w:bottom w:val="nil"/>
              <w:right w:val="nil"/>
            </w:tcBorders>
            <w:shd w:val="clear" w:color="000000" w:fill="FFFFFF"/>
            <w:noWrap/>
            <w:vAlign w:val="center"/>
            <w:hideMark/>
          </w:tcPr>
          <w:p w14:paraId="3D46E976"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14</w:t>
            </w:r>
          </w:p>
        </w:tc>
        <w:tc>
          <w:tcPr>
            <w:tcW w:w="439" w:type="pct"/>
            <w:tcBorders>
              <w:top w:val="nil"/>
              <w:left w:val="nil"/>
              <w:bottom w:val="nil"/>
              <w:right w:val="nil"/>
            </w:tcBorders>
            <w:shd w:val="clear" w:color="000000" w:fill="FFFFFF"/>
            <w:noWrap/>
            <w:vAlign w:val="center"/>
            <w:hideMark/>
          </w:tcPr>
          <w:p w14:paraId="64772F17"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1.3</w:t>
            </w:r>
          </w:p>
        </w:tc>
        <w:tc>
          <w:tcPr>
            <w:tcW w:w="439" w:type="pct"/>
            <w:tcBorders>
              <w:top w:val="nil"/>
              <w:left w:val="nil"/>
              <w:bottom w:val="nil"/>
              <w:right w:val="nil"/>
            </w:tcBorders>
            <w:shd w:val="clear" w:color="000000" w:fill="FFFFFF"/>
            <w:noWrap/>
            <w:vAlign w:val="center"/>
            <w:hideMark/>
          </w:tcPr>
          <w:p w14:paraId="4B5677FF"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22</w:t>
            </w:r>
          </w:p>
        </w:tc>
        <w:tc>
          <w:tcPr>
            <w:tcW w:w="439" w:type="pct"/>
            <w:tcBorders>
              <w:top w:val="nil"/>
              <w:left w:val="nil"/>
              <w:bottom w:val="nil"/>
              <w:right w:val="nil"/>
            </w:tcBorders>
            <w:shd w:val="clear" w:color="000000" w:fill="FFFFFF"/>
            <w:noWrap/>
            <w:vAlign w:val="center"/>
            <w:hideMark/>
          </w:tcPr>
          <w:p w14:paraId="4F464807"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4.1</w:t>
            </w:r>
          </w:p>
        </w:tc>
        <w:tc>
          <w:tcPr>
            <w:tcW w:w="439" w:type="pct"/>
            <w:tcBorders>
              <w:top w:val="nil"/>
              <w:left w:val="nil"/>
              <w:bottom w:val="nil"/>
              <w:right w:val="nil"/>
            </w:tcBorders>
            <w:shd w:val="clear" w:color="000000" w:fill="F2F2F2"/>
            <w:noWrap/>
            <w:vAlign w:val="center"/>
            <w:hideMark/>
          </w:tcPr>
          <w:p w14:paraId="56461EF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19</w:t>
            </w:r>
          </w:p>
        </w:tc>
        <w:tc>
          <w:tcPr>
            <w:tcW w:w="439" w:type="pct"/>
            <w:tcBorders>
              <w:top w:val="nil"/>
              <w:left w:val="nil"/>
              <w:bottom w:val="nil"/>
              <w:right w:val="nil"/>
            </w:tcBorders>
            <w:shd w:val="clear" w:color="000000" w:fill="F2F2F2"/>
            <w:noWrap/>
            <w:vAlign w:val="center"/>
            <w:hideMark/>
          </w:tcPr>
          <w:p w14:paraId="5B1DDAB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2.9</w:t>
            </w:r>
          </w:p>
        </w:tc>
      </w:tr>
      <w:tr w:rsidR="00C95D7C" w:rsidRPr="00C95D7C" w14:paraId="3CC38F62" w14:textId="77777777" w:rsidTr="003A0934">
        <w:trPr>
          <w:trHeight w:val="227"/>
        </w:trPr>
        <w:tc>
          <w:tcPr>
            <w:tcW w:w="1488" w:type="pct"/>
            <w:tcBorders>
              <w:top w:val="nil"/>
              <w:left w:val="nil"/>
              <w:bottom w:val="nil"/>
              <w:right w:val="nil"/>
            </w:tcBorders>
            <w:shd w:val="clear" w:color="000000" w:fill="FFFFFF"/>
            <w:noWrap/>
            <w:vAlign w:val="center"/>
            <w:hideMark/>
          </w:tcPr>
          <w:p w14:paraId="0C6F5054"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Health (e)</w:t>
            </w:r>
          </w:p>
        </w:tc>
        <w:tc>
          <w:tcPr>
            <w:tcW w:w="439" w:type="pct"/>
            <w:tcBorders>
              <w:top w:val="nil"/>
              <w:left w:val="nil"/>
              <w:bottom w:val="nil"/>
              <w:right w:val="nil"/>
            </w:tcBorders>
            <w:shd w:val="clear" w:color="000000" w:fill="FFFFFF"/>
            <w:vAlign w:val="center"/>
            <w:hideMark/>
          </w:tcPr>
          <w:p w14:paraId="2569674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29</w:t>
            </w:r>
          </w:p>
        </w:tc>
        <w:tc>
          <w:tcPr>
            <w:tcW w:w="439" w:type="pct"/>
            <w:tcBorders>
              <w:top w:val="nil"/>
              <w:left w:val="nil"/>
              <w:bottom w:val="nil"/>
              <w:right w:val="nil"/>
            </w:tcBorders>
            <w:shd w:val="clear" w:color="000000" w:fill="FFFFFF"/>
            <w:vAlign w:val="center"/>
            <w:hideMark/>
          </w:tcPr>
          <w:p w14:paraId="57AB000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3.6</w:t>
            </w:r>
          </w:p>
        </w:tc>
        <w:tc>
          <w:tcPr>
            <w:tcW w:w="439" w:type="pct"/>
            <w:tcBorders>
              <w:top w:val="nil"/>
              <w:left w:val="nil"/>
              <w:bottom w:val="nil"/>
              <w:right w:val="nil"/>
            </w:tcBorders>
            <w:shd w:val="clear" w:color="000000" w:fill="FFFFFF"/>
            <w:noWrap/>
            <w:vAlign w:val="center"/>
            <w:hideMark/>
          </w:tcPr>
          <w:p w14:paraId="562DF1F3"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34</w:t>
            </w:r>
          </w:p>
        </w:tc>
        <w:tc>
          <w:tcPr>
            <w:tcW w:w="439" w:type="pct"/>
            <w:tcBorders>
              <w:top w:val="nil"/>
              <w:left w:val="nil"/>
              <w:bottom w:val="nil"/>
              <w:right w:val="nil"/>
            </w:tcBorders>
            <w:shd w:val="clear" w:color="000000" w:fill="FFFFFF"/>
            <w:noWrap/>
            <w:vAlign w:val="center"/>
            <w:hideMark/>
          </w:tcPr>
          <w:p w14:paraId="3BA7E17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7.3</w:t>
            </w:r>
          </w:p>
        </w:tc>
        <w:tc>
          <w:tcPr>
            <w:tcW w:w="439" w:type="pct"/>
            <w:tcBorders>
              <w:top w:val="nil"/>
              <w:left w:val="nil"/>
              <w:bottom w:val="nil"/>
              <w:right w:val="nil"/>
            </w:tcBorders>
            <w:shd w:val="clear" w:color="000000" w:fill="FFFFFF"/>
            <w:noWrap/>
            <w:vAlign w:val="center"/>
            <w:hideMark/>
          </w:tcPr>
          <w:p w14:paraId="3280E16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39</w:t>
            </w:r>
          </w:p>
        </w:tc>
        <w:tc>
          <w:tcPr>
            <w:tcW w:w="439" w:type="pct"/>
            <w:tcBorders>
              <w:top w:val="nil"/>
              <w:left w:val="nil"/>
              <w:bottom w:val="nil"/>
              <w:right w:val="nil"/>
            </w:tcBorders>
            <w:shd w:val="clear" w:color="000000" w:fill="FFFFFF"/>
            <w:noWrap/>
            <w:vAlign w:val="center"/>
            <w:hideMark/>
          </w:tcPr>
          <w:p w14:paraId="15530F99"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12.4</w:t>
            </w:r>
          </w:p>
        </w:tc>
        <w:tc>
          <w:tcPr>
            <w:tcW w:w="439" w:type="pct"/>
            <w:tcBorders>
              <w:top w:val="nil"/>
              <w:left w:val="nil"/>
              <w:bottom w:val="nil"/>
              <w:right w:val="nil"/>
            </w:tcBorders>
            <w:shd w:val="clear" w:color="000000" w:fill="F2F2F2"/>
            <w:noWrap/>
            <w:vAlign w:val="center"/>
            <w:hideMark/>
          </w:tcPr>
          <w:p w14:paraId="2E8A0D6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48</w:t>
            </w:r>
          </w:p>
        </w:tc>
        <w:tc>
          <w:tcPr>
            <w:tcW w:w="439" w:type="pct"/>
            <w:tcBorders>
              <w:top w:val="nil"/>
              <w:left w:val="nil"/>
              <w:bottom w:val="nil"/>
              <w:right w:val="nil"/>
            </w:tcBorders>
            <w:shd w:val="clear" w:color="000000" w:fill="F2F2F2"/>
            <w:noWrap/>
            <w:vAlign w:val="center"/>
            <w:hideMark/>
          </w:tcPr>
          <w:p w14:paraId="013080A3"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8.5</w:t>
            </w:r>
          </w:p>
        </w:tc>
      </w:tr>
      <w:tr w:rsidR="00C95D7C" w:rsidRPr="00C95D7C" w14:paraId="773FF0BB" w14:textId="77777777" w:rsidTr="003A0934">
        <w:trPr>
          <w:trHeight w:val="227"/>
        </w:trPr>
        <w:tc>
          <w:tcPr>
            <w:tcW w:w="1488" w:type="pct"/>
            <w:tcBorders>
              <w:top w:val="nil"/>
              <w:left w:val="nil"/>
              <w:bottom w:val="nil"/>
              <w:right w:val="nil"/>
            </w:tcBorders>
            <w:shd w:val="clear" w:color="000000" w:fill="FFFFFF"/>
            <w:vAlign w:val="center"/>
            <w:hideMark/>
          </w:tcPr>
          <w:p w14:paraId="356075D9"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Property and business</w:t>
            </w:r>
            <w:r w:rsidRPr="00C95D7C">
              <w:rPr>
                <w:rFonts w:ascii="Arial" w:hAnsi="Arial" w:cs="Arial"/>
                <w:color w:val="auto"/>
                <w:sz w:val="16"/>
                <w:szCs w:val="16"/>
              </w:rPr>
              <w:br/>
              <w:t xml:space="preserve">  services (f)</w:t>
            </w:r>
          </w:p>
        </w:tc>
        <w:tc>
          <w:tcPr>
            <w:tcW w:w="439" w:type="pct"/>
            <w:tcBorders>
              <w:top w:val="nil"/>
              <w:left w:val="nil"/>
              <w:bottom w:val="nil"/>
              <w:right w:val="nil"/>
            </w:tcBorders>
            <w:shd w:val="clear" w:color="000000" w:fill="FFFFFF"/>
            <w:vAlign w:val="center"/>
            <w:hideMark/>
          </w:tcPr>
          <w:p w14:paraId="5095E39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26</w:t>
            </w:r>
          </w:p>
        </w:tc>
        <w:tc>
          <w:tcPr>
            <w:tcW w:w="439" w:type="pct"/>
            <w:tcBorders>
              <w:top w:val="nil"/>
              <w:left w:val="nil"/>
              <w:bottom w:val="nil"/>
              <w:right w:val="nil"/>
            </w:tcBorders>
            <w:shd w:val="clear" w:color="000000" w:fill="FFFFFF"/>
            <w:vAlign w:val="center"/>
            <w:hideMark/>
          </w:tcPr>
          <w:p w14:paraId="2148146F"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0.7</w:t>
            </w:r>
          </w:p>
        </w:tc>
        <w:tc>
          <w:tcPr>
            <w:tcW w:w="439" w:type="pct"/>
            <w:tcBorders>
              <w:top w:val="nil"/>
              <w:left w:val="nil"/>
              <w:bottom w:val="nil"/>
              <w:right w:val="nil"/>
            </w:tcBorders>
            <w:shd w:val="clear" w:color="000000" w:fill="FFFFFF"/>
            <w:noWrap/>
            <w:vAlign w:val="center"/>
            <w:hideMark/>
          </w:tcPr>
          <w:p w14:paraId="6544A93C"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41</w:t>
            </w:r>
          </w:p>
        </w:tc>
        <w:tc>
          <w:tcPr>
            <w:tcW w:w="439" w:type="pct"/>
            <w:tcBorders>
              <w:top w:val="nil"/>
              <w:left w:val="nil"/>
              <w:bottom w:val="nil"/>
              <w:right w:val="nil"/>
            </w:tcBorders>
            <w:shd w:val="clear" w:color="000000" w:fill="FFFFFF"/>
            <w:noWrap/>
            <w:vAlign w:val="center"/>
            <w:hideMark/>
          </w:tcPr>
          <w:p w14:paraId="161D4482"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35.1</w:t>
            </w:r>
          </w:p>
        </w:tc>
        <w:tc>
          <w:tcPr>
            <w:tcW w:w="439" w:type="pct"/>
            <w:tcBorders>
              <w:top w:val="nil"/>
              <w:left w:val="nil"/>
              <w:bottom w:val="nil"/>
              <w:right w:val="nil"/>
            </w:tcBorders>
            <w:shd w:val="clear" w:color="000000" w:fill="FFFFFF"/>
            <w:noWrap/>
            <w:vAlign w:val="center"/>
            <w:hideMark/>
          </w:tcPr>
          <w:p w14:paraId="7BD9DD4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57</w:t>
            </w:r>
          </w:p>
        </w:tc>
        <w:tc>
          <w:tcPr>
            <w:tcW w:w="439" w:type="pct"/>
            <w:tcBorders>
              <w:top w:val="nil"/>
              <w:left w:val="nil"/>
              <w:bottom w:val="nil"/>
              <w:right w:val="nil"/>
            </w:tcBorders>
            <w:shd w:val="clear" w:color="000000" w:fill="FFFFFF"/>
            <w:noWrap/>
            <w:vAlign w:val="center"/>
            <w:hideMark/>
          </w:tcPr>
          <w:p w14:paraId="700BEE5F"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9.1</w:t>
            </w:r>
          </w:p>
        </w:tc>
        <w:tc>
          <w:tcPr>
            <w:tcW w:w="439" w:type="pct"/>
            <w:tcBorders>
              <w:top w:val="nil"/>
              <w:left w:val="nil"/>
              <w:bottom w:val="nil"/>
              <w:right w:val="nil"/>
            </w:tcBorders>
            <w:shd w:val="clear" w:color="000000" w:fill="F2F2F2"/>
            <w:noWrap/>
            <w:vAlign w:val="center"/>
            <w:hideMark/>
          </w:tcPr>
          <w:p w14:paraId="14C4A83A"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63</w:t>
            </w:r>
          </w:p>
        </w:tc>
        <w:tc>
          <w:tcPr>
            <w:tcW w:w="439" w:type="pct"/>
            <w:tcBorders>
              <w:top w:val="nil"/>
              <w:left w:val="nil"/>
              <w:bottom w:val="nil"/>
              <w:right w:val="nil"/>
            </w:tcBorders>
            <w:shd w:val="clear" w:color="000000" w:fill="F2F2F2"/>
            <w:noWrap/>
            <w:vAlign w:val="center"/>
            <w:hideMark/>
          </w:tcPr>
          <w:p w14:paraId="57767A55"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12.3</w:t>
            </w:r>
          </w:p>
        </w:tc>
      </w:tr>
      <w:tr w:rsidR="00C95D7C" w:rsidRPr="00C95D7C" w14:paraId="65F7ECD7" w14:textId="77777777" w:rsidTr="003A0934">
        <w:trPr>
          <w:trHeight w:val="227"/>
        </w:trPr>
        <w:tc>
          <w:tcPr>
            <w:tcW w:w="1488" w:type="pct"/>
            <w:tcBorders>
              <w:top w:val="nil"/>
              <w:left w:val="nil"/>
              <w:bottom w:val="nil"/>
              <w:right w:val="nil"/>
            </w:tcBorders>
            <w:shd w:val="clear" w:color="000000" w:fill="FFFFFF"/>
            <w:noWrap/>
            <w:vAlign w:val="center"/>
            <w:hideMark/>
          </w:tcPr>
          <w:p w14:paraId="6B033EAD"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Trade (g)</w:t>
            </w:r>
          </w:p>
        </w:tc>
        <w:tc>
          <w:tcPr>
            <w:tcW w:w="439" w:type="pct"/>
            <w:tcBorders>
              <w:top w:val="nil"/>
              <w:left w:val="nil"/>
              <w:bottom w:val="nil"/>
              <w:right w:val="nil"/>
            </w:tcBorders>
            <w:shd w:val="clear" w:color="000000" w:fill="FFFFFF"/>
            <w:vAlign w:val="center"/>
            <w:hideMark/>
          </w:tcPr>
          <w:p w14:paraId="76885FB7"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26</w:t>
            </w:r>
          </w:p>
        </w:tc>
        <w:tc>
          <w:tcPr>
            <w:tcW w:w="439" w:type="pct"/>
            <w:tcBorders>
              <w:top w:val="nil"/>
              <w:left w:val="nil"/>
              <w:bottom w:val="nil"/>
              <w:right w:val="nil"/>
            </w:tcBorders>
            <w:shd w:val="clear" w:color="000000" w:fill="FFFFFF"/>
            <w:vAlign w:val="center"/>
            <w:hideMark/>
          </w:tcPr>
          <w:p w14:paraId="68CCECD5"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3.6</w:t>
            </w:r>
          </w:p>
        </w:tc>
        <w:tc>
          <w:tcPr>
            <w:tcW w:w="439" w:type="pct"/>
            <w:tcBorders>
              <w:top w:val="nil"/>
              <w:left w:val="nil"/>
              <w:bottom w:val="nil"/>
              <w:right w:val="nil"/>
            </w:tcBorders>
            <w:shd w:val="clear" w:color="000000" w:fill="FFFFFF"/>
            <w:noWrap/>
            <w:vAlign w:val="center"/>
            <w:hideMark/>
          </w:tcPr>
          <w:p w14:paraId="18A6A33D"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24</w:t>
            </w:r>
          </w:p>
        </w:tc>
        <w:tc>
          <w:tcPr>
            <w:tcW w:w="439" w:type="pct"/>
            <w:tcBorders>
              <w:top w:val="nil"/>
              <w:left w:val="nil"/>
              <w:bottom w:val="nil"/>
              <w:right w:val="nil"/>
            </w:tcBorders>
            <w:shd w:val="clear" w:color="000000" w:fill="FFFFFF"/>
            <w:noWrap/>
            <w:vAlign w:val="center"/>
            <w:hideMark/>
          </w:tcPr>
          <w:p w14:paraId="4BD1184D"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4.0</w:t>
            </w:r>
          </w:p>
        </w:tc>
        <w:tc>
          <w:tcPr>
            <w:tcW w:w="439" w:type="pct"/>
            <w:tcBorders>
              <w:top w:val="nil"/>
              <w:left w:val="nil"/>
              <w:bottom w:val="nil"/>
              <w:right w:val="nil"/>
            </w:tcBorders>
            <w:shd w:val="clear" w:color="000000" w:fill="FFFFFF"/>
            <w:noWrap/>
            <w:vAlign w:val="center"/>
            <w:hideMark/>
          </w:tcPr>
          <w:p w14:paraId="2F9E243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24</w:t>
            </w:r>
          </w:p>
        </w:tc>
        <w:tc>
          <w:tcPr>
            <w:tcW w:w="439" w:type="pct"/>
            <w:tcBorders>
              <w:top w:val="nil"/>
              <w:left w:val="nil"/>
              <w:bottom w:val="nil"/>
              <w:right w:val="nil"/>
            </w:tcBorders>
            <w:shd w:val="clear" w:color="000000" w:fill="FFFFFF"/>
            <w:noWrap/>
            <w:vAlign w:val="center"/>
            <w:hideMark/>
          </w:tcPr>
          <w:p w14:paraId="60DFBDC0"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6.1</w:t>
            </w:r>
          </w:p>
        </w:tc>
        <w:tc>
          <w:tcPr>
            <w:tcW w:w="439" w:type="pct"/>
            <w:tcBorders>
              <w:top w:val="nil"/>
              <w:left w:val="nil"/>
              <w:bottom w:val="nil"/>
              <w:right w:val="nil"/>
            </w:tcBorders>
            <w:shd w:val="clear" w:color="000000" w:fill="F2F2F2"/>
            <w:noWrap/>
            <w:vAlign w:val="center"/>
            <w:hideMark/>
          </w:tcPr>
          <w:p w14:paraId="027F46F2"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27</w:t>
            </w:r>
          </w:p>
        </w:tc>
        <w:tc>
          <w:tcPr>
            <w:tcW w:w="439" w:type="pct"/>
            <w:tcBorders>
              <w:top w:val="nil"/>
              <w:left w:val="nil"/>
              <w:bottom w:val="nil"/>
              <w:right w:val="nil"/>
            </w:tcBorders>
            <w:shd w:val="clear" w:color="000000" w:fill="F2F2F2"/>
            <w:noWrap/>
            <w:vAlign w:val="center"/>
            <w:hideMark/>
          </w:tcPr>
          <w:p w14:paraId="67D15D5F"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4.3</w:t>
            </w:r>
          </w:p>
        </w:tc>
      </w:tr>
      <w:tr w:rsidR="00C95D7C" w:rsidRPr="00C95D7C" w14:paraId="7C711FCE" w14:textId="77777777" w:rsidTr="003A0934">
        <w:trPr>
          <w:trHeight w:val="227"/>
        </w:trPr>
        <w:tc>
          <w:tcPr>
            <w:tcW w:w="1488" w:type="pct"/>
            <w:tcBorders>
              <w:top w:val="nil"/>
              <w:left w:val="nil"/>
              <w:bottom w:val="nil"/>
              <w:right w:val="nil"/>
            </w:tcBorders>
            <w:shd w:val="clear" w:color="000000" w:fill="FFFFFF"/>
            <w:noWrap/>
            <w:vAlign w:val="center"/>
            <w:hideMark/>
          </w:tcPr>
          <w:p w14:paraId="7345D117"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Transport (h)</w:t>
            </w:r>
          </w:p>
        </w:tc>
        <w:tc>
          <w:tcPr>
            <w:tcW w:w="439" w:type="pct"/>
            <w:tcBorders>
              <w:top w:val="nil"/>
              <w:left w:val="nil"/>
              <w:bottom w:val="nil"/>
              <w:right w:val="nil"/>
            </w:tcBorders>
            <w:shd w:val="clear" w:color="000000" w:fill="FFFFFF"/>
            <w:vAlign w:val="center"/>
            <w:hideMark/>
          </w:tcPr>
          <w:p w14:paraId="58734927"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45</w:t>
            </w:r>
          </w:p>
        </w:tc>
        <w:tc>
          <w:tcPr>
            <w:tcW w:w="439" w:type="pct"/>
            <w:tcBorders>
              <w:top w:val="nil"/>
              <w:left w:val="nil"/>
              <w:bottom w:val="nil"/>
              <w:right w:val="nil"/>
            </w:tcBorders>
            <w:shd w:val="clear" w:color="000000" w:fill="FFFFFF"/>
            <w:vAlign w:val="center"/>
            <w:hideMark/>
          </w:tcPr>
          <w:p w14:paraId="59CA494A"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30.2</w:t>
            </w:r>
          </w:p>
        </w:tc>
        <w:tc>
          <w:tcPr>
            <w:tcW w:w="439" w:type="pct"/>
            <w:tcBorders>
              <w:top w:val="nil"/>
              <w:left w:val="nil"/>
              <w:bottom w:val="nil"/>
              <w:right w:val="nil"/>
            </w:tcBorders>
            <w:shd w:val="clear" w:color="000000" w:fill="FFFFFF"/>
            <w:noWrap/>
            <w:vAlign w:val="center"/>
            <w:hideMark/>
          </w:tcPr>
          <w:p w14:paraId="406A79D8"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20</w:t>
            </w:r>
          </w:p>
        </w:tc>
        <w:tc>
          <w:tcPr>
            <w:tcW w:w="439" w:type="pct"/>
            <w:tcBorders>
              <w:top w:val="nil"/>
              <w:left w:val="nil"/>
              <w:bottom w:val="nil"/>
              <w:right w:val="nil"/>
            </w:tcBorders>
            <w:shd w:val="clear" w:color="000000" w:fill="FFFFFF"/>
            <w:noWrap/>
            <w:vAlign w:val="center"/>
            <w:hideMark/>
          </w:tcPr>
          <w:p w14:paraId="4FD124C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5.8</w:t>
            </w:r>
          </w:p>
        </w:tc>
        <w:tc>
          <w:tcPr>
            <w:tcW w:w="439" w:type="pct"/>
            <w:tcBorders>
              <w:top w:val="nil"/>
              <w:left w:val="nil"/>
              <w:bottom w:val="nil"/>
              <w:right w:val="nil"/>
            </w:tcBorders>
            <w:shd w:val="clear" w:color="000000" w:fill="FFFFFF"/>
            <w:noWrap/>
            <w:vAlign w:val="center"/>
            <w:hideMark/>
          </w:tcPr>
          <w:p w14:paraId="257C501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37</w:t>
            </w:r>
          </w:p>
        </w:tc>
        <w:tc>
          <w:tcPr>
            <w:tcW w:w="439" w:type="pct"/>
            <w:tcBorders>
              <w:top w:val="nil"/>
              <w:left w:val="nil"/>
              <w:bottom w:val="nil"/>
              <w:right w:val="nil"/>
            </w:tcBorders>
            <w:shd w:val="clear" w:color="000000" w:fill="FFFFFF"/>
            <w:noWrap/>
            <w:vAlign w:val="center"/>
            <w:hideMark/>
          </w:tcPr>
          <w:p w14:paraId="2D1A4B5E"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18.7</w:t>
            </w:r>
          </w:p>
        </w:tc>
        <w:tc>
          <w:tcPr>
            <w:tcW w:w="439" w:type="pct"/>
            <w:tcBorders>
              <w:top w:val="nil"/>
              <w:left w:val="nil"/>
              <w:bottom w:val="nil"/>
              <w:right w:val="nil"/>
            </w:tcBorders>
            <w:shd w:val="clear" w:color="000000" w:fill="F2F2F2"/>
            <w:noWrap/>
            <w:vAlign w:val="center"/>
            <w:hideMark/>
          </w:tcPr>
          <w:p w14:paraId="64CA1F07"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50</w:t>
            </w:r>
          </w:p>
        </w:tc>
        <w:tc>
          <w:tcPr>
            <w:tcW w:w="439" w:type="pct"/>
            <w:tcBorders>
              <w:top w:val="nil"/>
              <w:left w:val="nil"/>
              <w:bottom w:val="nil"/>
              <w:right w:val="nil"/>
            </w:tcBorders>
            <w:shd w:val="clear" w:color="000000" w:fill="F2F2F2"/>
            <w:noWrap/>
            <w:vAlign w:val="center"/>
            <w:hideMark/>
          </w:tcPr>
          <w:p w14:paraId="39152D2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14.8</w:t>
            </w:r>
          </w:p>
        </w:tc>
      </w:tr>
      <w:tr w:rsidR="00C95D7C" w:rsidRPr="00C95D7C" w14:paraId="0CD01C0D" w14:textId="77777777" w:rsidTr="003A0934">
        <w:trPr>
          <w:trHeight w:val="227"/>
        </w:trPr>
        <w:tc>
          <w:tcPr>
            <w:tcW w:w="1488" w:type="pct"/>
            <w:tcBorders>
              <w:top w:val="nil"/>
              <w:left w:val="nil"/>
              <w:bottom w:val="nil"/>
              <w:right w:val="nil"/>
            </w:tcBorders>
            <w:shd w:val="clear" w:color="000000" w:fill="FFFFFF"/>
            <w:noWrap/>
            <w:vAlign w:val="center"/>
            <w:hideMark/>
          </w:tcPr>
          <w:p w14:paraId="1ADE135B" w14:textId="77777777" w:rsidR="00C95D7C" w:rsidRPr="00C95D7C" w:rsidRDefault="00C95D7C" w:rsidP="008E3CA6">
            <w:pPr>
              <w:keepNext/>
              <w:keepLines/>
              <w:spacing w:after="0" w:line="240" w:lineRule="auto"/>
              <w:jc w:val="left"/>
              <w:rPr>
                <w:rFonts w:ascii="Arial" w:hAnsi="Arial" w:cs="Arial"/>
                <w:color w:val="auto"/>
                <w:sz w:val="16"/>
                <w:szCs w:val="16"/>
              </w:rPr>
            </w:pPr>
            <w:r w:rsidRPr="00C95D7C">
              <w:rPr>
                <w:rFonts w:ascii="Arial" w:hAnsi="Arial" w:cs="Arial"/>
                <w:color w:val="auto"/>
                <w:sz w:val="16"/>
                <w:szCs w:val="16"/>
              </w:rPr>
              <w:t>Other (</w:t>
            </w:r>
            <w:proofErr w:type="spellStart"/>
            <w:r w:rsidRPr="00C95D7C">
              <w:rPr>
                <w:rFonts w:ascii="Arial" w:hAnsi="Arial" w:cs="Arial"/>
                <w:color w:val="auto"/>
                <w:sz w:val="16"/>
                <w:szCs w:val="16"/>
              </w:rPr>
              <w:t>i</w:t>
            </w:r>
            <w:proofErr w:type="spellEnd"/>
            <w:r w:rsidRPr="00C95D7C">
              <w:rPr>
                <w:rFonts w:ascii="Arial" w:hAnsi="Arial" w:cs="Arial"/>
                <w:color w:val="auto"/>
                <w:sz w:val="16"/>
                <w:szCs w:val="16"/>
              </w:rPr>
              <w:t>)</w:t>
            </w:r>
          </w:p>
        </w:tc>
        <w:tc>
          <w:tcPr>
            <w:tcW w:w="439" w:type="pct"/>
            <w:tcBorders>
              <w:top w:val="nil"/>
              <w:left w:val="nil"/>
              <w:bottom w:val="nil"/>
              <w:right w:val="nil"/>
            </w:tcBorders>
            <w:shd w:val="clear" w:color="000000" w:fill="FFFFFF"/>
            <w:vAlign w:val="center"/>
            <w:hideMark/>
          </w:tcPr>
          <w:p w14:paraId="549944BA"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12</w:t>
            </w:r>
          </w:p>
        </w:tc>
        <w:tc>
          <w:tcPr>
            <w:tcW w:w="439" w:type="pct"/>
            <w:tcBorders>
              <w:top w:val="nil"/>
              <w:left w:val="nil"/>
              <w:bottom w:val="nil"/>
              <w:right w:val="nil"/>
            </w:tcBorders>
            <w:shd w:val="clear" w:color="000000" w:fill="FFFFFF"/>
            <w:vAlign w:val="center"/>
            <w:hideMark/>
          </w:tcPr>
          <w:p w14:paraId="16EE7607"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6.6</w:t>
            </w:r>
          </w:p>
        </w:tc>
        <w:tc>
          <w:tcPr>
            <w:tcW w:w="439" w:type="pct"/>
            <w:tcBorders>
              <w:top w:val="nil"/>
              <w:left w:val="nil"/>
              <w:bottom w:val="nil"/>
              <w:right w:val="nil"/>
            </w:tcBorders>
            <w:shd w:val="clear" w:color="000000" w:fill="FFFFFF"/>
            <w:noWrap/>
            <w:vAlign w:val="center"/>
            <w:hideMark/>
          </w:tcPr>
          <w:p w14:paraId="5532B7F1"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11</w:t>
            </w:r>
          </w:p>
        </w:tc>
        <w:tc>
          <w:tcPr>
            <w:tcW w:w="439" w:type="pct"/>
            <w:tcBorders>
              <w:top w:val="nil"/>
              <w:left w:val="nil"/>
              <w:bottom w:val="nil"/>
              <w:right w:val="nil"/>
            </w:tcBorders>
            <w:shd w:val="clear" w:color="000000" w:fill="FFFFFF"/>
            <w:noWrap/>
            <w:vAlign w:val="center"/>
            <w:hideMark/>
          </w:tcPr>
          <w:p w14:paraId="15C78ABF"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4.3</w:t>
            </w:r>
          </w:p>
        </w:tc>
        <w:tc>
          <w:tcPr>
            <w:tcW w:w="439" w:type="pct"/>
            <w:tcBorders>
              <w:top w:val="nil"/>
              <w:left w:val="nil"/>
              <w:bottom w:val="nil"/>
              <w:right w:val="nil"/>
            </w:tcBorders>
            <w:shd w:val="clear" w:color="000000" w:fill="FFFFFF"/>
            <w:noWrap/>
            <w:vAlign w:val="center"/>
            <w:hideMark/>
          </w:tcPr>
          <w:p w14:paraId="23226DF9"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20</w:t>
            </w:r>
          </w:p>
        </w:tc>
        <w:tc>
          <w:tcPr>
            <w:tcW w:w="439" w:type="pct"/>
            <w:tcBorders>
              <w:top w:val="nil"/>
              <w:left w:val="nil"/>
              <w:bottom w:val="nil"/>
              <w:right w:val="nil"/>
            </w:tcBorders>
            <w:shd w:val="clear" w:color="000000" w:fill="FFFFFF"/>
            <w:noWrap/>
            <w:vAlign w:val="center"/>
            <w:hideMark/>
          </w:tcPr>
          <w:p w14:paraId="7AE19FDA"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5.8</w:t>
            </w:r>
          </w:p>
        </w:tc>
        <w:tc>
          <w:tcPr>
            <w:tcW w:w="439" w:type="pct"/>
            <w:tcBorders>
              <w:top w:val="nil"/>
              <w:left w:val="nil"/>
              <w:bottom w:val="nil"/>
              <w:right w:val="nil"/>
            </w:tcBorders>
            <w:shd w:val="clear" w:color="000000" w:fill="F2F2F2"/>
            <w:noWrap/>
            <w:vAlign w:val="center"/>
            <w:hideMark/>
          </w:tcPr>
          <w:p w14:paraId="3CBE6974"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14</w:t>
            </w:r>
          </w:p>
        </w:tc>
        <w:tc>
          <w:tcPr>
            <w:tcW w:w="439" w:type="pct"/>
            <w:tcBorders>
              <w:top w:val="nil"/>
              <w:left w:val="nil"/>
              <w:bottom w:val="nil"/>
              <w:right w:val="nil"/>
            </w:tcBorders>
            <w:shd w:val="clear" w:color="000000" w:fill="F2F2F2"/>
            <w:noWrap/>
            <w:vAlign w:val="center"/>
            <w:hideMark/>
          </w:tcPr>
          <w:p w14:paraId="6FE05956" w14:textId="77777777" w:rsidR="00C95D7C" w:rsidRPr="00C95D7C" w:rsidRDefault="00C95D7C" w:rsidP="008E3CA6">
            <w:pPr>
              <w:keepNext/>
              <w:keepLines/>
              <w:spacing w:after="0" w:line="240" w:lineRule="auto"/>
              <w:jc w:val="right"/>
              <w:rPr>
                <w:rFonts w:ascii="Arial" w:hAnsi="Arial" w:cs="Arial"/>
                <w:color w:val="auto"/>
                <w:sz w:val="16"/>
                <w:szCs w:val="16"/>
              </w:rPr>
            </w:pPr>
            <w:r w:rsidRPr="00C95D7C">
              <w:rPr>
                <w:rFonts w:ascii="Arial" w:hAnsi="Arial" w:cs="Arial"/>
                <w:color w:val="auto"/>
                <w:sz w:val="16"/>
                <w:szCs w:val="16"/>
              </w:rPr>
              <w:t>2.7</w:t>
            </w:r>
          </w:p>
        </w:tc>
      </w:tr>
      <w:tr w:rsidR="00C95D7C" w:rsidRPr="00C95D7C" w14:paraId="3C49F943" w14:textId="77777777" w:rsidTr="003A0934">
        <w:trPr>
          <w:trHeight w:val="227"/>
        </w:trPr>
        <w:tc>
          <w:tcPr>
            <w:tcW w:w="1488" w:type="pct"/>
            <w:tcBorders>
              <w:top w:val="nil"/>
              <w:left w:val="nil"/>
              <w:bottom w:val="single" w:sz="4" w:space="0" w:color="auto"/>
              <w:right w:val="nil"/>
            </w:tcBorders>
            <w:shd w:val="clear" w:color="000000" w:fill="FFFFFF"/>
            <w:noWrap/>
            <w:vAlign w:val="center"/>
            <w:hideMark/>
          </w:tcPr>
          <w:p w14:paraId="26D0D01A" w14:textId="77777777" w:rsidR="00C95D7C" w:rsidRPr="00C95D7C" w:rsidRDefault="00C95D7C" w:rsidP="008E3CA6">
            <w:pPr>
              <w:keepNext/>
              <w:keepLines/>
              <w:spacing w:after="0" w:line="240" w:lineRule="auto"/>
              <w:jc w:val="left"/>
              <w:rPr>
                <w:rFonts w:ascii="Arial" w:hAnsi="Arial" w:cs="Arial"/>
                <w:b/>
                <w:bCs/>
                <w:color w:val="auto"/>
                <w:sz w:val="16"/>
                <w:szCs w:val="16"/>
              </w:rPr>
            </w:pPr>
            <w:r w:rsidRPr="00C95D7C">
              <w:rPr>
                <w:rFonts w:ascii="Arial" w:hAnsi="Arial" w:cs="Arial"/>
                <w:b/>
                <w:bCs/>
                <w:color w:val="auto"/>
                <w:sz w:val="16"/>
                <w:szCs w:val="16"/>
              </w:rPr>
              <w:t>Total</w:t>
            </w:r>
          </w:p>
        </w:tc>
        <w:tc>
          <w:tcPr>
            <w:tcW w:w="439" w:type="pct"/>
            <w:tcBorders>
              <w:top w:val="single" w:sz="4" w:space="0" w:color="auto"/>
              <w:left w:val="nil"/>
              <w:bottom w:val="single" w:sz="4" w:space="0" w:color="auto"/>
              <w:right w:val="nil"/>
            </w:tcBorders>
            <w:shd w:val="clear" w:color="000000" w:fill="FFFFFF"/>
            <w:noWrap/>
            <w:vAlign w:val="center"/>
            <w:hideMark/>
          </w:tcPr>
          <w:p w14:paraId="33CC43D2"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215</w:t>
            </w:r>
          </w:p>
        </w:tc>
        <w:tc>
          <w:tcPr>
            <w:tcW w:w="439" w:type="pct"/>
            <w:tcBorders>
              <w:top w:val="single" w:sz="4" w:space="0" w:color="auto"/>
              <w:left w:val="nil"/>
              <w:bottom w:val="single" w:sz="4" w:space="0" w:color="auto"/>
              <w:right w:val="nil"/>
            </w:tcBorders>
            <w:shd w:val="clear" w:color="000000" w:fill="FFFFFF"/>
            <w:noWrap/>
            <w:vAlign w:val="center"/>
            <w:hideMark/>
          </w:tcPr>
          <w:p w14:paraId="3E52A8FB"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56.5</w:t>
            </w:r>
          </w:p>
        </w:tc>
        <w:tc>
          <w:tcPr>
            <w:tcW w:w="439" w:type="pct"/>
            <w:tcBorders>
              <w:top w:val="single" w:sz="4" w:space="0" w:color="auto"/>
              <w:left w:val="nil"/>
              <w:bottom w:val="single" w:sz="4" w:space="0" w:color="auto"/>
              <w:right w:val="nil"/>
            </w:tcBorders>
            <w:shd w:val="clear" w:color="000000" w:fill="FFFFFF"/>
            <w:noWrap/>
            <w:vAlign w:val="center"/>
            <w:hideMark/>
          </w:tcPr>
          <w:p w14:paraId="042968EC"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185</w:t>
            </w:r>
          </w:p>
        </w:tc>
        <w:tc>
          <w:tcPr>
            <w:tcW w:w="439" w:type="pct"/>
            <w:tcBorders>
              <w:top w:val="single" w:sz="4" w:space="0" w:color="auto"/>
              <w:left w:val="nil"/>
              <w:bottom w:val="single" w:sz="4" w:space="0" w:color="auto"/>
              <w:right w:val="nil"/>
            </w:tcBorders>
            <w:shd w:val="clear" w:color="000000" w:fill="FFFFFF"/>
            <w:noWrap/>
            <w:vAlign w:val="center"/>
            <w:hideMark/>
          </w:tcPr>
          <w:p w14:paraId="43AAE101"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63.2</w:t>
            </w:r>
          </w:p>
        </w:tc>
        <w:tc>
          <w:tcPr>
            <w:tcW w:w="439" w:type="pct"/>
            <w:tcBorders>
              <w:top w:val="single" w:sz="4" w:space="0" w:color="auto"/>
              <w:left w:val="nil"/>
              <w:bottom w:val="single" w:sz="4" w:space="0" w:color="auto"/>
              <w:right w:val="nil"/>
            </w:tcBorders>
            <w:shd w:val="clear" w:color="000000" w:fill="FFFFFF"/>
            <w:noWrap/>
            <w:vAlign w:val="center"/>
            <w:hideMark/>
          </w:tcPr>
          <w:p w14:paraId="0D86B0D8"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245</w:t>
            </w:r>
          </w:p>
        </w:tc>
        <w:tc>
          <w:tcPr>
            <w:tcW w:w="439" w:type="pct"/>
            <w:tcBorders>
              <w:top w:val="single" w:sz="4" w:space="0" w:color="auto"/>
              <w:left w:val="nil"/>
              <w:bottom w:val="single" w:sz="4" w:space="0" w:color="auto"/>
              <w:right w:val="nil"/>
            </w:tcBorders>
            <w:shd w:val="clear" w:color="000000" w:fill="FFFFFF"/>
            <w:noWrap/>
            <w:vAlign w:val="center"/>
            <w:hideMark/>
          </w:tcPr>
          <w:p w14:paraId="033AFAE8"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76.0</w:t>
            </w:r>
          </w:p>
        </w:tc>
        <w:tc>
          <w:tcPr>
            <w:tcW w:w="439" w:type="pct"/>
            <w:tcBorders>
              <w:top w:val="single" w:sz="4" w:space="0" w:color="auto"/>
              <w:left w:val="nil"/>
              <w:bottom w:val="single" w:sz="4" w:space="0" w:color="auto"/>
              <w:right w:val="nil"/>
            </w:tcBorders>
            <w:shd w:val="clear" w:color="000000" w:fill="F2F2F2"/>
            <w:noWrap/>
            <w:vAlign w:val="center"/>
            <w:hideMark/>
          </w:tcPr>
          <w:p w14:paraId="08B83EBF"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296</w:t>
            </w:r>
          </w:p>
        </w:tc>
        <w:tc>
          <w:tcPr>
            <w:tcW w:w="439" w:type="pct"/>
            <w:tcBorders>
              <w:top w:val="single" w:sz="4" w:space="0" w:color="auto"/>
              <w:left w:val="nil"/>
              <w:bottom w:val="single" w:sz="4" w:space="0" w:color="auto"/>
              <w:right w:val="nil"/>
            </w:tcBorders>
            <w:shd w:val="clear" w:color="000000" w:fill="F2F2F2"/>
            <w:noWrap/>
            <w:vAlign w:val="center"/>
            <w:hideMark/>
          </w:tcPr>
          <w:p w14:paraId="1F4BDC2A" w14:textId="77777777" w:rsidR="00C95D7C" w:rsidRPr="00C95D7C" w:rsidRDefault="00C95D7C" w:rsidP="008E3CA6">
            <w:pPr>
              <w:keepNext/>
              <w:keepLines/>
              <w:spacing w:after="0" w:line="240" w:lineRule="auto"/>
              <w:jc w:val="right"/>
              <w:rPr>
                <w:rFonts w:ascii="Arial" w:hAnsi="Arial" w:cs="Arial"/>
                <w:b/>
                <w:bCs/>
                <w:color w:val="auto"/>
                <w:sz w:val="16"/>
                <w:szCs w:val="16"/>
              </w:rPr>
            </w:pPr>
            <w:r w:rsidRPr="00C95D7C">
              <w:rPr>
                <w:rFonts w:ascii="Arial" w:hAnsi="Arial" w:cs="Arial"/>
                <w:b/>
                <w:bCs/>
                <w:color w:val="auto"/>
                <w:sz w:val="16"/>
                <w:szCs w:val="16"/>
              </w:rPr>
              <w:t>73.6</w:t>
            </w:r>
          </w:p>
        </w:tc>
      </w:tr>
    </w:tbl>
    <w:p w14:paraId="7CEC4AE7" w14:textId="77777777" w:rsidR="00C95D7C" w:rsidRDefault="00C95D7C" w:rsidP="008E3CA6">
      <w:pPr>
        <w:pStyle w:val="Caveat"/>
        <w:keepNext/>
        <w:keepLines/>
      </w:pPr>
      <w:r w:rsidRPr="00BF48CD">
        <w:t xml:space="preserve">Before republishing this data or comparing between years, thoroughly review the methodological and data caveats in Appendix B. </w:t>
      </w:r>
    </w:p>
    <w:p w14:paraId="1002740F" w14:textId="77777777" w:rsidR="00C95D7C" w:rsidRPr="005F1ACD" w:rsidRDefault="00C95D7C" w:rsidP="00377D63">
      <w:pPr>
        <w:pStyle w:val="ChartandTableFootnoteAlpha"/>
        <w:numPr>
          <w:ilvl w:val="0"/>
          <w:numId w:val="52"/>
        </w:numPr>
      </w:pPr>
      <w:r w:rsidRPr="005F1ACD">
        <w:t>Comprises: accommodation; food and beverage services.</w:t>
      </w:r>
    </w:p>
    <w:p w14:paraId="492B2BE8" w14:textId="77777777" w:rsidR="00C95D7C" w:rsidRPr="005F1ACD" w:rsidRDefault="00C95D7C" w:rsidP="00377D63">
      <w:pPr>
        <w:pStyle w:val="ChartandTableFootnoteAlpha"/>
      </w:pPr>
      <w:r w:rsidRPr="005F1ACD">
        <w:t>Comprises: heritage activities; creative and performing arts; sports and recreation and gambling.</w:t>
      </w:r>
    </w:p>
    <w:p w14:paraId="18402F90" w14:textId="77777777" w:rsidR="00C95D7C" w:rsidRPr="005F1ACD" w:rsidRDefault="00C95D7C" w:rsidP="00377D63">
      <w:pPr>
        <w:pStyle w:val="ChartandTableFootnoteAlpha"/>
      </w:pPr>
      <w:r w:rsidRPr="005F1ACD">
        <w:t>Comprises: publishing (including internet); motion picture and sound recording activities; broadcasting (including internet); and telecommunication services (including internet).</w:t>
      </w:r>
    </w:p>
    <w:p w14:paraId="716D5757" w14:textId="77777777" w:rsidR="00C95D7C" w:rsidRPr="005F1ACD" w:rsidRDefault="00C95D7C" w:rsidP="00377D63">
      <w:pPr>
        <w:pStyle w:val="ChartandTableFootnoteAlpha"/>
      </w:pPr>
      <w:r w:rsidRPr="005F1ACD">
        <w:t>Comprises: building construction; heavy and civil engineering construction and services to construction.</w:t>
      </w:r>
    </w:p>
    <w:p w14:paraId="0ABC8F02" w14:textId="77777777" w:rsidR="00C95D7C" w:rsidRPr="005F1ACD" w:rsidRDefault="00C95D7C" w:rsidP="00377D63">
      <w:pPr>
        <w:pStyle w:val="ChartandTableFootnoteAlpha"/>
      </w:pPr>
      <w:r w:rsidRPr="005F1ACD">
        <w:t>Comprises: hospitals; medical and other health care services; residential and social assistance services.</w:t>
      </w:r>
    </w:p>
    <w:p w14:paraId="7EC6F080" w14:textId="77777777" w:rsidR="00C95D7C" w:rsidRPr="005F1ACD" w:rsidRDefault="00C95D7C" w:rsidP="00377D63">
      <w:pPr>
        <w:pStyle w:val="ChartandTableFootnoteAlpha"/>
      </w:pPr>
      <w:r w:rsidRPr="005F1ACD">
        <w:t>Comprises: property and real estate operators; professional, scientific and technical services; computer system design services; and administrative services.</w:t>
      </w:r>
    </w:p>
    <w:p w14:paraId="31056838" w14:textId="37008F4A" w:rsidR="00C95D7C" w:rsidRPr="005F1ACD" w:rsidRDefault="00C95D7C" w:rsidP="00377D63">
      <w:pPr>
        <w:pStyle w:val="ChartandTableFootnoteAlpha"/>
      </w:pPr>
      <w:r w:rsidRPr="005F1ACD">
        <w:t>Comprises: wholesaling of basic material, machinery and equipment, grocery, liquor and tobacco products; motor vehicle and motor vehicle parts retailing; retailing of fuel, food and other store based retailing; and non</w:t>
      </w:r>
      <w:r w:rsidR="00BD4D19">
        <w:noBreakHyphen/>
      </w:r>
      <w:r w:rsidRPr="005F1ACD">
        <w:t>store retailing and retail commission</w:t>
      </w:r>
      <w:r w:rsidR="00BD4D19">
        <w:noBreakHyphen/>
      </w:r>
      <w:r w:rsidRPr="005F1ACD">
        <w:t>based buying and/or selling.</w:t>
      </w:r>
    </w:p>
    <w:p w14:paraId="377C00CA" w14:textId="77777777" w:rsidR="00C95D7C" w:rsidRPr="005F1ACD" w:rsidRDefault="00C95D7C" w:rsidP="00377D63">
      <w:pPr>
        <w:pStyle w:val="ChartandTableFootnoteAlpha"/>
      </w:pPr>
      <w:r w:rsidRPr="005F1ACD">
        <w:t>Comprises: road, rail, water, air and space, postal and courier (pickup and delivery), warehousing and storage; and transport support services.</w:t>
      </w:r>
    </w:p>
    <w:p w14:paraId="2B37140F" w14:textId="77777777" w:rsidR="00C95D7C" w:rsidRPr="005F1ACD" w:rsidRDefault="00C95D7C" w:rsidP="00377D63">
      <w:pPr>
        <w:pStyle w:val="ChartandTableFootnoteAlpha"/>
      </w:pPr>
      <w:r w:rsidRPr="005F1ACD">
        <w:t>Comprises: repair and maintenance; public administration; defence; education related services; and personal and other services.</w:t>
      </w:r>
    </w:p>
    <w:p w14:paraId="34DFAE4F" w14:textId="77777777" w:rsidR="00DE56DC" w:rsidRPr="00820C89" w:rsidRDefault="00DE56DC" w:rsidP="00DE56DC">
      <w:pPr>
        <w:pStyle w:val="Heading3"/>
      </w:pPr>
      <w:r w:rsidRPr="00820C89">
        <w:t>Commercial real estate</w:t>
      </w:r>
    </w:p>
    <w:p w14:paraId="17ADBE08" w14:textId="77777777" w:rsidR="008E3CA6" w:rsidRDefault="008E3CA6" w:rsidP="008E3CA6">
      <w:bookmarkStart w:id="119" w:name="_Toc32247769"/>
      <w:r>
        <w:t>In 2019</w:t>
      </w:r>
      <w:r w:rsidR="00F26A86">
        <w:t>–</w:t>
      </w:r>
      <w:r>
        <w:t>20, there was a decrease in both the number and value of approvals in the commercial real estate sector. There were 44</w:t>
      </w:r>
      <w:r w:rsidR="00B617FA">
        <w:t>0</w:t>
      </w:r>
      <w:r w:rsidR="00834A94">
        <w:t> </w:t>
      </w:r>
      <w:r>
        <w:t>approvals valued at $</w:t>
      </w:r>
      <w:r w:rsidR="00A13501">
        <w:t>38.8</w:t>
      </w:r>
      <w:r w:rsidR="00834A94">
        <w:t> </w:t>
      </w:r>
      <w:r>
        <w:t>billion compared to 2018</w:t>
      </w:r>
      <w:r w:rsidR="00F26A86">
        <w:t>–</w:t>
      </w:r>
      <w:r>
        <w:t>19 where there were 487</w:t>
      </w:r>
      <w:r w:rsidR="00834A94">
        <w:t> </w:t>
      </w:r>
      <w:r>
        <w:t>approvals valued at $73.0</w:t>
      </w:r>
      <w:r w:rsidR="00834A94">
        <w:t> </w:t>
      </w:r>
      <w:r>
        <w:t xml:space="preserve">billion. </w:t>
      </w:r>
    </w:p>
    <w:p w14:paraId="7F5FE7E2" w14:textId="2BBAF63C" w:rsidR="008E3CA6" w:rsidRDefault="008E3CA6" w:rsidP="008E3CA6">
      <w:r>
        <w:t>The number of approvals of proposed investment in developed commercial real estate increased (221 in 2018</w:t>
      </w:r>
      <w:r w:rsidR="00F26A86">
        <w:t>–</w:t>
      </w:r>
      <w:r>
        <w:t>19 to 24</w:t>
      </w:r>
      <w:r w:rsidR="006368C8">
        <w:t>7</w:t>
      </w:r>
      <w:r>
        <w:t xml:space="preserve"> in 2019</w:t>
      </w:r>
      <w:r w:rsidR="00F26A86">
        <w:t>–</w:t>
      </w:r>
      <w:r>
        <w:t>20) while the total value decreased ($58.3</w:t>
      </w:r>
      <w:r w:rsidR="008B6EC4">
        <w:t> </w:t>
      </w:r>
      <w:r>
        <w:t>billion in 2018</w:t>
      </w:r>
      <w:r w:rsidR="00F26A86">
        <w:t>–</w:t>
      </w:r>
      <w:r>
        <w:t>19 to $2</w:t>
      </w:r>
      <w:r w:rsidR="00B617FA">
        <w:t>8.2</w:t>
      </w:r>
      <w:r w:rsidR="008B6EC4">
        <w:t> </w:t>
      </w:r>
      <w:r>
        <w:t>billion in 2019</w:t>
      </w:r>
      <w:r w:rsidR="00F26A86">
        <w:t>–</w:t>
      </w:r>
      <w:r>
        <w:t xml:space="preserve">20). </w:t>
      </w:r>
      <w:r w:rsidR="00AD2636">
        <w:t>The rise in the number of applications despite the fall in value</w:t>
      </w:r>
      <w:r>
        <w:t xml:space="preserve"> can in part be explained by the introduction of </w:t>
      </w:r>
      <w:r w:rsidR="00B84757">
        <w:t>the</w:t>
      </w:r>
      <w:r w:rsidR="00B84757" w:rsidRPr="00B84757">
        <w:t xml:space="preserve"> </w:t>
      </w:r>
      <w:r w:rsidR="00B84757">
        <w:t>z</w:t>
      </w:r>
      <w:r w:rsidR="00B84757" w:rsidRPr="00B84757">
        <w:t>ero dollar threshold</w:t>
      </w:r>
      <w:r w:rsidR="00B84757" w:rsidRPr="00B84757" w:rsidDel="007A0668">
        <w:t xml:space="preserve"> </w:t>
      </w:r>
      <w:r>
        <w:t>changes on 29</w:t>
      </w:r>
      <w:r w:rsidR="008B6EC4">
        <w:t> March </w:t>
      </w:r>
      <w:r>
        <w:t xml:space="preserve">2020, which led to </w:t>
      </w:r>
      <w:r w:rsidR="00FC433B">
        <w:t>applications for a variety of low</w:t>
      </w:r>
      <w:r w:rsidR="00BD4D19">
        <w:noBreakHyphen/>
      </w:r>
      <w:r w:rsidR="00FC433B">
        <w:t>value small business premises that would previously</w:t>
      </w:r>
      <w:r w:rsidR="00D66465">
        <w:t xml:space="preserve"> have</w:t>
      </w:r>
      <w:r w:rsidR="00FC433B">
        <w:t xml:space="preserve"> been</w:t>
      </w:r>
      <w:r>
        <w:t xml:space="preserve"> below the </w:t>
      </w:r>
      <w:r w:rsidR="00D66465">
        <w:t>pre</w:t>
      </w:r>
      <w:r w:rsidR="00BD4D19">
        <w:noBreakHyphen/>
      </w:r>
      <w:r w:rsidR="00D66465">
        <w:t xml:space="preserve">existing </w:t>
      </w:r>
      <w:r>
        <w:t>monetary thresholds.</w:t>
      </w:r>
    </w:p>
    <w:p w14:paraId="1D4FC509" w14:textId="77777777" w:rsidR="009953D0" w:rsidRPr="00820C89" w:rsidRDefault="009953D0" w:rsidP="008E3CA6">
      <w:pPr>
        <w:pStyle w:val="TableMainHeading"/>
        <w:keepLines/>
      </w:pPr>
      <w:bookmarkStart w:id="120" w:name="_Toc63798279"/>
      <w:bookmarkStart w:id="121" w:name="_Toc73984738"/>
      <w:r w:rsidRPr="00820C89">
        <w:t>Table 3.</w:t>
      </w:r>
      <w:r w:rsidR="00A359D3">
        <w:t>11</w:t>
      </w:r>
      <w:r w:rsidRPr="00820C89">
        <w:t>: Commercial real estate approvals, by type: 201</w:t>
      </w:r>
      <w:r>
        <w:t>6</w:t>
      </w:r>
      <w:r w:rsidRPr="00820C89">
        <w:t>–1</w:t>
      </w:r>
      <w:r>
        <w:t>7</w:t>
      </w:r>
      <w:r w:rsidRPr="00820C89">
        <w:t xml:space="preserve"> to 201</w:t>
      </w:r>
      <w:r>
        <w:t>9</w:t>
      </w:r>
      <w:r w:rsidRPr="00820C89">
        <w:t>–</w:t>
      </w:r>
      <w:r>
        <w:t>20</w:t>
      </w:r>
      <w:bookmarkEnd w:id="120"/>
      <w:bookmarkEnd w:id="121"/>
    </w:p>
    <w:tbl>
      <w:tblPr>
        <w:tblW w:w="5000" w:type="pct"/>
        <w:tblLook w:val="04A0" w:firstRow="1" w:lastRow="0" w:firstColumn="1" w:lastColumn="0" w:noHBand="0" w:noVBand="1"/>
      </w:tblPr>
      <w:tblGrid>
        <w:gridCol w:w="2849"/>
        <w:gridCol w:w="582"/>
        <w:gridCol w:w="635"/>
        <w:gridCol w:w="581"/>
        <w:gridCol w:w="635"/>
        <w:gridCol w:w="581"/>
        <w:gridCol w:w="635"/>
        <w:gridCol w:w="581"/>
        <w:gridCol w:w="631"/>
      </w:tblGrid>
      <w:tr w:rsidR="006368C8" w:rsidRPr="006368C8" w14:paraId="42E0CDDF" w14:textId="77777777" w:rsidTr="00454210">
        <w:trPr>
          <w:trHeight w:val="225"/>
        </w:trPr>
        <w:tc>
          <w:tcPr>
            <w:tcW w:w="1847" w:type="pct"/>
            <w:tcBorders>
              <w:top w:val="single" w:sz="4" w:space="0" w:color="auto"/>
              <w:left w:val="nil"/>
              <w:bottom w:val="nil"/>
              <w:right w:val="nil"/>
            </w:tcBorders>
            <w:shd w:val="clear" w:color="000000" w:fill="FFFFFF"/>
            <w:noWrap/>
            <w:vAlign w:val="center"/>
            <w:hideMark/>
          </w:tcPr>
          <w:p w14:paraId="1846AE88" w14:textId="77777777" w:rsidR="006368C8" w:rsidRPr="006368C8" w:rsidRDefault="006368C8" w:rsidP="006368C8">
            <w:pPr>
              <w:spacing w:after="0" w:line="240" w:lineRule="auto"/>
              <w:jc w:val="left"/>
              <w:rPr>
                <w:rFonts w:ascii="Arial" w:hAnsi="Arial" w:cs="Arial"/>
                <w:sz w:val="16"/>
                <w:szCs w:val="16"/>
              </w:rPr>
            </w:pPr>
            <w:r w:rsidRPr="006368C8">
              <w:rPr>
                <w:rFonts w:ascii="Arial" w:hAnsi="Arial" w:cs="Arial"/>
                <w:sz w:val="16"/>
                <w:szCs w:val="16"/>
              </w:rPr>
              <w:t> </w:t>
            </w:r>
          </w:p>
        </w:tc>
        <w:tc>
          <w:tcPr>
            <w:tcW w:w="788" w:type="pct"/>
            <w:gridSpan w:val="2"/>
            <w:tcBorders>
              <w:top w:val="single" w:sz="4" w:space="0" w:color="auto"/>
              <w:left w:val="nil"/>
              <w:bottom w:val="single" w:sz="4" w:space="0" w:color="auto"/>
              <w:right w:val="nil"/>
            </w:tcBorders>
            <w:shd w:val="clear" w:color="000000" w:fill="FFFFFF"/>
            <w:noWrap/>
            <w:vAlign w:val="center"/>
            <w:hideMark/>
          </w:tcPr>
          <w:p w14:paraId="6AA25D16"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2016</w:t>
            </w:r>
            <w:r w:rsidR="00F26A86">
              <w:rPr>
                <w:rFonts w:ascii="Arial" w:hAnsi="Arial" w:cs="Arial"/>
                <w:sz w:val="16"/>
                <w:szCs w:val="16"/>
              </w:rPr>
              <w:t>–</w:t>
            </w:r>
            <w:r w:rsidRPr="006368C8">
              <w:rPr>
                <w:rFonts w:ascii="Arial" w:hAnsi="Arial" w:cs="Arial"/>
                <w:sz w:val="16"/>
                <w:szCs w:val="16"/>
              </w:rPr>
              <w:t>17</w:t>
            </w:r>
          </w:p>
        </w:tc>
        <w:tc>
          <w:tcPr>
            <w:tcW w:w="788" w:type="pct"/>
            <w:gridSpan w:val="2"/>
            <w:tcBorders>
              <w:top w:val="single" w:sz="4" w:space="0" w:color="auto"/>
              <w:left w:val="nil"/>
              <w:bottom w:val="single" w:sz="4" w:space="0" w:color="auto"/>
              <w:right w:val="nil"/>
            </w:tcBorders>
            <w:shd w:val="clear" w:color="000000" w:fill="FFFFFF"/>
            <w:noWrap/>
            <w:vAlign w:val="center"/>
            <w:hideMark/>
          </w:tcPr>
          <w:p w14:paraId="71DA1258"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2017</w:t>
            </w:r>
            <w:r w:rsidR="00F26A86">
              <w:rPr>
                <w:rFonts w:ascii="Arial" w:hAnsi="Arial" w:cs="Arial"/>
                <w:color w:val="auto"/>
                <w:sz w:val="16"/>
                <w:szCs w:val="16"/>
              </w:rPr>
              <w:t>–</w:t>
            </w:r>
            <w:r w:rsidRPr="006368C8">
              <w:rPr>
                <w:rFonts w:ascii="Arial" w:hAnsi="Arial" w:cs="Arial"/>
                <w:color w:val="auto"/>
                <w:sz w:val="16"/>
                <w:szCs w:val="16"/>
              </w:rPr>
              <w:t>18</w:t>
            </w:r>
          </w:p>
        </w:tc>
        <w:tc>
          <w:tcPr>
            <w:tcW w:w="788" w:type="pct"/>
            <w:gridSpan w:val="2"/>
            <w:tcBorders>
              <w:top w:val="single" w:sz="4" w:space="0" w:color="auto"/>
              <w:left w:val="nil"/>
              <w:bottom w:val="single" w:sz="4" w:space="0" w:color="auto"/>
              <w:right w:val="nil"/>
            </w:tcBorders>
            <w:shd w:val="clear" w:color="000000" w:fill="FFFFFF"/>
            <w:noWrap/>
            <w:vAlign w:val="center"/>
            <w:hideMark/>
          </w:tcPr>
          <w:p w14:paraId="55FEB5C0"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2018</w:t>
            </w:r>
            <w:r w:rsidR="00F26A86">
              <w:rPr>
                <w:rFonts w:ascii="Arial" w:hAnsi="Arial" w:cs="Arial"/>
                <w:color w:val="auto"/>
                <w:sz w:val="16"/>
                <w:szCs w:val="16"/>
              </w:rPr>
              <w:t>–</w:t>
            </w:r>
            <w:r w:rsidRPr="006368C8">
              <w:rPr>
                <w:rFonts w:ascii="Arial" w:hAnsi="Arial" w:cs="Arial"/>
                <w:color w:val="auto"/>
                <w:sz w:val="16"/>
                <w:szCs w:val="16"/>
              </w:rPr>
              <w:t>19</w:t>
            </w:r>
          </w:p>
        </w:tc>
        <w:tc>
          <w:tcPr>
            <w:tcW w:w="788" w:type="pct"/>
            <w:gridSpan w:val="2"/>
            <w:tcBorders>
              <w:top w:val="single" w:sz="4" w:space="0" w:color="auto"/>
              <w:left w:val="nil"/>
              <w:bottom w:val="single" w:sz="4" w:space="0" w:color="auto"/>
              <w:right w:val="nil"/>
            </w:tcBorders>
            <w:shd w:val="clear" w:color="auto" w:fill="F2F2F2" w:themeFill="background1" w:themeFillShade="F2"/>
            <w:noWrap/>
            <w:vAlign w:val="center"/>
            <w:hideMark/>
          </w:tcPr>
          <w:p w14:paraId="278F634A" w14:textId="77777777" w:rsidR="006368C8" w:rsidRPr="006368C8" w:rsidRDefault="006368C8" w:rsidP="00877595">
            <w:pPr>
              <w:spacing w:after="0" w:line="240" w:lineRule="auto"/>
              <w:jc w:val="right"/>
              <w:rPr>
                <w:rFonts w:ascii="Arial" w:hAnsi="Arial" w:cs="Arial"/>
                <w:color w:val="auto"/>
                <w:sz w:val="16"/>
                <w:szCs w:val="16"/>
              </w:rPr>
            </w:pPr>
            <w:r w:rsidRPr="006368C8">
              <w:rPr>
                <w:rFonts w:ascii="Arial" w:hAnsi="Arial" w:cs="Arial"/>
                <w:color w:val="auto"/>
                <w:sz w:val="16"/>
                <w:szCs w:val="16"/>
              </w:rPr>
              <w:t>2019</w:t>
            </w:r>
            <w:r w:rsidR="00F26A86">
              <w:rPr>
                <w:rFonts w:ascii="Arial" w:hAnsi="Arial" w:cs="Arial"/>
                <w:color w:val="auto"/>
                <w:sz w:val="16"/>
                <w:szCs w:val="16"/>
              </w:rPr>
              <w:t>–</w:t>
            </w:r>
            <w:r w:rsidRPr="006368C8">
              <w:rPr>
                <w:rFonts w:ascii="Arial" w:hAnsi="Arial" w:cs="Arial"/>
                <w:color w:val="auto"/>
                <w:sz w:val="16"/>
                <w:szCs w:val="16"/>
              </w:rPr>
              <w:t>20</w:t>
            </w:r>
          </w:p>
        </w:tc>
      </w:tr>
      <w:tr w:rsidR="006368C8" w:rsidRPr="006368C8" w14:paraId="4E1CD4F7" w14:textId="77777777" w:rsidTr="00454210">
        <w:trPr>
          <w:trHeight w:val="225"/>
        </w:trPr>
        <w:tc>
          <w:tcPr>
            <w:tcW w:w="1847" w:type="pct"/>
            <w:tcBorders>
              <w:top w:val="nil"/>
              <w:left w:val="nil"/>
              <w:bottom w:val="single" w:sz="4" w:space="0" w:color="auto"/>
              <w:right w:val="nil"/>
            </w:tcBorders>
            <w:shd w:val="clear" w:color="000000" w:fill="FFFFFF"/>
            <w:noWrap/>
            <w:vAlign w:val="center"/>
            <w:hideMark/>
          </w:tcPr>
          <w:p w14:paraId="4546C27F" w14:textId="77777777" w:rsidR="006368C8" w:rsidRPr="006368C8" w:rsidRDefault="006368C8" w:rsidP="006368C8">
            <w:pPr>
              <w:spacing w:after="0" w:line="240" w:lineRule="auto"/>
              <w:jc w:val="left"/>
              <w:rPr>
                <w:rFonts w:ascii="Arial" w:hAnsi="Arial" w:cs="Arial"/>
                <w:sz w:val="16"/>
                <w:szCs w:val="16"/>
              </w:rPr>
            </w:pPr>
            <w:r w:rsidRPr="006368C8">
              <w:rPr>
                <w:rFonts w:ascii="Arial" w:hAnsi="Arial" w:cs="Arial"/>
                <w:sz w:val="16"/>
                <w:szCs w:val="16"/>
              </w:rPr>
              <w:t> </w:t>
            </w:r>
          </w:p>
        </w:tc>
        <w:tc>
          <w:tcPr>
            <w:tcW w:w="377" w:type="pct"/>
            <w:tcBorders>
              <w:top w:val="nil"/>
              <w:left w:val="nil"/>
              <w:bottom w:val="single" w:sz="4" w:space="0" w:color="auto"/>
              <w:right w:val="nil"/>
            </w:tcBorders>
            <w:shd w:val="clear" w:color="000000" w:fill="FFFFFF"/>
            <w:noWrap/>
            <w:vAlign w:val="center"/>
            <w:hideMark/>
          </w:tcPr>
          <w:p w14:paraId="46A05DD9"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No.</w:t>
            </w:r>
          </w:p>
        </w:tc>
        <w:tc>
          <w:tcPr>
            <w:tcW w:w="412" w:type="pct"/>
            <w:tcBorders>
              <w:top w:val="nil"/>
              <w:left w:val="nil"/>
              <w:bottom w:val="single" w:sz="4" w:space="0" w:color="auto"/>
              <w:right w:val="nil"/>
            </w:tcBorders>
            <w:shd w:val="clear" w:color="000000" w:fill="FFFFFF"/>
            <w:noWrap/>
            <w:vAlign w:val="center"/>
            <w:hideMark/>
          </w:tcPr>
          <w:p w14:paraId="113D3443"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$b</w:t>
            </w:r>
          </w:p>
        </w:tc>
        <w:tc>
          <w:tcPr>
            <w:tcW w:w="377" w:type="pct"/>
            <w:tcBorders>
              <w:top w:val="nil"/>
              <w:left w:val="nil"/>
              <w:bottom w:val="single" w:sz="4" w:space="0" w:color="auto"/>
              <w:right w:val="nil"/>
            </w:tcBorders>
            <w:shd w:val="clear" w:color="000000" w:fill="FFFFFF"/>
            <w:noWrap/>
            <w:vAlign w:val="center"/>
            <w:hideMark/>
          </w:tcPr>
          <w:p w14:paraId="740AAD6D"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No.</w:t>
            </w:r>
          </w:p>
        </w:tc>
        <w:tc>
          <w:tcPr>
            <w:tcW w:w="412" w:type="pct"/>
            <w:tcBorders>
              <w:top w:val="nil"/>
              <w:left w:val="nil"/>
              <w:bottom w:val="single" w:sz="4" w:space="0" w:color="auto"/>
              <w:right w:val="nil"/>
            </w:tcBorders>
            <w:shd w:val="clear" w:color="000000" w:fill="FFFFFF"/>
            <w:noWrap/>
            <w:vAlign w:val="center"/>
            <w:hideMark/>
          </w:tcPr>
          <w:p w14:paraId="58AC2C8D"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$b</w:t>
            </w:r>
          </w:p>
        </w:tc>
        <w:tc>
          <w:tcPr>
            <w:tcW w:w="377" w:type="pct"/>
            <w:tcBorders>
              <w:top w:val="nil"/>
              <w:left w:val="nil"/>
              <w:bottom w:val="single" w:sz="4" w:space="0" w:color="auto"/>
              <w:right w:val="nil"/>
            </w:tcBorders>
            <w:shd w:val="clear" w:color="000000" w:fill="FFFFFF"/>
            <w:noWrap/>
            <w:vAlign w:val="center"/>
            <w:hideMark/>
          </w:tcPr>
          <w:p w14:paraId="60360419"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No.</w:t>
            </w:r>
          </w:p>
        </w:tc>
        <w:tc>
          <w:tcPr>
            <w:tcW w:w="412" w:type="pct"/>
            <w:tcBorders>
              <w:top w:val="nil"/>
              <w:left w:val="nil"/>
              <w:bottom w:val="single" w:sz="4" w:space="0" w:color="auto"/>
              <w:right w:val="nil"/>
            </w:tcBorders>
            <w:shd w:val="clear" w:color="000000" w:fill="FFFFFF"/>
            <w:noWrap/>
            <w:vAlign w:val="center"/>
            <w:hideMark/>
          </w:tcPr>
          <w:p w14:paraId="13481BFC"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$b</w:t>
            </w:r>
          </w:p>
        </w:tc>
        <w:tc>
          <w:tcPr>
            <w:tcW w:w="377" w:type="pct"/>
            <w:tcBorders>
              <w:top w:val="nil"/>
              <w:left w:val="nil"/>
              <w:bottom w:val="single" w:sz="4" w:space="0" w:color="auto"/>
              <w:right w:val="nil"/>
            </w:tcBorders>
            <w:shd w:val="clear" w:color="auto" w:fill="F2F2F2" w:themeFill="background1" w:themeFillShade="F2"/>
            <w:noWrap/>
            <w:vAlign w:val="center"/>
            <w:hideMark/>
          </w:tcPr>
          <w:p w14:paraId="50665169"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No.</w:t>
            </w:r>
          </w:p>
        </w:tc>
        <w:tc>
          <w:tcPr>
            <w:tcW w:w="412" w:type="pct"/>
            <w:tcBorders>
              <w:top w:val="nil"/>
              <w:left w:val="nil"/>
              <w:bottom w:val="single" w:sz="4" w:space="0" w:color="auto"/>
              <w:right w:val="nil"/>
            </w:tcBorders>
            <w:shd w:val="clear" w:color="auto" w:fill="F2F2F2" w:themeFill="background1" w:themeFillShade="F2"/>
            <w:noWrap/>
            <w:vAlign w:val="center"/>
            <w:hideMark/>
          </w:tcPr>
          <w:p w14:paraId="004E1233"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$b</w:t>
            </w:r>
          </w:p>
        </w:tc>
      </w:tr>
      <w:tr w:rsidR="006368C8" w:rsidRPr="006368C8" w14:paraId="5960CA5C" w14:textId="77777777" w:rsidTr="00454210">
        <w:trPr>
          <w:trHeight w:val="225"/>
        </w:trPr>
        <w:tc>
          <w:tcPr>
            <w:tcW w:w="1847" w:type="pct"/>
            <w:tcBorders>
              <w:top w:val="nil"/>
              <w:left w:val="nil"/>
              <w:bottom w:val="nil"/>
              <w:right w:val="nil"/>
            </w:tcBorders>
            <w:shd w:val="clear" w:color="000000" w:fill="FFFFFF"/>
            <w:noWrap/>
            <w:vAlign w:val="center"/>
            <w:hideMark/>
          </w:tcPr>
          <w:p w14:paraId="4322E88A" w14:textId="77777777" w:rsidR="006368C8" w:rsidRPr="006368C8" w:rsidRDefault="006368C8" w:rsidP="006368C8">
            <w:pPr>
              <w:spacing w:after="0" w:line="240" w:lineRule="auto"/>
              <w:jc w:val="left"/>
              <w:rPr>
                <w:rFonts w:ascii="Arial" w:hAnsi="Arial" w:cs="Arial"/>
                <w:b/>
                <w:bCs/>
                <w:sz w:val="16"/>
                <w:szCs w:val="16"/>
              </w:rPr>
            </w:pPr>
            <w:r w:rsidRPr="006368C8">
              <w:rPr>
                <w:rFonts w:ascii="Arial" w:hAnsi="Arial" w:cs="Arial"/>
                <w:b/>
                <w:bCs/>
                <w:sz w:val="16"/>
                <w:szCs w:val="16"/>
              </w:rPr>
              <w:t>Commercial</w:t>
            </w:r>
          </w:p>
        </w:tc>
        <w:tc>
          <w:tcPr>
            <w:tcW w:w="377" w:type="pct"/>
            <w:tcBorders>
              <w:top w:val="nil"/>
              <w:left w:val="nil"/>
              <w:bottom w:val="nil"/>
              <w:right w:val="nil"/>
            </w:tcBorders>
            <w:shd w:val="clear" w:color="000000" w:fill="FFFFFF"/>
            <w:noWrap/>
            <w:vAlign w:val="center"/>
            <w:hideMark/>
          </w:tcPr>
          <w:p w14:paraId="2D3FD212"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 </w:t>
            </w:r>
          </w:p>
        </w:tc>
        <w:tc>
          <w:tcPr>
            <w:tcW w:w="412" w:type="pct"/>
            <w:tcBorders>
              <w:top w:val="nil"/>
              <w:left w:val="nil"/>
              <w:bottom w:val="nil"/>
              <w:right w:val="nil"/>
            </w:tcBorders>
            <w:shd w:val="clear" w:color="000000" w:fill="FFFFFF"/>
            <w:noWrap/>
            <w:vAlign w:val="center"/>
            <w:hideMark/>
          </w:tcPr>
          <w:p w14:paraId="046AD183"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 </w:t>
            </w:r>
          </w:p>
        </w:tc>
        <w:tc>
          <w:tcPr>
            <w:tcW w:w="377" w:type="pct"/>
            <w:tcBorders>
              <w:top w:val="nil"/>
              <w:left w:val="nil"/>
              <w:bottom w:val="nil"/>
              <w:right w:val="nil"/>
            </w:tcBorders>
            <w:shd w:val="clear" w:color="000000" w:fill="FFFFFF"/>
            <w:noWrap/>
            <w:vAlign w:val="center"/>
            <w:hideMark/>
          </w:tcPr>
          <w:p w14:paraId="10F44152"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057A9925"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377" w:type="pct"/>
            <w:tcBorders>
              <w:top w:val="nil"/>
              <w:left w:val="nil"/>
              <w:bottom w:val="nil"/>
              <w:right w:val="nil"/>
            </w:tcBorders>
            <w:shd w:val="clear" w:color="000000" w:fill="FFFFFF"/>
            <w:noWrap/>
            <w:vAlign w:val="center"/>
            <w:hideMark/>
          </w:tcPr>
          <w:p w14:paraId="4B51D651"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1D97ABE8"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377" w:type="pct"/>
            <w:tcBorders>
              <w:top w:val="nil"/>
              <w:left w:val="nil"/>
              <w:bottom w:val="nil"/>
              <w:right w:val="nil"/>
            </w:tcBorders>
            <w:shd w:val="clear" w:color="auto" w:fill="F2F2F2" w:themeFill="background1" w:themeFillShade="F2"/>
            <w:noWrap/>
            <w:vAlign w:val="center"/>
            <w:hideMark/>
          </w:tcPr>
          <w:p w14:paraId="5EAAABE3"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auto" w:fill="F2F2F2" w:themeFill="background1" w:themeFillShade="F2"/>
            <w:noWrap/>
            <w:vAlign w:val="center"/>
            <w:hideMark/>
          </w:tcPr>
          <w:p w14:paraId="5490FDAD"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r>
      <w:tr w:rsidR="006368C8" w:rsidRPr="006368C8" w14:paraId="3B06DD22" w14:textId="77777777" w:rsidTr="00454210">
        <w:trPr>
          <w:trHeight w:val="225"/>
        </w:trPr>
        <w:tc>
          <w:tcPr>
            <w:tcW w:w="1847" w:type="pct"/>
            <w:tcBorders>
              <w:top w:val="nil"/>
              <w:left w:val="nil"/>
              <w:bottom w:val="nil"/>
              <w:right w:val="nil"/>
            </w:tcBorders>
            <w:shd w:val="clear" w:color="000000" w:fill="FFFFFF"/>
            <w:noWrap/>
            <w:vAlign w:val="center"/>
            <w:hideMark/>
          </w:tcPr>
          <w:p w14:paraId="71401691" w14:textId="77777777" w:rsidR="006368C8" w:rsidRPr="006368C8" w:rsidRDefault="006368C8" w:rsidP="006368C8">
            <w:pPr>
              <w:spacing w:after="0" w:line="240" w:lineRule="auto"/>
              <w:jc w:val="left"/>
              <w:rPr>
                <w:rFonts w:ascii="Arial" w:hAnsi="Arial" w:cs="Arial"/>
                <w:sz w:val="16"/>
                <w:szCs w:val="16"/>
                <w:u w:val="single"/>
              </w:rPr>
            </w:pPr>
            <w:r w:rsidRPr="006368C8">
              <w:rPr>
                <w:rFonts w:ascii="Arial" w:hAnsi="Arial" w:cs="Arial"/>
                <w:sz w:val="16"/>
                <w:szCs w:val="16"/>
                <w:u w:val="single"/>
              </w:rPr>
              <w:t>Developed</w:t>
            </w:r>
          </w:p>
        </w:tc>
        <w:tc>
          <w:tcPr>
            <w:tcW w:w="377" w:type="pct"/>
            <w:tcBorders>
              <w:top w:val="nil"/>
              <w:left w:val="nil"/>
              <w:bottom w:val="nil"/>
              <w:right w:val="nil"/>
            </w:tcBorders>
            <w:shd w:val="clear" w:color="000000" w:fill="FFFFFF"/>
            <w:noWrap/>
            <w:vAlign w:val="center"/>
            <w:hideMark/>
          </w:tcPr>
          <w:p w14:paraId="42AEAF23"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 </w:t>
            </w:r>
          </w:p>
        </w:tc>
        <w:tc>
          <w:tcPr>
            <w:tcW w:w="412" w:type="pct"/>
            <w:tcBorders>
              <w:top w:val="nil"/>
              <w:left w:val="nil"/>
              <w:bottom w:val="nil"/>
              <w:right w:val="nil"/>
            </w:tcBorders>
            <w:shd w:val="clear" w:color="000000" w:fill="FFFFFF"/>
            <w:noWrap/>
            <w:vAlign w:val="center"/>
            <w:hideMark/>
          </w:tcPr>
          <w:p w14:paraId="4281B24C"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 </w:t>
            </w:r>
          </w:p>
        </w:tc>
        <w:tc>
          <w:tcPr>
            <w:tcW w:w="377" w:type="pct"/>
            <w:tcBorders>
              <w:top w:val="nil"/>
              <w:left w:val="nil"/>
              <w:bottom w:val="nil"/>
              <w:right w:val="nil"/>
            </w:tcBorders>
            <w:shd w:val="clear" w:color="000000" w:fill="FFFFFF"/>
            <w:noWrap/>
            <w:vAlign w:val="center"/>
            <w:hideMark/>
          </w:tcPr>
          <w:p w14:paraId="04A1EC9F"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52FF4F86"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377" w:type="pct"/>
            <w:tcBorders>
              <w:top w:val="nil"/>
              <w:left w:val="nil"/>
              <w:bottom w:val="nil"/>
              <w:right w:val="nil"/>
            </w:tcBorders>
            <w:shd w:val="clear" w:color="000000" w:fill="FFFFFF"/>
            <w:noWrap/>
            <w:vAlign w:val="center"/>
            <w:hideMark/>
          </w:tcPr>
          <w:p w14:paraId="279AB7A0"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758336D6"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377" w:type="pct"/>
            <w:tcBorders>
              <w:top w:val="nil"/>
              <w:left w:val="nil"/>
              <w:bottom w:val="nil"/>
              <w:right w:val="nil"/>
            </w:tcBorders>
            <w:shd w:val="clear" w:color="auto" w:fill="F2F2F2" w:themeFill="background1" w:themeFillShade="F2"/>
            <w:noWrap/>
            <w:vAlign w:val="center"/>
            <w:hideMark/>
          </w:tcPr>
          <w:p w14:paraId="45DB950C"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auto" w:fill="F2F2F2" w:themeFill="background1" w:themeFillShade="F2"/>
            <w:noWrap/>
            <w:vAlign w:val="center"/>
            <w:hideMark/>
          </w:tcPr>
          <w:p w14:paraId="13F1B704"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r>
      <w:tr w:rsidR="006368C8" w:rsidRPr="006368C8" w14:paraId="2F459A31" w14:textId="77777777" w:rsidTr="00454210">
        <w:trPr>
          <w:trHeight w:val="225"/>
        </w:trPr>
        <w:tc>
          <w:tcPr>
            <w:tcW w:w="1847" w:type="pct"/>
            <w:tcBorders>
              <w:top w:val="nil"/>
              <w:left w:val="nil"/>
              <w:bottom w:val="nil"/>
              <w:right w:val="nil"/>
            </w:tcBorders>
            <w:shd w:val="clear" w:color="000000" w:fill="FFFFFF"/>
            <w:noWrap/>
            <w:vAlign w:val="center"/>
            <w:hideMark/>
          </w:tcPr>
          <w:p w14:paraId="115E4289" w14:textId="77777777" w:rsidR="006368C8" w:rsidRPr="006368C8" w:rsidRDefault="006368C8" w:rsidP="006368C8">
            <w:pPr>
              <w:spacing w:after="0" w:line="240" w:lineRule="auto"/>
              <w:jc w:val="left"/>
              <w:rPr>
                <w:rFonts w:ascii="Arial" w:hAnsi="Arial" w:cs="Arial"/>
                <w:sz w:val="16"/>
                <w:szCs w:val="16"/>
              </w:rPr>
            </w:pPr>
            <w:r w:rsidRPr="006368C8">
              <w:rPr>
                <w:rFonts w:ascii="Arial" w:hAnsi="Arial" w:cs="Arial"/>
                <w:sz w:val="16"/>
                <w:szCs w:val="16"/>
              </w:rPr>
              <w:t xml:space="preserve"> Existing commercial property</w:t>
            </w:r>
          </w:p>
        </w:tc>
        <w:tc>
          <w:tcPr>
            <w:tcW w:w="377" w:type="pct"/>
            <w:tcBorders>
              <w:top w:val="nil"/>
              <w:left w:val="nil"/>
              <w:bottom w:val="nil"/>
              <w:right w:val="nil"/>
            </w:tcBorders>
            <w:shd w:val="clear" w:color="000000" w:fill="FFFFFF"/>
            <w:noWrap/>
            <w:vAlign w:val="center"/>
            <w:hideMark/>
          </w:tcPr>
          <w:p w14:paraId="682B4BCC"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219</w:t>
            </w:r>
          </w:p>
        </w:tc>
        <w:tc>
          <w:tcPr>
            <w:tcW w:w="412" w:type="pct"/>
            <w:tcBorders>
              <w:top w:val="nil"/>
              <w:left w:val="nil"/>
              <w:bottom w:val="nil"/>
              <w:right w:val="nil"/>
            </w:tcBorders>
            <w:shd w:val="clear" w:color="000000" w:fill="FFFFFF"/>
            <w:noWrap/>
            <w:vAlign w:val="center"/>
            <w:hideMark/>
          </w:tcPr>
          <w:p w14:paraId="6007BCA1"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20.9</w:t>
            </w:r>
          </w:p>
        </w:tc>
        <w:tc>
          <w:tcPr>
            <w:tcW w:w="377" w:type="pct"/>
            <w:tcBorders>
              <w:top w:val="nil"/>
              <w:left w:val="nil"/>
              <w:bottom w:val="nil"/>
              <w:right w:val="nil"/>
            </w:tcBorders>
            <w:shd w:val="clear" w:color="000000" w:fill="FFFFFF"/>
            <w:noWrap/>
            <w:vAlign w:val="center"/>
            <w:hideMark/>
          </w:tcPr>
          <w:p w14:paraId="23DC5F6E"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166</w:t>
            </w:r>
          </w:p>
        </w:tc>
        <w:tc>
          <w:tcPr>
            <w:tcW w:w="412" w:type="pct"/>
            <w:tcBorders>
              <w:top w:val="nil"/>
              <w:left w:val="nil"/>
              <w:bottom w:val="nil"/>
              <w:right w:val="nil"/>
            </w:tcBorders>
            <w:shd w:val="clear" w:color="000000" w:fill="FFFFFF"/>
            <w:noWrap/>
            <w:vAlign w:val="center"/>
            <w:hideMark/>
          </w:tcPr>
          <w:p w14:paraId="5845CADD"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18.3</w:t>
            </w:r>
          </w:p>
        </w:tc>
        <w:tc>
          <w:tcPr>
            <w:tcW w:w="377" w:type="pct"/>
            <w:tcBorders>
              <w:top w:val="nil"/>
              <w:left w:val="nil"/>
              <w:bottom w:val="nil"/>
              <w:right w:val="nil"/>
            </w:tcBorders>
            <w:shd w:val="clear" w:color="000000" w:fill="FFFFFF"/>
            <w:noWrap/>
            <w:vAlign w:val="center"/>
            <w:hideMark/>
          </w:tcPr>
          <w:p w14:paraId="08845A34"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184</w:t>
            </w:r>
          </w:p>
        </w:tc>
        <w:tc>
          <w:tcPr>
            <w:tcW w:w="412" w:type="pct"/>
            <w:tcBorders>
              <w:top w:val="nil"/>
              <w:left w:val="nil"/>
              <w:bottom w:val="nil"/>
              <w:right w:val="nil"/>
            </w:tcBorders>
            <w:shd w:val="clear" w:color="000000" w:fill="FFFFFF"/>
            <w:noWrap/>
            <w:vAlign w:val="center"/>
            <w:hideMark/>
          </w:tcPr>
          <w:p w14:paraId="58852F2B"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39.0</w:t>
            </w:r>
          </w:p>
        </w:tc>
        <w:tc>
          <w:tcPr>
            <w:tcW w:w="377" w:type="pct"/>
            <w:tcBorders>
              <w:top w:val="nil"/>
              <w:left w:val="nil"/>
              <w:bottom w:val="nil"/>
              <w:right w:val="nil"/>
            </w:tcBorders>
            <w:shd w:val="clear" w:color="auto" w:fill="F2F2F2" w:themeFill="background1" w:themeFillShade="F2"/>
            <w:noWrap/>
            <w:vAlign w:val="center"/>
            <w:hideMark/>
          </w:tcPr>
          <w:p w14:paraId="086F59E5"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220</w:t>
            </w:r>
          </w:p>
        </w:tc>
        <w:tc>
          <w:tcPr>
            <w:tcW w:w="412" w:type="pct"/>
            <w:tcBorders>
              <w:top w:val="nil"/>
              <w:left w:val="nil"/>
              <w:bottom w:val="nil"/>
              <w:right w:val="nil"/>
            </w:tcBorders>
            <w:shd w:val="clear" w:color="auto" w:fill="F2F2F2" w:themeFill="background1" w:themeFillShade="F2"/>
            <w:noWrap/>
            <w:vAlign w:val="center"/>
            <w:hideMark/>
          </w:tcPr>
          <w:p w14:paraId="32D84E6E"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22.8</w:t>
            </w:r>
          </w:p>
        </w:tc>
      </w:tr>
      <w:tr w:rsidR="006368C8" w:rsidRPr="006368C8" w14:paraId="72DFA479" w14:textId="77777777" w:rsidTr="00454210">
        <w:trPr>
          <w:trHeight w:val="225"/>
        </w:trPr>
        <w:tc>
          <w:tcPr>
            <w:tcW w:w="1847" w:type="pct"/>
            <w:tcBorders>
              <w:top w:val="nil"/>
              <w:left w:val="nil"/>
              <w:bottom w:val="nil"/>
              <w:right w:val="nil"/>
            </w:tcBorders>
            <w:shd w:val="clear" w:color="000000" w:fill="FFFFFF"/>
            <w:noWrap/>
            <w:vAlign w:val="center"/>
            <w:hideMark/>
          </w:tcPr>
          <w:p w14:paraId="1C39278A" w14:textId="13D848E3" w:rsidR="006368C8" w:rsidRPr="006368C8" w:rsidRDefault="00BD4D19" w:rsidP="006368C8">
            <w:pPr>
              <w:spacing w:after="0" w:line="240" w:lineRule="auto"/>
              <w:jc w:val="left"/>
              <w:rPr>
                <w:rFonts w:ascii="Arial" w:hAnsi="Arial" w:cs="Arial"/>
                <w:sz w:val="16"/>
                <w:szCs w:val="16"/>
              </w:rPr>
            </w:pPr>
            <w:r>
              <w:rPr>
                <w:rFonts w:ascii="Arial" w:hAnsi="Arial" w:cs="Arial"/>
                <w:sz w:val="16"/>
                <w:szCs w:val="16"/>
              </w:rPr>
              <w:noBreakHyphen/>
            </w:r>
            <w:r w:rsidR="006368C8" w:rsidRPr="006368C8">
              <w:rPr>
                <w:rFonts w:ascii="Arial" w:hAnsi="Arial" w:cs="Arial"/>
                <w:sz w:val="16"/>
                <w:szCs w:val="16"/>
              </w:rPr>
              <w:t xml:space="preserve"> Exemption certificates</w:t>
            </w:r>
          </w:p>
        </w:tc>
        <w:tc>
          <w:tcPr>
            <w:tcW w:w="377" w:type="pct"/>
            <w:tcBorders>
              <w:top w:val="nil"/>
              <w:left w:val="nil"/>
              <w:bottom w:val="nil"/>
              <w:right w:val="nil"/>
            </w:tcBorders>
            <w:shd w:val="clear" w:color="000000" w:fill="FFFFFF"/>
            <w:noWrap/>
            <w:vAlign w:val="center"/>
            <w:hideMark/>
          </w:tcPr>
          <w:p w14:paraId="57AE9586"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30</w:t>
            </w:r>
          </w:p>
        </w:tc>
        <w:tc>
          <w:tcPr>
            <w:tcW w:w="412" w:type="pct"/>
            <w:tcBorders>
              <w:top w:val="nil"/>
              <w:left w:val="nil"/>
              <w:bottom w:val="nil"/>
              <w:right w:val="nil"/>
            </w:tcBorders>
            <w:shd w:val="clear" w:color="000000" w:fill="FFFFFF"/>
            <w:noWrap/>
            <w:vAlign w:val="center"/>
            <w:hideMark/>
          </w:tcPr>
          <w:p w14:paraId="5FAB1EF4"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11.2</w:t>
            </w:r>
          </w:p>
        </w:tc>
        <w:tc>
          <w:tcPr>
            <w:tcW w:w="377" w:type="pct"/>
            <w:tcBorders>
              <w:top w:val="nil"/>
              <w:left w:val="nil"/>
              <w:bottom w:val="nil"/>
              <w:right w:val="nil"/>
            </w:tcBorders>
            <w:shd w:val="clear" w:color="000000" w:fill="FFFFFF"/>
            <w:noWrap/>
            <w:vAlign w:val="center"/>
            <w:hideMark/>
          </w:tcPr>
          <w:p w14:paraId="42CF5859"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25</w:t>
            </w:r>
          </w:p>
        </w:tc>
        <w:tc>
          <w:tcPr>
            <w:tcW w:w="412" w:type="pct"/>
            <w:tcBorders>
              <w:top w:val="nil"/>
              <w:left w:val="nil"/>
              <w:bottom w:val="nil"/>
              <w:right w:val="nil"/>
            </w:tcBorders>
            <w:shd w:val="clear" w:color="000000" w:fill="FFFFFF"/>
            <w:noWrap/>
            <w:vAlign w:val="center"/>
            <w:hideMark/>
          </w:tcPr>
          <w:p w14:paraId="277D22C7"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7.1</w:t>
            </w:r>
          </w:p>
        </w:tc>
        <w:tc>
          <w:tcPr>
            <w:tcW w:w="377" w:type="pct"/>
            <w:tcBorders>
              <w:top w:val="nil"/>
              <w:left w:val="nil"/>
              <w:bottom w:val="nil"/>
              <w:right w:val="nil"/>
            </w:tcBorders>
            <w:shd w:val="clear" w:color="000000" w:fill="FFFFFF"/>
            <w:noWrap/>
            <w:vAlign w:val="center"/>
            <w:hideMark/>
          </w:tcPr>
          <w:p w14:paraId="06ABFAF9"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37</w:t>
            </w:r>
          </w:p>
        </w:tc>
        <w:tc>
          <w:tcPr>
            <w:tcW w:w="412" w:type="pct"/>
            <w:tcBorders>
              <w:top w:val="nil"/>
              <w:left w:val="nil"/>
              <w:bottom w:val="nil"/>
              <w:right w:val="nil"/>
            </w:tcBorders>
            <w:shd w:val="clear" w:color="000000" w:fill="FFFFFF"/>
            <w:noWrap/>
            <w:vAlign w:val="center"/>
            <w:hideMark/>
          </w:tcPr>
          <w:p w14:paraId="0EC7CB4C"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19.2</w:t>
            </w:r>
          </w:p>
        </w:tc>
        <w:tc>
          <w:tcPr>
            <w:tcW w:w="377" w:type="pct"/>
            <w:tcBorders>
              <w:top w:val="nil"/>
              <w:left w:val="nil"/>
              <w:bottom w:val="nil"/>
              <w:right w:val="nil"/>
            </w:tcBorders>
            <w:shd w:val="clear" w:color="auto" w:fill="F2F2F2" w:themeFill="background1" w:themeFillShade="F2"/>
            <w:noWrap/>
            <w:vAlign w:val="center"/>
            <w:hideMark/>
          </w:tcPr>
          <w:p w14:paraId="21CED5DD"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27</w:t>
            </w:r>
          </w:p>
        </w:tc>
        <w:tc>
          <w:tcPr>
            <w:tcW w:w="412" w:type="pct"/>
            <w:tcBorders>
              <w:top w:val="nil"/>
              <w:left w:val="nil"/>
              <w:bottom w:val="nil"/>
              <w:right w:val="nil"/>
            </w:tcBorders>
            <w:shd w:val="clear" w:color="auto" w:fill="F2F2F2" w:themeFill="background1" w:themeFillShade="F2"/>
            <w:noWrap/>
            <w:vAlign w:val="center"/>
            <w:hideMark/>
          </w:tcPr>
          <w:p w14:paraId="16EF3C0E"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5.5</w:t>
            </w:r>
          </w:p>
        </w:tc>
      </w:tr>
      <w:tr w:rsidR="006368C8" w:rsidRPr="006368C8" w14:paraId="2EEABBD3" w14:textId="77777777" w:rsidTr="00454210">
        <w:trPr>
          <w:trHeight w:val="225"/>
        </w:trPr>
        <w:tc>
          <w:tcPr>
            <w:tcW w:w="1847" w:type="pct"/>
            <w:tcBorders>
              <w:top w:val="nil"/>
              <w:left w:val="nil"/>
              <w:bottom w:val="nil"/>
              <w:right w:val="nil"/>
            </w:tcBorders>
            <w:shd w:val="clear" w:color="000000" w:fill="FFFFFF"/>
            <w:noWrap/>
            <w:vAlign w:val="center"/>
            <w:hideMark/>
          </w:tcPr>
          <w:p w14:paraId="08B5A96D" w14:textId="44A62FF0" w:rsidR="006368C8" w:rsidRPr="006368C8" w:rsidRDefault="006368C8" w:rsidP="006368C8">
            <w:pPr>
              <w:spacing w:after="0" w:line="240" w:lineRule="auto"/>
              <w:jc w:val="left"/>
              <w:rPr>
                <w:rFonts w:ascii="Arial" w:hAnsi="Arial" w:cs="Arial"/>
                <w:i/>
                <w:iCs/>
                <w:sz w:val="16"/>
                <w:szCs w:val="16"/>
              </w:rPr>
            </w:pPr>
            <w:r w:rsidRPr="006368C8">
              <w:rPr>
                <w:rFonts w:ascii="Arial" w:hAnsi="Arial" w:cs="Arial"/>
                <w:i/>
                <w:iCs/>
                <w:sz w:val="16"/>
                <w:szCs w:val="16"/>
              </w:rPr>
              <w:t>Sub</w:t>
            </w:r>
            <w:r w:rsidR="00BD4D19">
              <w:rPr>
                <w:rFonts w:ascii="Arial" w:hAnsi="Arial" w:cs="Arial"/>
                <w:i/>
                <w:iCs/>
                <w:sz w:val="16"/>
                <w:szCs w:val="16"/>
              </w:rPr>
              <w:noBreakHyphen/>
            </w:r>
            <w:r w:rsidRPr="006368C8">
              <w:rPr>
                <w:rFonts w:ascii="Arial" w:hAnsi="Arial" w:cs="Arial"/>
                <w:i/>
                <w:iCs/>
                <w:sz w:val="16"/>
                <w:szCs w:val="16"/>
              </w:rPr>
              <w:t xml:space="preserve">total </w:t>
            </w:r>
            <w:r w:rsidR="00BD4D19">
              <w:rPr>
                <w:rFonts w:ascii="Arial" w:hAnsi="Arial" w:cs="Arial"/>
                <w:i/>
                <w:iCs/>
                <w:sz w:val="16"/>
                <w:szCs w:val="16"/>
              </w:rPr>
              <w:t>‘</w:t>
            </w:r>
            <w:r w:rsidRPr="006368C8">
              <w:rPr>
                <w:rFonts w:ascii="Arial" w:hAnsi="Arial" w:cs="Arial"/>
                <w:i/>
                <w:iCs/>
                <w:sz w:val="16"/>
                <w:szCs w:val="16"/>
              </w:rPr>
              <w:t>Developed</w:t>
            </w:r>
            <w:r w:rsidR="00BD4D19">
              <w:rPr>
                <w:rFonts w:ascii="Arial" w:hAnsi="Arial" w:cs="Arial"/>
                <w:i/>
                <w:iCs/>
                <w:sz w:val="16"/>
                <w:szCs w:val="16"/>
              </w:rPr>
              <w:t>’</w:t>
            </w:r>
          </w:p>
        </w:tc>
        <w:tc>
          <w:tcPr>
            <w:tcW w:w="377" w:type="pct"/>
            <w:tcBorders>
              <w:top w:val="single" w:sz="4" w:space="0" w:color="000000"/>
              <w:left w:val="nil"/>
              <w:bottom w:val="nil"/>
              <w:right w:val="nil"/>
            </w:tcBorders>
            <w:shd w:val="clear" w:color="000000" w:fill="FFFFFF"/>
            <w:noWrap/>
            <w:vAlign w:val="center"/>
            <w:hideMark/>
          </w:tcPr>
          <w:p w14:paraId="3C316AA1" w14:textId="77777777" w:rsidR="006368C8" w:rsidRPr="006368C8" w:rsidRDefault="006368C8" w:rsidP="006368C8">
            <w:pPr>
              <w:spacing w:after="0" w:line="240" w:lineRule="auto"/>
              <w:jc w:val="right"/>
              <w:rPr>
                <w:rFonts w:ascii="Arial" w:hAnsi="Arial" w:cs="Arial"/>
                <w:i/>
                <w:iCs/>
                <w:sz w:val="16"/>
                <w:szCs w:val="16"/>
              </w:rPr>
            </w:pPr>
            <w:r w:rsidRPr="006368C8">
              <w:rPr>
                <w:rFonts w:ascii="Arial" w:hAnsi="Arial" w:cs="Arial"/>
                <w:i/>
                <w:iCs/>
                <w:sz w:val="16"/>
                <w:szCs w:val="16"/>
              </w:rPr>
              <w:t>249</w:t>
            </w:r>
          </w:p>
        </w:tc>
        <w:tc>
          <w:tcPr>
            <w:tcW w:w="412" w:type="pct"/>
            <w:tcBorders>
              <w:top w:val="single" w:sz="4" w:space="0" w:color="000000"/>
              <w:left w:val="nil"/>
              <w:bottom w:val="nil"/>
              <w:right w:val="nil"/>
            </w:tcBorders>
            <w:shd w:val="clear" w:color="000000" w:fill="FFFFFF"/>
            <w:noWrap/>
            <w:vAlign w:val="center"/>
            <w:hideMark/>
          </w:tcPr>
          <w:p w14:paraId="4ED46686" w14:textId="77777777" w:rsidR="006368C8" w:rsidRPr="006368C8" w:rsidRDefault="006368C8" w:rsidP="006368C8">
            <w:pPr>
              <w:spacing w:after="0" w:line="240" w:lineRule="auto"/>
              <w:jc w:val="right"/>
              <w:rPr>
                <w:rFonts w:ascii="Arial" w:hAnsi="Arial" w:cs="Arial"/>
                <w:i/>
                <w:iCs/>
                <w:sz w:val="16"/>
                <w:szCs w:val="16"/>
              </w:rPr>
            </w:pPr>
            <w:r w:rsidRPr="006368C8">
              <w:rPr>
                <w:rFonts w:ascii="Arial" w:hAnsi="Arial" w:cs="Arial"/>
                <w:i/>
                <w:iCs/>
                <w:sz w:val="16"/>
                <w:szCs w:val="16"/>
              </w:rPr>
              <w:t>32.1</w:t>
            </w:r>
          </w:p>
        </w:tc>
        <w:tc>
          <w:tcPr>
            <w:tcW w:w="377" w:type="pct"/>
            <w:tcBorders>
              <w:top w:val="single" w:sz="4" w:space="0" w:color="auto"/>
              <w:left w:val="nil"/>
              <w:bottom w:val="nil"/>
              <w:right w:val="nil"/>
            </w:tcBorders>
            <w:shd w:val="clear" w:color="000000" w:fill="FFFFFF"/>
            <w:noWrap/>
            <w:vAlign w:val="center"/>
            <w:hideMark/>
          </w:tcPr>
          <w:p w14:paraId="456DF9D2"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191</w:t>
            </w:r>
          </w:p>
        </w:tc>
        <w:tc>
          <w:tcPr>
            <w:tcW w:w="412" w:type="pct"/>
            <w:tcBorders>
              <w:top w:val="single" w:sz="4" w:space="0" w:color="auto"/>
              <w:left w:val="nil"/>
              <w:bottom w:val="nil"/>
              <w:right w:val="nil"/>
            </w:tcBorders>
            <w:shd w:val="clear" w:color="000000" w:fill="FFFFFF"/>
            <w:noWrap/>
            <w:vAlign w:val="center"/>
            <w:hideMark/>
          </w:tcPr>
          <w:p w14:paraId="2715D0A5"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25.4</w:t>
            </w:r>
          </w:p>
        </w:tc>
        <w:tc>
          <w:tcPr>
            <w:tcW w:w="377" w:type="pct"/>
            <w:tcBorders>
              <w:top w:val="single" w:sz="4" w:space="0" w:color="auto"/>
              <w:left w:val="nil"/>
              <w:bottom w:val="nil"/>
              <w:right w:val="nil"/>
            </w:tcBorders>
            <w:shd w:val="clear" w:color="000000" w:fill="FFFFFF"/>
            <w:noWrap/>
            <w:vAlign w:val="center"/>
            <w:hideMark/>
          </w:tcPr>
          <w:p w14:paraId="0AF21E3D"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221</w:t>
            </w:r>
          </w:p>
        </w:tc>
        <w:tc>
          <w:tcPr>
            <w:tcW w:w="412" w:type="pct"/>
            <w:tcBorders>
              <w:top w:val="single" w:sz="4" w:space="0" w:color="auto"/>
              <w:left w:val="nil"/>
              <w:bottom w:val="nil"/>
              <w:right w:val="nil"/>
            </w:tcBorders>
            <w:shd w:val="clear" w:color="000000" w:fill="FFFFFF"/>
            <w:noWrap/>
            <w:vAlign w:val="center"/>
            <w:hideMark/>
          </w:tcPr>
          <w:p w14:paraId="057ECAE7"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58.3</w:t>
            </w:r>
          </w:p>
        </w:tc>
        <w:tc>
          <w:tcPr>
            <w:tcW w:w="377" w:type="pct"/>
            <w:tcBorders>
              <w:top w:val="single" w:sz="4" w:space="0" w:color="auto"/>
              <w:left w:val="nil"/>
              <w:bottom w:val="nil"/>
              <w:right w:val="nil"/>
            </w:tcBorders>
            <w:shd w:val="clear" w:color="auto" w:fill="F2F2F2" w:themeFill="background1" w:themeFillShade="F2"/>
            <w:noWrap/>
            <w:vAlign w:val="center"/>
            <w:hideMark/>
          </w:tcPr>
          <w:p w14:paraId="6C3AB0FE"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247</w:t>
            </w:r>
          </w:p>
        </w:tc>
        <w:tc>
          <w:tcPr>
            <w:tcW w:w="412" w:type="pct"/>
            <w:tcBorders>
              <w:top w:val="single" w:sz="4" w:space="0" w:color="auto"/>
              <w:left w:val="nil"/>
              <w:bottom w:val="nil"/>
              <w:right w:val="nil"/>
            </w:tcBorders>
            <w:shd w:val="clear" w:color="auto" w:fill="F2F2F2" w:themeFill="background1" w:themeFillShade="F2"/>
            <w:noWrap/>
            <w:vAlign w:val="center"/>
            <w:hideMark/>
          </w:tcPr>
          <w:p w14:paraId="22A4FF81"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28.2</w:t>
            </w:r>
          </w:p>
        </w:tc>
      </w:tr>
      <w:tr w:rsidR="006368C8" w:rsidRPr="006368C8" w14:paraId="435F50CB" w14:textId="77777777" w:rsidTr="00454210">
        <w:trPr>
          <w:trHeight w:val="225"/>
        </w:trPr>
        <w:tc>
          <w:tcPr>
            <w:tcW w:w="1847" w:type="pct"/>
            <w:tcBorders>
              <w:top w:val="nil"/>
              <w:left w:val="nil"/>
              <w:bottom w:val="nil"/>
              <w:right w:val="nil"/>
            </w:tcBorders>
            <w:shd w:val="clear" w:color="000000" w:fill="FFFFFF"/>
            <w:noWrap/>
            <w:vAlign w:val="center"/>
            <w:hideMark/>
          </w:tcPr>
          <w:p w14:paraId="7E345DD2" w14:textId="77777777" w:rsidR="006368C8" w:rsidRPr="006368C8" w:rsidRDefault="006368C8" w:rsidP="006368C8">
            <w:pPr>
              <w:spacing w:after="0" w:line="240" w:lineRule="auto"/>
              <w:jc w:val="left"/>
              <w:rPr>
                <w:rFonts w:ascii="Arial" w:hAnsi="Arial" w:cs="Arial"/>
                <w:sz w:val="16"/>
                <w:szCs w:val="16"/>
                <w:u w:val="single"/>
              </w:rPr>
            </w:pPr>
            <w:r w:rsidRPr="006368C8">
              <w:rPr>
                <w:rFonts w:ascii="Arial" w:hAnsi="Arial" w:cs="Arial"/>
                <w:sz w:val="16"/>
                <w:szCs w:val="16"/>
                <w:u w:val="single"/>
              </w:rPr>
              <w:t>For development</w:t>
            </w:r>
          </w:p>
        </w:tc>
        <w:tc>
          <w:tcPr>
            <w:tcW w:w="377" w:type="pct"/>
            <w:tcBorders>
              <w:top w:val="nil"/>
              <w:left w:val="nil"/>
              <w:bottom w:val="nil"/>
              <w:right w:val="nil"/>
            </w:tcBorders>
            <w:shd w:val="clear" w:color="000000" w:fill="FFFFFF"/>
            <w:noWrap/>
            <w:vAlign w:val="center"/>
            <w:hideMark/>
          </w:tcPr>
          <w:p w14:paraId="3A004F21"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 </w:t>
            </w:r>
          </w:p>
        </w:tc>
        <w:tc>
          <w:tcPr>
            <w:tcW w:w="412" w:type="pct"/>
            <w:tcBorders>
              <w:top w:val="nil"/>
              <w:left w:val="nil"/>
              <w:bottom w:val="nil"/>
              <w:right w:val="nil"/>
            </w:tcBorders>
            <w:shd w:val="clear" w:color="000000" w:fill="FFFFFF"/>
            <w:noWrap/>
            <w:vAlign w:val="center"/>
            <w:hideMark/>
          </w:tcPr>
          <w:p w14:paraId="38E878FC"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 </w:t>
            </w:r>
          </w:p>
        </w:tc>
        <w:tc>
          <w:tcPr>
            <w:tcW w:w="377" w:type="pct"/>
            <w:tcBorders>
              <w:top w:val="nil"/>
              <w:left w:val="nil"/>
              <w:bottom w:val="nil"/>
              <w:right w:val="nil"/>
            </w:tcBorders>
            <w:shd w:val="clear" w:color="000000" w:fill="FFFFFF"/>
            <w:noWrap/>
            <w:vAlign w:val="center"/>
            <w:hideMark/>
          </w:tcPr>
          <w:p w14:paraId="497626C6"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54BA61DB"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377" w:type="pct"/>
            <w:tcBorders>
              <w:top w:val="nil"/>
              <w:left w:val="nil"/>
              <w:bottom w:val="nil"/>
              <w:right w:val="nil"/>
            </w:tcBorders>
            <w:shd w:val="clear" w:color="000000" w:fill="FFFFFF"/>
            <w:noWrap/>
            <w:vAlign w:val="center"/>
            <w:hideMark/>
          </w:tcPr>
          <w:p w14:paraId="0D48E5EE"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000000" w:fill="FFFFFF"/>
            <w:noWrap/>
            <w:vAlign w:val="center"/>
            <w:hideMark/>
          </w:tcPr>
          <w:p w14:paraId="40A986FF"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377" w:type="pct"/>
            <w:tcBorders>
              <w:top w:val="nil"/>
              <w:left w:val="nil"/>
              <w:bottom w:val="nil"/>
              <w:right w:val="nil"/>
            </w:tcBorders>
            <w:shd w:val="clear" w:color="auto" w:fill="F2F2F2" w:themeFill="background1" w:themeFillShade="F2"/>
            <w:noWrap/>
            <w:vAlign w:val="center"/>
            <w:hideMark/>
          </w:tcPr>
          <w:p w14:paraId="42ACAC91"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c>
          <w:tcPr>
            <w:tcW w:w="412" w:type="pct"/>
            <w:tcBorders>
              <w:top w:val="nil"/>
              <w:left w:val="nil"/>
              <w:bottom w:val="nil"/>
              <w:right w:val="nil"/>
            </w:tcBorders>
            <w:shd w:val="clear" w:color="auto" w:fill="F2F2F2" w:themeFill="background1" w:themeFillShade="F2"/>
            <w:noWrap/>
            <w:vAlign w:val="center"/>
            <w:hideMark/>
          </w:tcPr>
          <w:p w14:paraId="75651EE6" w14:textId="77777777" w:rsidR="006368C8" w:rsidRPr="006368C8" w:rsidRDefault="006368C8" w:rsidP="006368C8">
            <w:pPr>
              <w:spacing w:after="0" w:line="240" w:lineRule="auto"/>
              <w:jc w:val="left"/>
              <w:rPr>
                <w:rFonts w:ascii="Arial" w:hAnsi="Arial" w:cs="Arial"/>
                <w:color w:val="auto"/>
                <w:sz w:val="16"/>
                <w:szCs w:val="16"/>
              </w:rPr>
            </w:pPr>
            <w:r w:rsidRPr="006368C8">
              <w:rPr>
                <w:rFonts w:ascii="Arial" w:hAnsi="Arial" w:cs="Arial"/>
                <w:color w:val="auto"/>
                <w:sz w:val="16"/>
                <w:szCs w:val="16"/>
              </w:rPr>
              <w:t> </w:t>
            </w:r>
          </w:p>
        </w:tc>
      </w:tr>
      <w:tr w:rsidR="006368C8" w:rsidRPr="006368C8" w14:paraId="163DA222" w14:textId="77777777" w:rsidTr="00454210">
        <w:trPr>
          <w:trHeight w:val="225"/>
        </w:trPr>
        <w:tc>
          <w:tcPr>
            <w:tcW w:w="1847" w:type="pct"/>
            <w:tcBorders>
              <w:top w:val="nil"/>
              <w:left w:val="nil"/>
              <w:bottom w:val="nil"/>
              <w:right w:val="nil"/>
            </w:tcBorders>
            <w:shd w:val="clear" w:color="000000" w:fill="FFFFFF"/>
            <w:noWrap/>
            <w:vAlign w:val="center"/>
            <w:hideMark/>
          </w:tcPr>
          <w:p w14:paraId="3AAB63AC" w14:textId="433E5770" w:rsidR="006368C8" w:rsidRPr="006368C8" w:rsidRDefault="00BD4D19" w:rsidP="006368C8">
            <w:pPr>
              <w:spacing w:after="0" w:line="240" w:lineRule="auto"/>
              <w:jc w:val="left"/>
              <w:rPr>
                <w:rFonts w:ascii="Arial" w:hAnsi="Arial" w:cs="Arial"/>
                <w:sz w:val="16"/>
                <w:szCs w:val="16"/>
              </w:rPr>
            </w:pPr>
            <w:r>
              <w:rPr>
                <w:rFonts w:ascii="Arial" w:hAnsi="Arial" w:cs="Arial"/>
                <w:sz w:val="16"/>
                <w:szCs w:val="16"/>
              </w:rPr>
              <w:noBreakHyphen/>
            </w:r>
            <w:r w:rsidR="006368C8" w:rsidRPr="006368C8">
              <w:rPr>
                <w:rFonts w:ascii="Arial" w:hAnsi="Arial" w:cs="Arial"/>
                <w:sz w:val="16"/>
                <w:szCs w:val="16"/>
              </w:rPr>
              <w:t xml:space="preserve"> Vacant commercial property</w:t>
            </w:r>
          </w:p>
        </w:tc>
        <w:tc>
          <w:tcPr>
            <w:tcW w:w="377" w:type="pct"/>
            <w:tcBorders>
              <w:top w:val="nil"/>
              <w:left w:val="nil"/>
              <w:bottom w:val="nil"/>
              <w:right w:val="nil"/>
            </w:tcBorders>
            <w:shd w:val="clear" w:color="000000" w:fill="FFFFFF"/>
            <w:noWrap/>
            <w:vAlign w:val="center"/>
            <w:hideMark/>
          </w:tcPr>
          <w:p w14:paraId="5C1B94D9"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182</w:t>
            </w:r>
          </w:p>
        </w:tc>
        <w:tc>
          <w:tcPr>
            <w:tcW w:w="412" w:type="pct"/>
            <w:tcBorders>
              <w:top w:val="nil"/>
              <w:left w:val="nil"/>
              <w:bottom w:val="nil"/>
              <w:right w:val="nil"/>
            </w:tcBorders>
            <w:shd w:val="clear" w:color="000000" w:fill="FFFFFF"/>
            <w:noWrap/>
            <w:vAlign w:val="center"/>
            <w:hideMark/>
          </w:tcPr>
          <w:p w14:paraId="292A4118"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3.7</w:t>
            </w:r>
          </w:p>
        </w:tc>
        <w:tc>
          <w:tcPr>
            <w:tcW w:w="377" w:type="pct"/>
            <w:tcBorders>
              <w:top w:val="nil"/>
              <w:left w:val="nil"/>
              <w:bottom w:val="nil"/>
              <w:right w:val="nil"/>
            </w:tcBorders>
            <w:shd w:val="clear" w:color="000000" w:fill="FFFFFF"/>
            <w:noWrap/>
            <w:vAlign w:val="center"/>
            <w:hideMark/>
          </w:tcPr>
          <w:p w14:paraId="550FFDA6"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169</w:t>
            </w:r>
          </w:p>
        </w:tc>
        <w:tc>
          <w:tcPr>
            <w:tcW w:w="412" w:type="pct"/>
            <w:tcBorders>
              <w:top w:val="nil"/>
              <w:left w:val="nil"/>
              <w:bottom w:val="nil"/>
              <w:right w:val="nil"/>
            </w:tcBorders>
            <w:shd w:val="clear" w:color="000000" w:fill="FFFFFF"/>
            <w:noWrap/>
            <w:vAlign w:val="center"/>
            <w:hideMark/>
          </w:tcPr>
          <w:p w14:paraId="6182B187"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6.0</w:t>
            </w:r>
          </w:p>
        </w:tc>
        <w:tc>
          <w:tcPr>
            <w:tcW w:w="377" w:type="pct"/>
            <w:tcBorders>
              <w:top w:val="nil"/>
              <w:left w:val="nil"/>
              <w:bottom w:val="nil"/>
              <w:right w:val="nil"/>
            </w:tcBorders>
            <w:shd w:val="clear" w:color="000000" w:fill="FFFFFF"/>
            <w:noWrap/>
            <w:vAlign w:val="center"/>
            <w:hideMark/>
          </w:tcPr>
          <w:p w14:paraId="6DE17B48"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228</w:t>
            </w:r>
          </w:p>
        </w:tc>
        <w:tc>
          <w:tcPr>
            <w:tcW w:w="412" w:type="pct"/>
            <w:tcBorders>
              <w:top w:val="nil"/>
              <w:left w:val="nil"/>
              <w:bottom w:val="nil"/>
              <w:right w:val="nil"/>
            </w:tcBorders>
            <w:shd w:val="clear" w:color="000000" w:fill="FFFFFF"/>
            <w:noWrap/>
            <w:vAlign w:val="center"/>
            <w:hideMark/>
          </w:tcPr>
          <w:p w14:paraId="7E4360EE"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6.8</w:t>
            </w:r>
          </w:p>
        </w:tc>
        <w:tc>
          <w:tcPr>
            <w:tcW w:w="377" w:type="pct"/>
            <w:tcBorders>
              <w:top w:val="nil"/>
              <w:left w:val="nil"/>
              <w:bottom w:val="nil"/>
              <w:right w:val="nil"/>
            </w:tcBorders>
            <w:shd w:val="clear" w:color="auto" w:fill="F2F2F2" w:themeFill="background1" w:themeFillShade="F2"/>
            <w:noWrap/>
            <w:vAlign w:val="center"/>
            <w:hideMark/>
          </w:tcPr>
          <w:p w14:paraId="79EA7A53"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167</w:t>
            </w:r>
          </w:p>
        </w:tc>
        <w:tc>
          <w:tcPr>
            <w:tcW w:w="412" w:type="pct"/>
            <w:tcBorders>
              <w:top w:val="nil"/>
              <w:left w:val="nil"/>
              <w:bottom w:val="nil"/>
              <w:right w:val="nil"/>
            </w:tcBorders>
            <w:shd w:val="clear" w:color="auto" w:fill="F2F2F2" w:themeFill="background1" w:themeFillShade="F2"/>
            <w:noWrap/>
            <w:vAlign w:val="center"/>
            <w:hideMark/>
          </w:tcPr>
          <w:p w14:paraId="3363C9B3"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7.4</w:t>
            </w:r>
          </w:p>
        </w:tc>
      </w:tr>
      <w:tr w:rsidR="006368C8" w:rsidRPr="006368C8" w14:paraId="27A175EA" w14:textId="77777777" w:rsidTr="00454210">
        <w:trPr>
          <w:trHeight w:val="225"/>
        </w:trPr>
        <w:tc>
          <w:tcPr>
            <w:tcW w:w="1847" w:type="pct"/>
            <w:tcBorders>
              <w:top w:val="nil"/>
              <w:left w:val="nil"/>
              <w:bottom w:val="nil"/>
              <w:right w:val="nil"/>
            </w:tcBorders>
            <w:shd w:val="clear" w:color="000000" w:fill="FFFFFF"/>
            <w:vAlign w:val="center"/>
            <w:hideMark/>
          </w:tcPr>
          <w:p w14:paraId="5581BE7A" w14:textId="13CE105C" w:rsidR="006368C8" w:rsidRPr="006368C8" w:rsidRDefault="00BD4D19" w:rsidP="006368C8">
            <w:pPr>
              <w:spacing w:after="0" w:line="240" w:lineRule="auto"/>
              <w:jc w:val="left"/>
              <w:rPr>
                <w:rFonts w:ascii="Arial" w:hAnsi="Arial" w:cs="Arial"/>
                <w:sz w:val="16"/>
                <w:szCs w:val="16"/>
              </w:rPr>
            </w:pPr>
            <w:r>
              <w:rPr>
                <w:rFonts w:ascii="Arial" w:hAnsi="Arial" w:cs="Arial"/>
                <w:sz w:val="16"/>
                <w:szCs w:val="16"/>
              </w:rPr>
              <w:noBreakHyphen/>
            </w:r>
            <w:r w:rsidR="006368C8" w:rsidRPr="006368C8">
              <w:rPr>
                <w:rFonts w:ascii="Arial" w:hAnsi="Arial" w:cs="Arial"/>
                <w:sz w:val="16"/>
                <w:szCs w:val="16"/>
              </w:rPr>
              <w:t xml:space="preserve"> Exemption certificates</w:t>
            </w:r>
          </w:p>
        </w:tc>
        <w:tc>
          <w:tcPr>
            <w:tcW w:w="377" w:type="pct"/>
            <w:tcBorders>
              <w:top w:val="nil"/>
              <w:left w:val="nil"/>
              <w:bottom w:val="nil"/>
              <w:right w:val="nil"/>
            </w:tcBorders>
            <w:shd w:val="clear" w:color="000000" w:fill="FFFFFF"/>
            <w:noWrap/>
            <w:vAlign w:val="center"/>
            <w:hideMark/>
          </w:tcPr>
          <w:p w14:paraId="6D753D23"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34</w:t>
            </w:r>
          </w:p>
        </w:tc>
        <w:tc>
          <w:tcPr>
            <w:tcW w:w="412" w:type="pct"/>
            <w:tcBorders>
              <w:top w:val="nil"/>
              <w:left w:val="nil"/>
              <w:bottom w:val="nil"/>
              <w:right w:val="nil"/>
            </w:tcBorders>
            <w:shd w:val="clear" w:color="000000" w:fill="FFFFFF"/>
            <w:noWrap/>
            <w:vAlign w:val="center"/>
            <w:hideMark/>
          </w:tcPr>
          <w:p w14:paraId="45B75A5B" w14:textId="77777777" w:rsidR="006368C8" w:rsidRPr="006368C8" w:rsidRDefault="006368C8" w:rsidP="006368C8">
            <w:pPr>
              <w:spacing w:after="0" w:line="240" w:lineRule="auto"/>
              <w:jc w:val="right"/>
              <w:rPr>
                <w:rFonts w:ascii="Arial" w:hAnsi="Arial" w:cs="Arial"/>
                <w:sz w:val="16"/>
                <w:szCs w:val="16"/>
              </w:rPr>
            </w:pPr>
            <w:r w:rsidRPr="006368C8">
              <w:rPr>
                <w:rFonts w:ascii="Arial" w:hAnsi="Arial" w:cs="Arial"/>
                <w:sz w:val="16"/>
                <w:szCs w:val="16"/>
              </w:rPr>
              <w:t>7.9</w:t>
            </w:r>
          </w:p>
        </w:tc>
        <w:tc>
          <w:tcPr>
            <w:tcW w:w="377" w:type="pct"/>
            <w:tcBorders>
              <w:top w:val="nil"/>
              <w:left w:val="nil"/>
              <w:bottom w:val="nil"/>
              <w:right w:val="nil"/>
            </w:tcBorders>
            <w:shd w:val="clear" w:color="000000" w:fill="FFFFFF"/>
            <w:noWrap/>
            <w:vAlign w:val="center"/>
            <w:hideMark/>
          </w:tcPr>
          <w:p w14:paraId="26122B9A"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32</w:t>
            </w:r>
          </w:p>
        </w:tc>
        <w:tc>
          <w:tcPr>
            <w:tcW w:w="412" w:type="pct"/>
            <w:tcBorders>
              <w:top w:val="nil"/>
              <w:left w:val="nil"/>
              <w:bottom w:val="nil"/>
              <w:right w:val="nil"/>
            </w:tcBorders>
            <w:shd w:val="clear" w:color="000000" w:fill="FFFFFF"/>
            <w:noWrap/>
            <w:vAlign w:val="center"/>
            <w:hideMark/>
          </w:tcPr>
          <w:p w14:paraId="221F84EB"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8.0</w:t>
            </w:r>
          </w:p>
        </w:tc>
        <w:tc>
          <w:tcPr>
            <w:tcW w:w="377" w:type="pct"/>
            <w:tcBorders>
              <w:top w:val="nil"/>
              <w:left w:val="nil"/>
              <w:bottom w:val="nil"/>
              <w:right w:val="nil"/>
            </w:tcBorders>
            <w:shd w:val="clear" w:color="000000" w:fill="FFFFFF"/>
            <w:noWrap/>
            <w:vAlign w:val="center"/>
            <w:hideMark/>
          </w:tcPr>
          <w:p w14:paraId="2E3AFA46"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38</w:t>
            </w:r>
          </w:p>
        </w:tc>
        <w:tc>
          <w:tcPr>
            <w:tcW w:w="412" w:type="pct"/>
            <w:tcBorders>
              <w:top w:val="nil"/>
              <w:left w:val="nil"/>
              <w:bottom w:val="nil"/>
              <w:right w:val="nil"/>
            </w:tcBorders>
            <w:shd w:val="clear" w:color="000000" w:fill="FFFFFF"/>
            <w:noWrap/>
            <w:vAlign w:val="center"/>
            <w:hideMark/>
          </w:tcPr>
          <w:p w14:paraId="27A00D2C"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7.9</w:t>
            </w:r>
          </w:p>
        </w:tc>
        <w:tc>
          <w:tcPr>
            <w:tcW w:w="377" w:type="pct"/>
            <w:tcBorders>
              <w:top w:val="nil"/>
              <w:left w:val="nil"/>
              <w:bottom w:val="nil"/>
              <w:right w:val="nil"/>
            </w:tcBorders>
            <w:shd w:val="clear" w:color="auto" w:fill="F2F2F2" w:themeFill="background1" w:themeFillShade="F2"/>
            <w:noWrap/>
            <w:vAlign w:val="center"/>
            <w:hideMark/>
          </w:tcPr>
          <w:p w14:paraId="42261E3C"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26</w:t>
            </w:r>
          </w:p>
        </w:tc>
        <w:tc>
          <w:tcPr>
            <w:tcW w:w="412" w:type="pct"/>
            <w:tcBorders>
              <w:top w:val="nil"/>
              <w:left w:val="nil"/>
              <w:bottom w:val="nil"/>
              <w:right w:val="nil"/>
            </w:tcBorders>
            <w:shd w:val="clear" w:color="auto" w:fill="F2F2F2" w:themeFill="background1" w:themeFillShade="F2"/>
            <w:noWrap/>
            <w:vAlign w:val="center"/>
            <w:hideMark/>
          </w:tcPr>
          <w:p w14:paraId="4B62C80D" w14:textId="77777777" w:rsidR="006368C8" w:rsidRPr="006368C8" w:rsidRDefault="006368C8" w:rsidP="006368C8">
            <w:pPr>
              <w:spacing w:after="0" w:line="240" w:lineRule="auto"/>
              <w:jc w:val="right"/>
              <w:rPr>
                <w:rFonts w:ascii="Arial" w:hAnsi="Arial" w:cs="Arial"/>
                <w:color w:val="auto"/>
                <w:sz w:val="16"/>
                <w:szCs w:val="16"/>
              </w:rPr>
            </w:pPr>
            <w:r w:rsidRPr="006368C8">
              <w:rPr>
                <w:rFonts w:ascii="Arial" w:hAnsi="Arial" w:cs="Arial"/>
                <w:color w:val="auto"/>
                <w:sz w:val="16"/>
                <w:szCs w:val="16"/>
              </w:rPr>
              <w:t>3.2</w:t>
            </w:r>
          </w:p>
        </w:tc>
      </w:tr>
      <w:tr w:rsidR="006368C8" w:rsidRPr="006368C8" w14:paraId="11ACB8F0" w14:textId="77777777" w:rsidTr="00454210">
        <w:trPr>
          <w:trHeight w:val="225"/>
        </w:trPr>
        <w:tc>
          <w:tcPr>
            <w:tcW w:w="1847" w:type="pct"/>
            <w:tcBorders>
              <w:top w:val="nil"/>
              <w:left w:val="nil"/>
              <w:bottom w:val="nil"/>
              <w:right w:val="nil"/>
            </w:tcBorders>
            <w:shd w:val="clear" w:color="000000" w:fill="FFFFFF"/>
            <w:noWrap/>
            <w:vAlign w:val="center"/>
            <w:hideMark/>
          </w:tcPr>
          <w:p w14:paraId="783547A7" w14:textId="1D6ED2B5" w:rsidR="006368C8" w:rsidRPr="006368C8" w:rsidRDefault="006368C8" w:rsidP="006368C8">
            <w:pPr>
              <w:spacing w:after="0" w:line="240" w:lineRule="auto"/>
              <w:jc w:val="left"/>
              <w:rPr>
                <w:rFonts w:ascii="Arial" w:hAnsi="Arial" w:cs="Arial"/>
                <w:i/>
                <w:iCs/>
                <w:sz w:val="16"/>
                <w:szCs w:val="16"/>
              </w:rPr>
            </w:pPr>
            <w:r w:rsidRPr="006368C8">
              <w:rPr>
                <w:rFonts w:ascii="Arial" w:hAnsi="Arial" w:cs="Arial"/>
                <w:i/>
                <w:iCs/>
                <w:sz w:val="16"/>
                <w:szCs w:val="16"/>
              </w:rPr>
              <w:t>Sub</w:t>
            </w:r>
            <w:r w:rsidR="00BD4D19">
              <w:rPr>
                <w:rFonts w:ascii="Arial" w:hAnsi="Arial" w:cs="Arial"/>
                <w:i/>
                <w:iCs/>
                <w:sz w:val="16"/>
                <w:szCs w:val="16"/>
              </w:rPr>
              <w:noBreakHyphen/>
            </w:r>
            <w:r w:rsidRPr="006368C8">
              <w:rPr>
                <w:rFonts w:ascii="Arial" w:hAnsi="Arial" w:cs="Arial"/>
                <w:i/>
                <w:iCs/>
                <w:sz w:val="16"/>
                <w:szCs w:val="16"/>
              </w:rPr>
              <w:t xml:space="preserve">total </w:t>
            </w:r>
            <w:r w:rsidR="00BD4D19">
              <w:rPr>
                <w:rFonts w:ascii="Arial" w:hAnsi="Arial" w:cs="Arial"/>
                <w:i/>
                <w:iCs/>
                <w:sz w:val="16"/>
                <w:szCs w:val="16"/>
              </w:rPr>
              <w:t>‘</w:t>
            </w:r>
            <w:r w:rsidRPr="006368C8">
              <w:rPr>
                <w:rFonts w:ascii="Arial" w:hAnsi="Arial" w:cs="Arial"/>
                <w:i/>
                <w:iCs/>
                <w:sz w:val="16"/>
                <w:szCs w:val="16"/>
              </w:rPr>
              <w:t>For development</w:t>
            </w:r>
            <w:r w:rsidR="00BD4D19">
              <w:rPr>
                <w:rFonts w:ascii="Arial" w:hAnsi="Arial" w:cs="Arial"/>
                <w:i/>
                <w:iCs/>
                <w:sz w:val="16"/>
                <w:szCs w:val="16"/>
              </w:rPr>
              <w:t>’</w:t>
            </w:r>
          </w:p>
        </w:tc>
        <w:tc>
          <w:tcPr>
            <w:tcW w:w="377" w:type="pct"/>
            <w:tcBorders>
              <w:top w:val="single" w:sz="4" w:space="0" w:color="000000"/>
              <w:left w:val="nil"/>
              <w:bottom w:val="single" w:sz="4" w:space="0" w:color="000000"/>
              <w:right w:val="nil"/>
            </w:tcBorders>
            <w:shd w:val="clear" w:color="000000" w:fill="FFFFFF"/>
            <w:noWrap/>
            <w:vAlign w:val="center"/>
            <w:hideMark/>
          </w:tcPr>
          <w:p w14:paraId="2F0AD3F8" w14:textId="77777777" w:rsidR="006368C8" w:rsidRPr="006368C8" w:rsidRDefault="006368C8" w:rsidP="006368C8">
            <w:pPr>
              <w:spacing w:after="0" w:line="240" w:lineRule="auto"/>
              <w:jc w:val="right"/>
              <w:rPr>
                <w:rFonts w:ascii="Arial" w:hAnsi="Arial" w:cs="Arial"/>
                <w:i/>
                <w:iCs/>
                <w:sz w:val="16"/>
                <w:szCs w:val="16"/>
              </w:rPr>
            </w:pPr>
            <w:r w:rsidRPr="006368C8">
              <w:rPr>
                <w:rFonts w:ascii="Arial" w:hAnsi="Arial" w:cs="Arial"/>
                <w:i/>
                <w:iCs/>
                <w:sz w:val="16"/>
                <w:szCs w:val="16"/>
              </w:rPr>
              <w:t>216</w:t>
            </w:r>
          </w:p>
        </w:tc>
        <w:tc>
          <w:tcPr>
            <w:tcW w:w="412" w:type="pct"/>
            <w:tcBorders>
              <w:top w:val="single" w:sz="4" w:space="0" w:color="000000"/>
              <w:left w:val="nil"/>
              <w:bottom w:val="single" w:sz="4" w:space="0" w:color="000000"/>
              <w:right w:val="nil"/>
            </w:tcBorders>
            <w:shd w:val="clear" w:color="000000" w:fill="FFFFFF"/>
            <w:noWrap/>
            <w:vAlign w:val="center"/>
            <w:hideMark/>
          </w:tcPr>
          <w:p w14:paraId="4D72A623" w14:textId="77777777" w:rsidR="006368C8" w:rsidRPr="006368C8" w:rsidRDefault="006368C8" w:rsidP="006368C8">
            <w:pPr>
              <w:spacing w:after="0" w:line="240" w:lineRule="auto"/>
              <w:jc w:val="right"/>
              <w:rPr>
                <w:rFonts w:ascii="Arial" w:hAnsi="Arial" w:cs="Arial"/>
                <w:i/>
                <w:iCs/>
                <w:sz w:val="16"/>
                <w:szCs w:val="16"/>
              </w:rPr>
            </w:pPr>
            <w:r w:rsidRPr="006368C8">
              <w:rPr>
                <w:rFonts w:ascii="Arial" w:hAnsi="Arial" w:cs="Arial"/>
                <w:i/>
                <w:iCs/>
                <w:sz w:val="16"/>
                <w:szCs w:val="16"/>
              </w:rPr>
              <w:t>11.6</w:t>
            </w:r>
          </w:p>
        </w:tc>
        <w:tc>
          <w:tcPr>
            <w:tcW w:w="377" w:type="pct"/>
            <w:tcBorders>
              <w:top w:val="single" w:sz="4" w:space="0" w:color="auto"/>
              <w:left w:val="nil"/>
              <w:bottom w:val="single" w:sz="4" w:space="0" w:color="auto"/>
              <w:right w:val="nil"/>
            </w:tcBorders>
            <w:shd w:val="clear" w:color="000000" w:fill="FFFFFF"/>
            <w:noWrap/>
            <w:vAlign w:val="center"/>
            <w:hideMark/>
          </w:tcPr>
          <w:p w14:paraId="425C6CC6"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200</w:t>
            </w:r>
          </w:p>
        </w:tc>
        <w:tc>
          <w:tcPr>
            <w:tcW w:w="412" w:type="pct"/>
            <w:tcBorders>
              <w:top w:val="single" w:sz="4" w:space="0" w:color="auto"/>
              <w:left w:val="nil"/>
              <w:bottom w:val="single" w:sz="4" w:space="0" w:color="auto"/>
              <w:right w:val="nil"/>
            </w:tcBorders>
            <w:shd w:val="clear" w:color="000000" w:fill="FFFFFF"/>
            <w:noWrap/>
            <w:vAlign w:val="center"/>
            <w:hideMark/>
          </w:tcPr>
          <w:p w14:paraId="6EC5BC85"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14.0</w:t>
            </w:r>
          </w:p>
        </w:tc>
        <w:tc>
          <w:tcPr>
            <w:tcW w:w="377" w:type="pct"/>
            <w:tcBorders>
              <w:top w:val="single" w:sz="4" w:space="0" w:color="auto"/>
              <w:left w:val="nil"/>
              <w:bottom w:val="single" w:sz="4" w:space="0" w:color="auto"/>
              <w:right w:val="nil"/>
            </w:tcBorders>
            <w:shd w:val="clear" w:color="000000" w:fill="FFFFFF"/>
            <w:noWrap/>
            <w:vAlign w:val="center"/>
            <w:hideMark/>
          </w:tcPr>
          <w:p w14:paraId="32DE3D4B"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266</w:t>
            </w:r>
          </w:p>
        </w:tc>
        <w:tc>
          <w:tcPr>
            <w:tcW w:w="412" w:type="pct"/>
            <w:tcBorders>
              <w:top w:val="single" w:sz="4" w:space="0" w:color="auto"/>
              <w:left w:val="nil"/>
              <w:bottom w:val="single" w:sz="4" w:space="0" w:color="auto"/>
              <w:right w:val="nil"/>
            </w:tcBorders>
            <w:shd w:val="clear" w:color="000000" w:fill="FFFFFF"/>
            <w:noWrap/>
            <w:vAlign w:val="center"/>
            <w:hideMark/>
          </w:tcPr>
          <w:p w14:paraId="12E22D35"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14.7</w:t>
            </w:r>
          </w:p>
        </w:tc>
        <w:tc>
          <w:tcPr>
            <w:tcW w:w="377" w:type="pct"/>
            <w:tcBorders>
              <w:top w:val="single" w:sz="4" w:space="0" w:color="auto"/>
              <w:left w:val="nil"/>
              <w:bottom w:val="single" w:sz="4" w:space="0" w:color="auto"/>
              <w:right w:val="nil"/>
            </w:tcBorders>
            <w:shd w:val="clear" w:color="auto" w:fill="F2F2F2" w:themeFill="background1" w:themeFillShade="F2"/>
            <w:noWrap/>
            <w:vAlign w:val="center"/>
            <w:hideMark/>
          </w:tcPr>
          <w:p w14:paraId="09ECFE42"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193</w:t>
            </w:r>
          </w:p>
        </w:tc>
        <w:tc>
          <w:tcPr>
            <w:tcW w:w="412" w:type="pct"/>
            <w:tcBorders>
              <w:top w:val="single" w:sz="4" w:space="0" w:color="auto"/>
              <w:left w:val="nil"/>
              <w:bottom w:val="single" w:sz="4" w:space="0" w:color="auto"/>
              <w:right w:val="nil"/>
            </w:tcBorders>
            <w:shd w:val="clear" w:color="auto" w:fill="F2F2F2" w:themeFill="background1" w:themeFillShade="F2"/>
            <w:noWrap/>
            <w:vAlign w:val="center"/>
            <w:hideMark/>
          </w:tcPr>
          <w:p w14:paraId="63E2DFB3" w14:textId="77777777" w:rsidR="006368C8" w:rsidRPr="006368C8" w:rsidRDefault="006368C8" w:rsidP="006368C8">
            <w:pPr>
              <w:spacing w:after="0" w:line="240" w:lineRule="auto"/>
              <w:jc w:val="right"/>
              <w:rPr>
                <w:rFonts w:ascii="Arial" w:hAnsi="Arial" w:cs="Arial"/>
                <w:i/>
                <w:iCs/>
                <w:color w:val="auto"/>
                <w:sz w:val="16"/>
                <w:szCs w:val="16"/>
              </w:rPr>
            </w:pPr>
            <w:r w:rsidRPr="006368C8">
              <w:rPr>
                <w:rFonts w:ascii="Arial" w:hAnsi="Arial" w:cs="Arial"/>
                <w:i/>
                <w:iCs/>
                <w:color w:val="auto"/>
                <w:sz w:val="16"/>
                <w:szCs w:val="16"/>
              </w:rPr>
              <w:t>10.6</w:t>
            </w:r>
          </w:p>
        </w:tc>
      </w:tr>
      <w:tr w:rsidR="006368C8" w:rsidRPr="006368C8" w14:paraId="1F5E7EEB" w14:textId="77777777" w:rsidTr="00454210">
        <w:trPr>
          <w:trHeight w:val="225"/>
        </w:trPr>
        <w:tc>
          <w:tcPr>
            <w:tcW w:w="1847" w:type="pct"/>
            <w:tcBorders>
              <w:top w:val="nil"/>
              <w:left w:val="nil"/>
              <w:bottom w:val="single" w:sz="4" w:space="0" w:color="auto"/>
              <w:right w:val="nil"/>
            </w:tcBorders>
            <w:shd w:val="clear" w:color="000000" w:fill="FFFFFF"/>
            <w:noWrap/>
            <w:vAlign w:val="center"/>
            <w:hideMark/>
          </w:tcPr>
          <w:p w14:paraId="2A3F79AC" w14:textId="77777777" w:rsidR="006368C8" w:rsidRPr="006368C8" w:rsidRDefault="006368C8" w:rsidP="006368C8">
            <w:pPr>
              <w:spacing w:after="0" w:line="240" w:lineRule="auto"/>
              <w:jc w:val="left"/>
              <w:rPr>
                <w:rFonts w:ascii="Arial" w:hAnsi="Arial" w:cs="Arial"/>
                <w:b/>
                <w:bCs/>
                <w:sz w:val="16"/>
                <w:szCs w:val="16"/>
              </w:rPr>
            </w:pPr>
            <w:r w:rsidRPr="006368C8">
              <w:rPr>
                <w:rFonts w:ascii="Arial" w:hAnsi="Arial" w:cs="Arial"/>
                <w:b/>
                <w:bCs/>
                <w:sz w:val="16"/>
                <w:szCs w:val="16"/>
              </w:rPr>
              <w:t>Total commercial</w:t>
            </w:r>
          </w:p>
        </w:tc>
        <w:tc>
          <w:tcPr>
            <w:tcW w:w="377" w:type="pct"/>
            <w:tcBorders>
              <w:top w:val="nil"/>
              <w:left w:val="nil"/>
              <w:bottom w:val="single" w:sz="4" w:space="0" w:color="auto"/>
              <w:right w:val="nil"/>
            </w:tcBorders>
            <w:shd w:val="clear" w:color="000000" w:fill="FFFFFF"/>
            <w:noWrap/>
            <w:vAlign w:val="center"/>
            <w:hideMark/>
          </w:tcPr>
          <w:p w14:paraId="602B94F2" w14:textId="77777777" w:rsidR="006368C8" w:rsidRPr="006368C8" w:rsidRDefault="006368C8" w:rsidP="006368C8">
            <w:pPr>
              <w:spacing w:after="0" w:line="240" w:lineRule="auto"/>
              <w:jc w:val="right"/>
              <w:rPr>
                <w:rFonts w:ascii="Arial" w:hAnsi="Arial" w:cs="Arial"/>
                <w:b/>
                <w:bCs/>
                <w:sz w:val="16"/>
                <w:szCs w:val="16"/>
              </w:rPr>
            </w:pPr>
            <w:r w:rsidRPr="006368C8">
              <w:rPr>
                <w:rFonts w:ascii="Arial" w:hAnsi="Arial" w:cs="Arial"/>
                <w:b/>
                <w:bCs/>
                <w:sz w:val="16"/>
                <w:szCs w:val="16"/>
              </w:rPr>
              <w:t>465</w:t>
            </w:r>
          </w:p>
        </w:tc>
        <w:tc>
          <w:tcPr>
            <w:tcW w:w="412" w:type="pct"/>
            <w:tcBorders>
              <w:top w:val="nil"/>
              <w:left w:val="nil"/>
              <w:bottom w:val="single" w:sz="4" w:space="0" w:color="auto"/>
              <w:right w:val="nil"/>
            </w:tcBorders>
            <w:shd w:val="clear" w:color="000000" w:fill="FFFFFF"/>
            <w:noWrap/>
            <w:vAlign w:val="center"/>
            <w:hideMark/>
          </w:tcPr>
          <w:p w14:paraId="02FE037A" w14:textId="77777777" w:rsidR="006368C8" w:rsidRPr="006368C8" w:rsidRDefault="006368C8" w:rsidP="006368C8">
            <w:pPr>
              <w:spacing w:after="0" w:line="240" w:lineRule="auto"/>
              <w:jc w:val="right"/>
              <w:rPr>
                <w:rFonts w:ascii="Arial" w:hAnsi="Arial" w:cs="Arial"/>
                <w:b/>
                <w:bCs/>
                <w:sz w:val="16"/>
                <w:szCs w:val="16"/>
              </w:rPr>
            </w:pPr>
            <w:r w:rsidRPr="006368C8">
              <w:rPr>
                <w:rFonts w:ascii="Arial" w:hAnsi="Arial" w:cs="Arial"/>
                <w:b/>
                <w:bCs/>
                <w:sz w:val="16"/>
                <w:szCs w:val="16"/>
              </w:rPr>
              <w:t>43.7</w:t>
            </w:r>
          </w:p>
        </w:tc>
        <w:tc>
          <w:tcPr>
            <w:tcW w:w="377" w:type="pct"/>
            <w:tcBorders>
              <w:top w:val="nil"/>
              <w:left w:val="nil"/>
              <w:bottom w:val="single" w:sz="4" w:space="0" w:color="auto"/>
              <w:right w:val="nil"/>
            </w:tcBorders>
            <w:shd w:val="clear" w:color="000000" w:fill="FFFFFF"/>
            <w:noWrap/>
            <w:vAlign w:val="center"/>
            <w:hideMark/>
          </w:tcPr>
          <w:p w14:paraId="65D80096" w14:textId="77777777" w:rsidR="006368C8" w:rsidRPr="006368C8" w:rsidRDefault="006368C8" w:rsidP="006368C8">
            <w:pPr>
              <w:spacing w:after="0" w:line="240" w:lineRule="auto"/>
              <w:jc w:val="right"/>
              <w:rPr>
                <w:rFonts w:ascii="Arial" w:hAnsi="Arial" w:cs="Arial"/>
                <w:b/>
                <w:bCs/>
                <w:color w:val="auto"/>
                <w:sz w:val="16"/>
                <w:szCs w:val="16"/>
              </w:rPr>
            </w:pPr>
            <w:r w:rsidRPr="006368C8">
              <w:rPr>
                <w:rFonts w:ascii="Arial" w:hAnsi="Arial" w:cs="Arial"/>
                <w:b/>
                <w:bCs/>
                <w:color w:val="auto"/>
                <w:sz w:val="16"/>
                <w:szCs w:val="16"/>
              </w:rPr>
              <w:t>391</w:t>
            </w:r>
          </w:p>
        </w:tc>
        <w:tc>
          <w:tcPr>
            <w:tcW w:w="412" w:type="pct"/>
            <w:tcBorders>
              <w:top w:val="nil"/>
              <w:left w:val="nil"/>
              <w:bottom w:val="single" w:sz="4" w:space="0" w:color="auto"/>
              <w:right w:val="nil"/>
            </w:tcBorders>
            <w:shd w:val="clear" w:color="000000" w:fill="FFFFFF"/>
            <w:noWrap/>
            <w:vAlign w:val="center"/>
            <w:hideMark/>
          </w:tcPr>
          <w:p w14:paraId="2A9B6D36" w14:textId="77777777" w:rsidR="006368C8" w:rsidRPr="006368C8" w:rsidRDefault="006368C8" w:rsidP="006368C8">
            <w:pPr>
              <w:spacing w:after="0" w:line="240" w:lineRule="auto"/>
              <w:jc w:val="right"/>
              <w:rPr>
                <w:rFonts w:ascii="Arial" w:hAnsi="Arial" w:cs="Arial"/>
                <w:b/>
                <w:bCs/>
                <w:color w:val="auto"/>
                <w:sz w:val="16"/>
                <w:szCs w:val="16"/>
              </w:rPr>
            </w:pPr>
            <w:r w:rsidRPr="006368C8">
              <w:rPr>
                <w:rFonts w:ascii="Arial" w:hAnsi="Arial" w:cs="Arial"/>
                <w:b/>
                <w:bCs/>
                <w:color w:val="auto"/>
                <w:sz w:val="16"/>
                <w:szCs w:val="16"/>
              </w:rPr>
              <w:t>39.5</w:t>
            </w:r>
          </w:p>
        </w:tc>
        <w:tc>
          <w:tcPr>
            <w:tcW w:w="377" w:type="pct"/>
            <w:tcBorders>
              <w:top w:val="nil"/>
              <w:left w:val="nil"/>
              <w:bottom w:val="single" w:sz="4" w:space="0" w:color="auto"/>
              <w:right w:val="nil"/>
            </w:tcBorders>
            <w:shd w:val="clear" w:color="000000" w:fill="FFFFFF"/>
            <w:noWrap/>
            <w:vAlign w:val="center"/>
            <w:hideMark/>
          </w:tcPr>
          <w:p w14:paraId="27B97E9F" w14:textId="77777777" w:rsidR="006368C8" w:rsidRPr="006368C8" w:rsidRDefault="006368C8" w:rsidP="006368C8">
            <w:pPr>
              <w:spacing w:after="0" w:line="240" w:lineRule="auto"/>
              <w:jc w:val="right"/>
              <w:rPr>
                <w:rFonts w:ascii="Arial" w:hAnsi="Arial" w:cs="Arial"/>
                <w:b/>
                <w:bCs/>
                <w:color w:val="auto"/>
                <w:sz w:val="16"/>
                <w:szCs w:val="16"/>
              </w:rPr>
            </w:pPr>
            <w:r w:rsidRPr="006368C8">
              <w:rPr>
                <w:rFonts w:ascii="Arial" w:hAnsi="Arial" w:cs="Arial"/>
                <w:b/>
                <w:bCs/>
                <w:color w:val="auto"/>
                <w:sz w:val="16"/>
                <w:szCs w:val="16"/>
              </w:rPr>
              <w:t>487</w:t>
            </w:r>
          </w:p>
        </w:tc>
        <w:tc>
          <w:tcPr>
            <w:tcW w:w="412" w:type="pct"/>
            <w:tcBorders>
              <w:top w:val="nil"/>
              <w:left w:val="nil"/>
              <w:bottom w:val="single" w:sz="4" w:space="0" w:color="auto"/>
              <w:right w:val="nil"/>
            </w:tcBorders>
            <w:shd w:val="clear" w:color="000000" w:fill="FFFFFF"/>
            <w:noWrap/>
            <w:vAlign w:val="center"/>
            <w:hideMark/>
          </w:tcPr>
          <w:p w14:paraId="123B509D" w14:textId="77777777" w:rsidR="006368C8" w:rsidRPr="006368C8" w:rsidRDefault="006368C8" w:rsidP="006368C8">
            <w:pPr>
              <w:spacing w:after="0" w:line="240" w:lineRule="auto"/>
              <w:jc w:val="right"/>
              <w:rPr>
                <w:rFonts w:ascii="Arial" w:hAnsi="Arial" w:cs="Arial"/>
                <w:b/>
                <w:bCs/>
                <w:color w:val="auto"/>
                <w:sz w:val="16"/>
                <w:szCs w:val="16"/>
              </w:rPr>
            </w:pPr>
            <w:r w:rsidRPr="006368C8">
              <w:rPr>
                <w:rFonts w:ascii="Arial" w:hAnsi="Arial" w:cs="Arial"/>
                <w:b/>
                <w:bCs/>
                <w:color w:val="auto"/>
                <w:sz w:val="16"/>
                <w:szCs w:val="16"/>
              </w:rPr>
              <w:t>73.0</w:t>
            </w:r>
          </w:p>
        </w:tc>
        <w:tc>
          <w:tcPr>
            <w:tcW w:w="377" w:type="pct"/>
            <w:tcBorders>
              <w:top w:val="nil"/>
              <w:left w:val="nil"/>
              <w:bottom w:val="single" w:sz="4" w:space="0" w:color="auto"/>
              <w:right w:val="nil"/>
            </w:tcBorders>
            <w:shd w:val="clear" w:color="auto" w:fill="F2F2F2" w:themeFill="background1" w:themeFillShade="F2"/>
            <w:noWrap/>
            <w:vAlign w:val="center"/>
            <w:hideMark/>
          </w:tcPr>
          <w:p w14:paraId="08904904" w14:textId="77777777" w:rsidR="006368C8" w:rsidRPr="006368C8" w:rsidRDefault="006368C8" w:rsidP="006368C8">
            <w:pPr>
              <w:spacing w:after="0" w:line="240" w:lineRule="auto"/>
              <w:jc w:val="right"/>
              <w:rPr>
                <w:rFonts w:ascii="Arial" w:hAnsi="Arial" w:cs="Arial"/>
                <w:b/>
                <w:bCs/>
                <w:color w:val="auto"/>
                <w:sz w:val="16"/>
                <w:szCs w:val="16"/>
              </w:rPr>
            </w:pPr>
            <w:r w:rsidRPr="006368C8">
              <w:rPr>
                <w:rFonts w:ascii="Arial" w:hAnsi="Arial" w:cs="Arial"/>
                <w:b/>
                <w:bCs/>
                <w:color w:val="auto"/>
                <w:sz w:val="16"/>
                <w:szCs w:val="16"/>
              </w:rPr>
              <w:t>440</w:t>
            </w:r>
          </w:p>
        </w:tc>
        <w:tc>
          <w:tcPr>
            <w:tcW w:w="412" w:type="pct"/>
            <w:tcBorders>
              <w:top w:val="nil"/>
              <w:left w:val="nil"/>
              <w:bottom w:val="single" w:sz="4" w:space="0" w:color="auto"/>
              <w:right w:val="nil"/>
            </w:tcBorders>
            <w:shd w:val="clear" w:color="auto" w:fill="F2F2F2" w:themeFill="background1" w:themeFillShade="F2"/>
            <w:noWrap/>
            <w:vAlign w:val="center"/>
            <w:hideMark/>
          </w:tcPr>
          <w:p w14:paraId="224DD7DA" w14:textId="77777777" w:rsidR="006368C8" w:rsidRPr="006368C8" w:rsidRDefault="006368C8" w:rsidP="006368C8">
            <w:pPr>
              <w:spacing w:after="0" w:line="240" w:lineRule="auto"/>
              <w:jc w:val="right"/>
              <w:rPr>
                <w:rFonts w:ascii="Arial" w:hAnsi="Arial" w:cs="Arial"/>
                <w:b/>
                <w:bCs/>
                <w:color w:val="auto"/>
                <w:sz w:val="16"/>
                <w:szCs w:val="16"/>
              </w:rPr>
            </w:pPr>
            <w:r w:rsidRPr="006368C8">
              <w:rPr>
                <w:rFonts w:ascii="Arial" w:hAnsi="Arial" w:cs="Arial"/>
                <w:b/>
                <w:bCs/>
                <w:color w:val="auto"/>
                <w:sz w:val="16"/>
                <w:szCs w:val="16"/>
              </w:rPr>
              <w:t>38.8</w:t>
            </w:r>
          </w:p>
        </w:tc>
      </w:tr>
    </w:tbl>
    <w:p w14:paraId="0737C41B" w14:textId="77777777" w:rsidR="009953D0" w:rsidRDefault="009953D0" w:rsidP="009953D0">
      <w:pPr>
        <w:pStyle w:val="ChartorTableNote"/>
      </w:pPr>
      <w:r w:rsidRPr="00BF48CD">
        <w:t xml:space="preserve">Before republishing this data or comparing between years, thoroughly review the methodological and data caveats in Appendix B. </w:t>
      </w:r>
    </w:p>
    <w:p w14:paraId="016B0545" w14:textId="77777777" w:rsidR="009953D0" w:rsidRDefault="009953D0" w:rsidP="00C70DE4"/>
    <w:p w14:paraId="01B5EA28" w14:textId="77777777" w:rsidR="00305DA1" w:rsidRPr="00820C89" w:rsidRDefault="00305DA1" w:rsidP="00E65E2D">
      <w:pPr>
        <w:pStyle w:val="TableMainHeading"/>
        <w:keepLines/>
      </w:pPr>
      <w:bookmarkStart w:id="122" w:name="_Toc63798280"/>
      <w:bookmarkStart w:id="123" w:name="_Toc73984739"/>
      <w:r w:rsidRPr="00820C89">
        <w:t>Table 3.</w:t>
      </w:r>
      <w:r w:rsidR="00A359D3">
        <w:t>12</w:t>
      </w:r>
      <w:r w:rsidRPr="00820C89">
        <w:t>: State and territory distribution of proposed investment in commercial real estate in 201</w:t>
      </w:r>
      <w:r>
        <w:t>9</w:t>
      </w:r>
      <w:r w:rsidRPr="00820C89">
        <w:t>–</w:t>
      </w:r>
      <w:r>
        <w:t>20</w:t>
      </w:r>
      <w:bookmarkEnd w:id="122"/>
      <w:bookmarkEnd w:id="123"/>
    </w:p>
    <w:tbl>
      <w:tblPr>
        <w:tblW w:w="5000" w:type="pct"/>
        <w:tblLook w:val="04A0" w:firstRow="1" w:lastRow="0" w:firstColumn="1" w:lastColumn="0" w:noHBand="0" w:noVBand="1"/>
      </w:tblPr>
      <w:tblGrid>
        <w:gridCol w:w="1442"/>
        <w:gridCol w:w="1056"/>
        <w:gridCol w:w="261"/>
        <w:gridCol w:w="1116"/>
        <w:gridCol w:w="1753"/>
        <w:gridCol w:w="464"/>
        <w:gridCol w:w="1618"/>
      </w:tblGrid>
      <w:tr w:rsidR="00D25D55" w:rsidRPr="00A521D5" w14:paraId="3A117A3F" w14:textId="77777777" w:rsidTr="00454210">
        <w:trPr>
          <w:cantSplit/>
          <w:trHeight w:val="225"/>
        </w:trPr>
        <w:tc>
          <w:tcPr>
            <w:tcW w:w="935" w:type="pct"/>
            <w:tcBorders>
              <w:top w:val="single" w:sz="4" w:space="0" w:color="auto"/>
              <w:left w:val="nil"/>
              <w:bottom w:val="nil"/>
              <w:right w:val="nil"/>
            </w:tcBorders>
            <w:shd w:val="clear" w:color="000000" w:fill="FFFFFF"/>
            <w:noWrap/>
            <w:vAlign w:val="center"/>
            <w:hideMark/>
          </w:tcPr>
          <w:p w14:paraId="3AE4BBF4"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685" w:type="pct"/>
            <w:tcBorders>
              <w:top w:val="single" w:sz="4" w:space="0" w:color="auto"/>
              <w:left w:val="nil"/>
              <w:bottom w:val="nil"/>
              <w:right w:val="nil"/>
            </w:tcBorders>
            <w:shd w:val="clear" w:color="000000" w:fill="FFFFFF"/>
            <w:noWrap/>
            <w:vAlign w:val="center"/>
            <w:hideMark/>
          </w:tcPr>
          <w:p w14:paraId="740B4030"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169" w:type="pct"/>
            <w:tcBorders>
              <w:top w:val="single" w:sz="4" w:space="0" w:color="auto"/>
              <w:left w:val="nil"/>
              <w:bottom w:val="nil"/>
              <w:right w:val="nil"/>
            </w:tcBorders>
            <w:shd w:val="clear" w:color="000000" w:fill="FFFFFF"/>
            <w:noWrap/>
            <w:vAlign w:val="center"/>
            <w:hideMark/>
          </w:tcPr>
          <w:p w14:paraId="6EAA5A09"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1861" w:type="pct"/>
            <w:gridSpan w:val="2"/>
            <w:tcBorders>
              <w:top w:val="single" w:sz="4" w:space="0" w:color="auto"/>
              <w:left w:val="nil"/>
              <w:bottom w:val="nil"/>
              <w:right w:val="nil"/>
            </w:tcBorders>
            <w:shd w:val="clear" w:color="000000" w:fill="FFFFFF"/>
            <w:noWrap/>
            <w:vAlign w:val="center"/>
            <w:hideMark/>
          </w:tcPr>
          <w:p w14:paraId="184CFAFE" w14:textId="77777777" w:rsidR="00D25D55" w:rsidRPr="00A521D5" w:rsidRDefault="00D25D55" w:rsidP="00E65E2D">
            <w:pPr>
              <w:keepNext/>
              <w:keepLines/>
              <w:spacing w:after="0" w:line="240" w:lineRule="auto"/>
              <w:jc w:val="center"/>
              <w:rPr>
                <w:rFonts w:ascii="Arial" w:hAnsi="Arial" w:cs="Arial"/>
                <w:sz w:val="16"/>
                <w:szCs w:val="16"/>
              </w:rPr>
            </w:pPr>
            <w:r w:rsidRPr="00A521D5">
              <w:rPr>
                <w:rFonts w:ascii="Arial" w:hAnsi="Arial" w:cs="Arial"/>
                <w:sz w:val="16"/>
                <w:szCs w:val="16"/>
              </w:rPr>
              <w:t>Commercial</w:t>
            </w:r>
          </w:p>
        </w:tc>
        <w:tc>
          <w:tcPr>
            <w:tcW w:w="301" w:type="pct"/>
            <w:tcBorders>
              <w:top w:val="single" w:sz="4" w:space="0" w:color="auto"/>
              <w:left w:val="nil"/>
              <w:bottom w:val="nil"/>
              <w:right w:val="nil"/>
            </w:tcBorders>
            <w:shd w:val="clear" w:color="000000" w:fill="FFFFFF"/>
            <w:noWrap/>
            <w:vAlign w:val="center"/>
            <w:hideMark/>
          </w:tcPr>
          <w:p w14:paraId="5C458F27" w14:textId="77777777" w:rsidR="00D25D55" w:rsidRPr="00A521D5" w:rsidRDefault="00D25D55" w:rsidP="00E65E2D">
            <w:pPr>
              <w:keepNext/>
              <w:keepLines/>
              <w:spacing w:after="0" w:line="240" w:lineRule="auto"/>
              <w:jc w:val="center"/>
              <w:rPr>
                <w:rFonts w:ascii="Arial" w:hAnsi="Arial" w:cs="Arial"/>
                <w:sz w:val="16"/>
                <w:szCs w:val="16"/>
              </w:rPr>
            </w:pPr>
            <w:r w:rsidRPr="00A521D5">
              <w:rPr>
                <w:rFonts w:ascii="Arial" w:hAnsi="Arial" w:cs="Arial"/>
                <w:sz w:val="16"/>
                <w:szCs w:val="16"/>
              </w:rPr>
              <w:t> </w:t>
            </w:r>
          </w:p>
        </w:tc>
        <w:tc>
          <w:tcPr>
            <w:tcW w:w="1049" w:type="pct"/>
            <w:tcBorders>
              <w:top w:val="single" w:sz="4" w:space="0" w:color="auto"/>
              <w:left w:val="nil"/>
              <w:bottom w:val="nil"/>
              <w:right w:val="nil"/>
            </w:tcBorders>
            <w:shd w:val="clear" w:color="000000" w:fill="FFFFFF"/>
            <w:noWrap/>
            <w:vAlign w:val="center"/>
            <w:hideMark/>
          </w:tcPr>
          <w:p w14:paraId="7391C3CD"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 </w:t>
            </w:r>
          </w:p>
        </w:tc>
      </w:tr>
      <w:tr w:rsidR="00D25D55" w:rsidRPr="00A521D5" w14:paraId="4454AB60" w14:textId="77777777" w:rsidTr="000C40FA">
        <w:trPr>
          <w:cantSplit/>
          <w:trHeight w:val="225"/>
        </w:trPr>
        <w:tc>
          <w:tcPr>
            <w:tcW w:w="935" w:type="pct"/>
            <w:tcBorders>
              <w:top w:val="nil"/>
              <w:left w:val="nil"/>
              <w:bottom w:val="nil"/>
              <w:right w:val="nil"/>
            </w:tcBorders>
            <w:shd w:val="clear" w:color="000000" w:fill="FFFFFF"/>
            <w:noWrap/>
            <w:vAlign w:val="center"/>
            <w:hideMark/>
          </w:tcPr>
          <w:p w14:paraId="4B8B9695"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685" w:type="pct"/>
            <w:tcBorders>
              <w:top w:val="nil"/>
              <w:left w:val="nil"/>
              <w:bottom w:val="nil"/>
              <w:right w:val="nil"/>
            </w:tcBorders>
            <w:shd w:val="clear" w:color="000000" w:fill="FFFFFF"/>
            <w:noWrap/>
            <w:vAlign w:val="center"/>
            <w:hideMark/>
          </w:tcPr>
          <w:p w14:paraId="451CA7D9"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Number of</w:t>
            </w:r>
          </w:p>
        </w:tc>
        <w:tc>
          <w:tcPr>
            <w:tcW w:w="169" w:type="pct"/>
            <w:tcBorders>
              <w:top w:val="nil"/>
              <w:left w:val="nil"/>
              <w:bottom w:val="nil"/>
              <w:right w:val="nil"/>
            </w:tcBorders>
            <w:shd w:val="clear" w:color="000000" w:fill="FFFFFF"/>
            <w:noWrap/>
            <w:vAlign w:val="center"/>
            <w:hideMark/>
          </w:tcPr>
          <w:p w14:paraId="776001E0"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724" w:type="pct"/>
            <w:tcBorders>
              <w:top w:val="nil"/>
              <w:left w:val="nil"/>
              <w:bottom w:val="nil"/>
              <w:right w:val="nil"/>
            </w:tcBorders>
            <w:shd w:val="clear" w:color="000000" w:fill="FFFFFF"/>
            <w:noWrap/>
            <w:vAlign w:val="center"/>
            <w:hideMark/>
          </w:tcPr>
          <w:p w14:paraId="3934EA9B"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Developed</w:t>
            </w:r>
          </w:p>
        </w:tc>
        <w:tc>
          <w:tcPr>
            <w:tcW w:w="1137" w:type="pct"/>
            <w:tcBorders>
              <w:top w:val="nil"/>
              <w:left w:val="nil"/>
              <w:bottom w:val="nil"/>
              <w:right w:val="nil"/>
            </w:tcBorders>
            <w:shd w:val="clear" w:color="000000" w:fill="FFFFFF"/>
            <w:noWrap/>
            <w:vAlign w:val="center"/>
            <w:hideMark/>
          </w:tcPr>
          <w:p w14:paraId="3E191C71"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For development</w:t>
            </w:r>
          </w:p>
        </w:tc>
        <w:tc>
          <w:tcPr>
            <w:tcW w:w="301" w:type="pct"/>
            <w:tcBorders>
              <w:top w:val="nil"/>
              <w:left w:val="nil"/>
              <w:bottom w:val="nil"/>
              <w:right w:val="nil"/>
            </w:tcBorders>
            <w:shd w:val="clear" w:color="000000" w:fill="FFFFFF"/>
            <w:noWrap/>
            <w:vAlign w:val="center"/>
            <w:hideMark/>
          </w:tcPr>
          <w:p w14:paraId="6464F69C"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 </w:t>
            </w:r>
          </w:p>
        </w:tc>
        <w:tc>
          <w:tcPr>
            <w:tcW w:w="1049" w:type="pct"/>
            <w:tcBorders>
              <w:top w:val="nil"/>
              <w:left w:val="nil"/>
              <w:bottom w:val="nil"/>
              <w:right w:val="nil"/>
            </w:tcBorders>
            <w:shd w:val="clear" w:color="000000" w:fill="FFFFFF"/>
            <w:noWrap/>
            <w:vAlign w:val="center"/>
            <w:hideMark/>
          </w:tcPr>
          <w:p w14:paraId="1055BD87"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Total</w:t>
            </w:r>
          </w:p>
        </w:tc>
      </w:tr>
      <w:tr w:rsidR="00D25D55" w:rsidRPr="00A521D5" w14:paraId="46901732" w14:textId="77777777" w:rsidTr="000C40FA">
        <w:trPr>
          <w:cantSplit/>
          <w:trHeight w:val="225"/>
        </w:trPr>
        <w:tc>
          <w:tcPr>
            <w:tcW w:w="935" w:type="pct"/>
            <w:tcBorders>
              <w:top w:val="nil"/>
              <w:left w:val="nil"/>
              <w:bottom w:val="single" w:sz="4" w:space="0" w:color="auto"/>
              <w:right w:val="nil"/>
            </w:tcBorders>
            <w:shd w:val="clear" w:color="000000" w:fill="FFFFFF"/>
            <w:noWrap/>
            <w:vAlign w:val="center"/>
            <w:hideMark/>
          </w:tcPr>
          <w:p w14:paraId="7F3F58B7"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Location</w:t>
            </w:r>
          </w:p>
        </w:tc>
        <w:tc>
          <w:tcPr>
            <w:tcW w:w="685" w:type="pct"/>
            <w:tcBorders>
              <w:top w:val="nil"/>
              <w:left w:val="nil"/>
              <w:bottom w:val="single" w:sz="4" w:space="0" w:color="auto"/>
              <w:right w:val="nil"/>
            </w:tcBorders>
            <w:shd w:val="clear" w:color="000000" w:fill="FFFFFF"/>
            <w:noWrap/>
            <w:vAlign w:val="center"/>
            <w:hideMark/>
          </w:tcPr>
          <w:p w14:paraId="3C3B5253"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approvals</w:t>
            </w:r>
          </w:p>
        </w:tc>
        <w:tc>
          <w:tcPr>
            <w:tcW w:w="169" w:type="pct"/>
            <w:tcBorders>
              <w:top w:val="nil"/>
              <w:left w:val="nil"/>
              <w:bottom w:val="nil"/>
              <w:right w:val="nil"/>
            </w:tcBorders>
            <w:shd w:val="clear" w:color="000000" w:fill="FFFFFF"/>
            <w:noWrap/>
            <w:vAlign w:val="center"/>
            <w:hideMark/>
          </w:tcPr>
          <w:p w14:paraId="4AD21F15"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 </w:t>
            </w:r>
          </w:p>
        </w:tc>
        <w:tc>
          <w:tcPr>
            <w:tcW w:w="724" w:type="pct"/>
            <w:tcBorders>
              <w:top w:val="nil"/>
              <w:left w:val="nil"/>
              <w:bottom w:val="single" w:sz="4" w:space="0" w:color="auto"/>
              <w:right w:val="nil"/>
            </w:tcBorders>
            <w:shd w:val="clear" w:color="000000" w:fill="FFFFFF"/>
            <w:noWrap/>
            <w:vAlign w:val="center"/>
            <w:hideMark/>
          </w:tcPr>
          <w:p w14:paraId="79FF35CD"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 xml:space="preserve">$b </w:t>
            </w:r>
          </w:p>
        </w:tc>
        <w:tc>
          <w:tcPr>
            <w:tcW w:w="1137" w:type="pct"/>
            <w:tcBorders>
              <w:top w:val="nil"/>
              <w:left w:val="nil"/>
              <w:bottom w:val="single" w:sz="4" w:space="0" w:color="auto"/>
              <w:right w:val="nil"/>
            </w:tcBorders>
            <w:shd w:val="clear" w:color="000000" w:fill="FFFFFF"/>
            <w:noWrap/>
            <w:vAlign w:val="center"/>
            <w:hideMark/>
          </w:tcPr>
          <w:p w14:paraId="4EBFFD1F"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 xml:space="preserve">$b </w:t>
            </w:r>
          </w:p>
        </w:tc>
        <w:tc>
          <w:tcPr>
            <w:tcW w:w="301" w:type="pct"/>
            <w:tcBorders>
              <w:top w:val="nil"/>
              <w:left w:val="nil"/>
              <w:bottom w:val="nil"/>
              <w:right w:val="nil"/>
            </w:tcBorders>
            <w:shd w:val="clear" w:color="000000" w:fill="FFFFFF"/>
            <w:noWrap/>
            <w:vAlign w:val="center"/>
            <w:hideMark/>
          </w:tcPr>
          <w:p w14:paraId="365E6DA5"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 </w:t>
            </w:r>
          </w:p>
        </w:tc>
        <w:tc>
          <w:tcPr>
            <w:tcW w:w="1049" w:type="pct"/>
            <w:tcBorders>
              <w:top w:val="nil"/>
              <w:left w:val="nil"/>
              <w:bottom w:val="single" w:sz="4" w:space="0" w:color="auto"/>
              <w:right w:val="nil"/>
            </w:tcBorders>
            <w:shd w:val="clear" w:color="000000" w:fill="FFFFFF"/>
            <w:noWrap/>
            <w:vAlign w:val="center"/>
            <w:hideMark/>
          </w:tcPr>
          <w:p w14:paraId="5FA1358C"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 xml:space="preserve">$b </w:t>
            </w:r>
          </w:p>
        </w:tc>
      </w:tr>
      <w:tr w:rsidR="00D25D55" w:rsidRPr="00A521D5" w14:paraId="007465F6" w14:textId="77777777" w:rsidTr="000C40FA">
        <w:trPr>
          <w:cantSplit/>
          <w:trHeight w:val="225"/>
        </w:trPr>
        <w:tc>
          <w:tcPr>
            <w:tcW w:w="935" w:type="pct"/>
            <w:tcBorders>
              <w:top w:val="nil"/>
              <w:left w:val="nil"/>
              <w:bottom w:val="nil"/>
              <w:right w:val="nil"/>
            </w:tcBorders>
            <w:shd w:val="clear" w:color="000000" w:fill="FFFFFF"/>
            <w:noWrap/>
            <w:vAlign w:val="center"/>
            <w:hideMark/>
          </w:tcPr>
          <w:p w14:paraId="20D6C31D"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ACT</w:t>
            </w:r>
          </w:p>
        </w:tc>
        <w:tc>
          <w:tcPr>
            <w:tcW w:w="685" w:type="pct"/>
            <w:tcBorders>
              <w:top w:val="nil"/>
              <w:left w:val="nil"/>
              <w:bottom w:val="nil"/>
              <w:right w:val="nil"/>
            </w:tcBorders>
            <w:shd w:val="clear" w:color="000000" w:fill="FFFFFF"/>
            <w:noWrap/>
            <w:vAlign w:val="center"/>
            <w:hideMark/>
          </w:tcPr>
          <w:p w14:paraId="6A08033A"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3</w:t>
            </w:r>
          </w:p>
        </w:tc>
        <w:tc>
          <w:tcPr>
            <w:tcW w:w="169" w:type="pct"/>
            <w:tcBorders>
              <w:top w:val="nil"/>
              <w:left w:val="nil"/>
              <w:bottom w:val="nil"/>
              <w:right w:val="nil"/>
            </w:tcBorders>
            <w:shd w:val="clear" w:color="000000" w:fill="FFFFFF"/>
            <w:noWrap/>
            <w:vAlign w:val="center"/>
            <w:hideMark/>
          </w:tcPr>
          <w:p w14:paraId="5070C427"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1121DE38"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0.1</w:t>
            </w:r>
          </w:p>
        </w:tc>
        <w:tc>
          <w:tcPr>
            <w:tcW w:w="1137" w:type="pct"/>
            <w:tcBorders>
              <w:top w:val="nil"/>
              <w:left w:val="nil"/>
              <w:bottom w:val="nil"/>
              <w:right w:val="nil"/>
            </w:tcBorders>
            <w:shd w:val="clear" w:color="000000" w:fill="FFFFFF"/>
            <w:noWrap/>
            <w:vAlign w:val="bottom"/>
            <w:hideMark/>
          </w:tcPr>
          <w:p w14:paraId="5B56B9D9"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0.0</w:t>
            </w:r>
          </w:p>
        </w:tc>
        <w:tc>
          <w:tcPr>
            <w:tcW w:w="301" w:type="pct"/>
            <w:tcBorders>
              <w:top w:val="nil"/>
              <w:left w:val="nil"/>
              <w:bottom w:val="nil"/>
              <w:right w:val="nil"/>
            </w:tcBorders>
            <w:shd w:val="clear" w:color="000000" w:fill="FFFFFF"/>
            <w:noWrap/>
            <w:vAlign w:val="center"/>
            <w:hideMark/>
          </w:tcPr>
          <w:p w14:paraId="292499D1"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7C2DB48C"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0.07</w:t>
            </w:r>
          </w:p>
        </w:tc>
      </w:tr>
      <w:tr w:rsidR="00D25D55" w:rsidRPr="00A521D5" w14:paraId="67010134" w14:textId="77777777" w:rsidTr="000C40FA">
        <w:trPr>
          <w:cantSplit/>
          <w:trHeight w:val="225"/>
        </w:trPr>
        <w:tc>
          <w:tcPr>
            <w:tcW w:w="935" w:type="pct"/>
            <w:tcBorders>
              <w:top w:val="nil"/>
              <w:left w:val="nil"/>
              <w:bottom w:val="nil"/>
              <w:right w:val="nil"/>
            </w:tcBorders>
            <w:shd w:val="clear" w:color="000000" w:fill="FFFFFF"/>
            <w:noWrap/>
            <w:vAlign w:val="center"/>
            <w:hideMark/>
          </w:tcPr>
          <w:p w14:paraId="0C782EAA"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NSW</w:t>
            </w:r>
          </w:p>
        </w:tc>
        <w:tc>
          <w:tcPr>
            <w:tcW w:w="685" w:type="pct"/>
            <w:tcBorders>
              <w:top w:val="nil"/>
              <w:left w:val="nil"/>
              <w:bottom w:val="nil"/>
              <w:right w:val="nil"/>
            </w:tcBorders>
            <w:shd w:val="clear" w:color="000000" w:fill="FFFFFF"/>
            <w:noWrap/>
            <w:vAlign w:val="center"/>
            <w:hideMark/>
          </w:tcPr>
          <w:p w14:paraId="79A2EE3F"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131</w:t>
            </w:r>
          </w:p>
        </w:tc>
        <w:tc>
          <w:tcPr>
            <w:tcW w:w="169" w:type="pct"/>
            <w:tcBorders>
              <w:top w:val="nil"/>
              <w:left w:val="nil"/>
              <w:bottom w:val="nil"/>
              <w:right w:val="nil"/>
            </w:tcBorders>
            <w:shd w:val="clear" w:color="000000" w:fill="FFFFFF"/>
            <w:noWrap/>
            <w:vAlign w:val="center"/>
            <w:hideMark/>
          </w:tcPr>
          <w:p w14:paraId="7A9ADEF5"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22684D2C"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6.4</w:t>
            </w:r>
          </w:p>
        </w:tc>
        <w:tc>
          <w:tcPr>
            <w:tcW w:w="1137" w:type="pct"/>
            <w:tcBorders>
              <w:top w:val="nil"/>
              <w:left w:val="nil"/>
              <w:bottom w:val="nil"/>
              <w:right w:val="nil"/>
            </w:tcBorders>
            <w:shd w:val="clear" w:color="000000" w:fill="FFFFFF"/>
            <w:noWrap/>
            <w:vAlign w:val="bottom"/>
            <w:hideMark/>
          </w:tcPr>
          <w:p w14:paraId="166567AE"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4.7</w:t>
            </w:r>
          </w:p>
        </w:tc>
        <w:tc>
          <w:tcPr>
            <w:tcW w:w="301" w:type="pct"/>
            <w:tcBorders>
              <w:top w:val="nil"/>
              <w:left w:val="nil"/>
              <w:bottom w:val="nil"/>
              <w:right w:val="nil"/>
            </w:tcBorders>
            <w:shd w:val="clear" w:color="000000" w:fill="FFFFFF"/>
            <w:noWrap/>
            <w:vAlign w:val="center"/>
            <w:hideMark/>
          </w:tcPr>
          <w:p w14:paraId="4B4737C1"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0632D423"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11.05</w:t>
            </w:r>
          </w:p>
        </w:tc>
      </w:tr>
      <w:tr w:rsidR="00D25D55" w:rsidRPr="00A521D5" w14:paraId="08BFE586" w14:textId="77777777" w:rsidTr="000C40FA">
        <w:trPr>
          <w:cantSplit/>
          <w:trHeight w:val="225"/>
        </w:trPr>
        <w:tc>
          <w:tcPr>
            <w:tcW w:w="935" w:type="pct"/>
            <w:tcBorders>
              <w:top w:val="nil"/>
              <w:left w:val="nil"/>
              <w:bottom w:val="nil"/>
              <w:right w:val="nil"/>
            </w:tcBorders>
            <w:shd w:val="clear" w:color="000000" w:fill="FFFFFF"/>
            <w:noWrap/>
            <w:vAlign w:val="center"/>
            <w:hideMark/>
          </w:tcPr>
          <w:p w14:paraId="2C981477"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NT</w:t>
            </w:r>
          </w:p>
        </w:tc>
        <w:tc>
          <w:tcPr>
            <w:tcW w:w="685" w:type="pct"/>
            <w:tcBorders>
              <w:top w:val="nil"/>
              <w:left w:val="nil"/>
              <w:bottom w:val="nil"/>
              <w:right w:val="nil"/>
            </w:tcBorders>
            <w:shd w:val="clear" w:color="000000" w:fill="FFFFFF"/>
            <w:noWrap/>
            <w:vAlign w:val="center"/>
            <w:hideMark/>
          </w:tcPr>
          <w:p w14:paraId="6155D446"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5</w:t>
            </w:r>
          </w:p>
        </w:tc>
        <w:tc>
          <w:tcPr>
            <w:tcW w:w="169" w:type="pct"/>
            <w:tcBorders>
              <w:top w:val="nil"/>
              <w:left w:val="nil"/>
              <w:bottom w:val="nil"/>
              <w:right w:val="nil"/>
            </w:tcBorders>
            <w:shd w:val="clear" w:color="000000" w:fill="FFFFFF"/>
            <w:noWrap/>
            <w:vAlign w:val="center"/>
            <w:hideMark/>
          </w:tcPr>
          <w:p w14:paraId="34BD605D"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6026AEF1"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0.0</w:t>
            </w:r>
          </w:p>
        </w:tc>
        <w:tc>
          <w:tcPr>
            <w:tcW w:w="1137" w:type="pct"/>
            <w:tcBorders>
              <w:top w:val="nil"/>
              <w:left w:val="nil"/>
              <w:bottom w:val="nil"/>
              <w:right w:val="nil"/>
            </w:tcBorders>
            <w:shd w:val="clear" w:color="000000" w:fill="FFFFFF"/>
            <w:noWrap/>
            <w:vAlign w:val="bottom"/>
            <w:hideMark/>
          </w:tcPr>
          <w:p w14:paraId="4712479D"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0.0</w:t>
            </w:r>
          </w:p>
        </w:tc>
        <w:tc>
          <w:tcPr>
            <w:tcW w:w="301" w:type="pct"/>
            <w:tcBorders>
              <w:top w:val="nil"/>
              <w:left w:val="nil"/>
              <w:bottom w:val="nil"/>
              <w:right w:val="nil"/>
            </w:tcBorders>
            <w:shd w:val="clear" w:color="000000" w:fill="FFFFFF"/>
            <w:noWrap/>
            <w:vAlign w:val="center"/>
            <w:hideMark/>
          </w:tcPr>
          <w:p w14:paraId="235239BD"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247DCA20"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0.02</w:t>
            </w:r>
          </w:p>
        </w:tc>
      </w:tr>
      <w:tr w:rsidR="00D25D55" w:rsidRPr="00A521D5" w14:paraId="60B0DC54" w14:textId="77777777" w:rsidTr="000C40FA">
        <w:trPr>
          <w:cantSplit/>
          <w:trHeight w:val="225"/>
        </w:trPr>
        <w:tc>
          <w:tcPr>
            <w:tcW w:w="935" w:type="pct"/>
            <w:tcBorders>
              <w:top w:val="nil"/>
              <w:left w:val="nil"/>
              <w:bottom w:val="nil"/>
              <w:right w:val="nil"/>
            </w:tcBorders>
            <w:shd w:val="clear" w:color="000000" w:fill="FFFFFF"/>
            <w:noWrap/>
            <w:vAlign w:val="center"/>
            <w:hideMark/>
          </w:tcPr>
          <w:p w14:paraId="44D50C7D"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Qld</w:t>
            </w:r>
          </w:p>
        </w:tc>
        <w:tc>
          <w:tcPr>
            <w:tcW w:w="685" w:type="pct"/>
            <w:tcBorders>
              <w:top w:val="nil"/>
              <w:left w:val="nil"/>
              <w:bottom w:val="nil"/>
              <w:right w:val="nil"/>
            </w:tcBorders>
            <w:shd w:val="clear" w:color="000000" w:fill="FFFFFF"/>
            <w:noWrap/>
            <w:vAlign w:val="center"/>
            <w:hideMark/>
          </w:tcPr>
          <w:p w14:paraId="3C4CE3D6"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68</w:t>
            </w:r>
          </w:p>
        </w:tc>
        <w:tc>
          <w:tcPr>
            <w:tcW w:w="169" w:type="pct"/>
            <w:tcBorders>
              <w:top w:val="nil"/>
              <w:left w:val="nil"/>
              <w:bottom w:val="nil"/>
              <w:right w:val="nil"/>
            </w:tcBorders>
            <w:shd w:val="clear" w:color="000000" w:fill="FFFFFF"/>
            <w:noWrap/>
            <w:vAlign w:val="center"/>
            <w:hideMark/>
          </w:tcPr>
          <w:p w14:paraId="6CCD6D12"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1FDE2DB3"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2.3</w:t>
            </w:r>
          </w:p>
        </w:tc>
        <w:tc>
          <w:tcPr>
            <w:tcW w:w="1137" w:type="pct"/>
            <w:tcBorders>
              <w:top w:val="nil"/>
              <w:left w:val="nil"/>
              <w:bottom w:val="nil"/>
              <w:right w:val="nil"/>
            </w:tcBorders>
            <w:shd w:val="clear" w:color="000000" w:fill="FFFFFF"/>
            <w:noWrap/>
            <w:vAlign w:val="bottom"/>
            <w:hideMark/>
          </w:tcPr>
          <w:p w14:paraId="298BDDB5"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0.5</w:t>
            </w:r>
          </w:p>
        </w:tc>
        <w:tc>
          <w:tcPr>
            <w:tcW w:w="301" w:type="pct"/>
            <w:tcBorders>
              <w:top w:val="nil"/>
              <w:left w:val="nil"/>
              <w:bottom w:val="nil"/>
              <w:right w:val="nil"/>
            </w:tcBorders>
            <w:shd w:val="clear" w:color="000000" w:fill="FFFFFF"/>
            <w:noWrap/>
            <w:vAlign w:val="center"/>
            <w:hideMark/>
          </w:tcPr>
          <w:p w14:paraId="75C52CA3"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284E58C9"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2.86</w:t>
            </w:r>
          </w:p>
        </w:tc>
      </w:tr>
      <w:tr w:rsidR="00D25D55" w:rsidRPr="00A521D5" w14:paraId="1E002D16" w14:textId="77777777" w:rsidTr="000C40FA">
        <w:trPr>
          <w:cantSplit/>
          <w:trHeight w:val="225"/>
        </w:trPr>
        <w:tc>
          <w:tcPr>
            <w:tcW w:w="935" w:type="pct"/>
            <w:tcBorders>
              <w:top w:val="nil"/>
              <w:left w:val="nil"/>
              <w:bottom w:val="nil"/>
              <w:right w:val="nil"/>
            </w:tcBorders>
            <w:shd w:val="clear" w:color="000000" w:fill="FFFFFF"/>
            <w:noWrap/>
            <w:vAlign w:val="center"/>
            <w:hideMark/>
          </w:tcPr>
          <w:p w14:paraId="7C015D07"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SA</w:t>
            </w:r>
          </w:p>
        </w:tc>
        <w:tc>
          <w:tcPr>
            <w:tcW w:w="685" w:type="pct"/>
            <w:tcBorders>
              <w:top w:val="nil"/>
              <w:left w:val="nil"/>
              <w:bottom w:val="nil"/>
              <w:right w:val="nil"/>
            </w:tcBorders>
            <w:shd w:val="clear" w:color="000000" w:fill="FFFFFF"/>
            <w:noWrap/>
            <w:vAlign w:val="center"/>
            <w:hideMark/>
          </w:tcPr>
          <w:p w14:paraId="5B5ABF91"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24</w:t>
            </w:r>
          </w:p>
        </w:tc>
        <w:tc>
          <w:tcPr>
            <w:tcW w:w="169" w:type="pct"/>
            <w:tcBorders>
              <w:top w:val="nil"/>
              <w:left w:val="nil"/>
              <w:bottom w:val="nil"/>
              <w:right w:val="nil"/>
            </w:tcBorders>
            <w:shd w:val="clear" w:color="000000" w:fill="FFFFFF"/>
            <w:noWrap/>
            <w:vAlign w:val="center"/>
            <w:hideMark/>
          </w:tcPr>
          <w:p w14:paraId="4373F86A"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530DD312"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1.5</w:t>
            </w:r>
          </w:p>
        </w:tc>
        <w:tc>
          <w:tcPr>
            <w:tcW w:w="1137" w:type="pct"/>
            <w:tcBorders>
              <w:top w:val="nil"/>
              <w:left w:val="nil"/>
              <w:bottom w:val="nil"/>
              <w:right w:val="nil"/>
            </w:tcBorders>
            <w:shd w:val="clear" w:color="000000" w:fill="FFFFFF"/>
            <w:noWrap/>
            <w:vAlign w:val="bottom"/>
            <w:hideMark/>
          </w:tcPr>
          <w:p w14:paraId="54674E34"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0.1</w:t>
            </w:r>
          </w:p>
        </w:tc>
        <w:tc>
          <w:tcPr>
            <w:tcW w:w="301" w:type="pct"/>
            <w:tcBorders>
              <w:top w:val="nil"/>
              <w:left w:val="nil"/>
              <w:bottom w:val="nil"/>
              <w:right w:val="nil"/>
            </w:tcBorders>
            <w:shd w:val="clear" w:color="000000" w:fill="FFFFFF"/>
            <w:noWrap/>
            <w:vAlign w:val="center"/>
            <w:hideMark/>
          </w:tcPr>
          <w:p w14:paraId="1A2FF39D"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3CA195E4"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1.63</w:t>
            </w:r>
          </w:p>
        </w:tc>
      </w:tr>
      <w:tr w:rsidR="00D25D55" w:rsidRPr="00A521D5" w14:paraId="254A9AF4" w14:textId="77777777" w:rsidTr="000C40FA">
        <w:trPr>
          <w:cantSplit/>
          <w:trHeight w:val="225"/>
        </w:trPr>
        <w:tc>
          <w:tcPr>
            <w:tcW w:w="935" w:type="pct"/>
            <w:tcBorders>
              <w:top w:val="nil"/>
              <w:left w:val="nil"/>
              <w:bottom w:val="nil"/>
              <w:right w:val="nil"/>
            </w:tcBorders>
            <w:shd w:val="clear" w:color="000000" w:fill="FFFFFF"/>
            <w:noWrap/>
            <w:vAlign w:val="center"/>
            <w:hideMark/>
          </w:tcPr>
          <w:p w14:paraId="07CE75FE"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Tas.</w:t>
            </w:r>
          </w:p>
        </w:tc>
        <w:tc>
          <w:tcPr>
            <w:tcW w:w="685" w:type="pct"/>
            <w:tcBorders>
              <w:top w:val="nil"/>
              <w:left w:val="nil"/>
              <w:bottom w:val="nil"/>
              <w:right w:val="nil"/>
            </w:tcBorders>
            <w:shd w:val="clear" w:color="000000" w:fill="FFFFFF"/>
            <w:noWrap/>
            <w:vAlign w:val="center"/>
            <w:hideMark/>
          </w:tcPr>
          <w:p w14:paraId="16915250"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5</w:t>
            </w:r>
          </w:p>
        </w:tc>
        <w:tc>
          <w:tcPr>
            <w:tcW w:w="169" w:type="pct"/>
            <w:tcBorders>
              <w:top w:val="nil"/>
              <w:left w:val="nil"/>
              <w:bottom w:val="nil"/>
              <w:right w:val="nil"/>
            </w:tcBorders>
            <w:shd w:val="clear" w:color="000000" w:fill="FFFFFF"/>
            <w:noWrap/>
            <w:vAlign w:val="center"/>
            <w:hideMark/>
          </w:tcPr>
          <w:p w14:paraId="600F9403"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50AE25D5"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0.0</w:t>
            </w:r>
          </w:p>
        </w:tc>
        <w:tc>
          <w:tcPr>
            <w:tcW w:w="1137" w:type="pct"/>
            <w:tcBorders>
              <w:top w:val="nil"/>
              <w:left w:val="nil"/>
              <w:bottom w:val="nil"/>
              <w:right w:val="nil"/>
            </w:tcBorders>
            <w:shd w:val="clear" w:color="000000" w:fill="FFFFFF"/>
            <w:noWrap/>
            <w:vAlign w:val="bottom"/>
            <w:hideMark/>
          </w:tcPr>
          <w:p w14:paraId="43EE480D"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0.0</w:t>
            </w:r>
          </w:p>
        </w:tc>
        <w:tc>
          <w:tcPr>
            <w:tcW w:w="301" w:type="pct"/>
            <w:tcBorders>
              <w:top w:val="nil"/>
              <w:left w:val="nil"/>
              <w:bottom w:val="nil"/>
              <w:right w:val="nil"/>
            </w:tcBorders>
            <w:shd w:val="clear" w:color="000000" w:fill="FFFFFF"/>
            <w:noWrap/>
            <w:vAlign w:val="center"/>
            <w:hideMark/>
          </w:tcPr>
          <w:p w14:paraId="274EF53D"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1B22E8D3"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0.01</w:t>
            </w:r>
          </w:p>
        </w:tc>
      </w:tr>
      <w:tr w:rsidR="00D25D55" w:rsidRPr="00A521D5" w14:paraId="74786AF4" w14:textId="77777777" w:rsidTr="000C40FA">
        <w:trPr>
          <w:cantSplit/>
          <w:trHeight w:val="225"/>
        </w:trPr>
        <w:tc>
          <w:tcPr>
            <w:tcW w:w="935" w:type="pct"/>
            <w:tcBorders>
              <w:top w:val="nil"/>
              <w:left w:val="nil"/>
              <w:bottom w:val="nil"/>
              <w:right w:val="nil"/>
            </w:tcBorders>
            <w:shd w:val="clear" w:color="000000" w:fill="FFFFFF"/>
            <w:noWrap/>
            <w:vAlign w:val="center"/>
            <w:hideMark/>
          </w:tcPr>
          <w:p w14:paraId="3A27543D"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Vic.</w:t>
            </w:r>
          </w:p>
        </w:tc>
        <w:tc>
          <w:tcPr>
            <w:tcW w:w="685" w:type="pct"/>
            <w:tcBorders>
              <w:top w:val="nil"/>
              <w:left w:val="nil"/>
              <w:bottom w:val="nil"/>
              <w:right w:val="nil"/>
            </w:tcBorders>
            <w:shd w:val="clear" w:color="000000" w:fill="FFFFFF"/>
            <w:noWrap/>
            <w:vAlign w:val="center"/>
            <w:hideMark/>
          </w:tcPr>
          <w:p w14:paraId="11D77A96"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78</w:t>
            </w:r>
          </w:p>
        </w:tc>
        <w:tc>
          <w:tcPr>
            <w:tcW w:w="169" w:type="pct"/>
            <w:tcBorders>
              <w:top w:val="nil"/>
              <w:left w:val="nil"/>
              <w:bottom w:val="nil"/>
              <w:right w:val="nil"/>
            </w:tcBorders>
            <w:shd w:val="clear" w:color="000000" w:fill="FFFFFF"/>
            <w:noWrap/>
            <w:vAlign w:val="center"/>
            <w:hideMark/>
          </w:tcPr>
          <w:p w14:paraId="1286787A"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4BC8ABB3"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2.9</w:t>
            </w:r>
          </w:p>
        </w:tc>
        <w:tc>
          <w:tcPr>
            <w:tcW w:w="1137" w:type="pct"/>
            <w:tcBorders>
              <w:top w:val="nil"/>
              <w:left w:val="nil"/>
              <w:bottom w:val="nil"/>
              <w:right w:val="nil"/>
            </w:tcBorders>
            <w:shd w:val="clear" w:color="000000" w:fill="FFFFFF"/>
            <w:noWrap/>
            <w:vAlign w:val="bottom"/>
            <w:hideMark/>
          </w:tcPr>
          <w:p w14:paraId="6C6FC186"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1.0</w:t>
            </w:r>
          </w:p>
        </w:tc>
        <w:tc>
          <w:tcPr>
            <w:tcW w:w="301" w:type="pct"/>
            <w:tcBorders>
              <w:top w:val="nil"/>
              <w:left w:val="nil"/>
              <w:bottom w:val="nil"/>
              <w:right w:val="nil"/>
            </w:tcBorders>
            <w:shd w:val="clear" w:color="000000" w:fill="FFFFFF"/>
            <w:noWrap/>
            <w:vAlign w:val="center"/>
            <w:hideMark/>
          </w:tcPr>
          <w:p w14:paraId="1660272C"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01CB6F45"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3.98</w:t>
            </w:r>
          </w:p>
        </w:tc>
      </w:tr>
      <w:tr w:rsidR="00D25D55" w:rsidRPr="00A521D5" w14:paraId="39D4FE13" w14:textId="77777777" w:rsidTr="000C40FA">
        <w:trPr>
          <w:cantSplit/>
          <w:trHeight w:val="225"/>
        </w:trPr>
        <w:tc>
          <w:tcPr>
            <w:tcW w:w="935" w:type="pct"/>
            <w:tcBorders>
              <w:top w:val="nil"/>
              <w:left w:val="nil"/>
              <w:bottom w:val="nil"/>
              <w:right w:val="nil"/>
            </w:tcBorders>
            <w:shd w:val="clear" w:color="000000" w:fill="FFFFFF"/>
            <w:noWrap/>
            <w:vAlign w:val="center"/>
            <w:hideMark/>
          </w:tcPr>
          <w:p w14:paraId="4AABF805" w14:textId="77777777" w:rsidR="00D25D55" w:rsidRPr="00A521D5" w:rsidRDefault="00D25D55" w:rsidP="00E65E2D">
            <w:pPr>
              <w:keepNext/>
              <w:keepLines/>
              <w:spacing w:after="0" w:line="240" w:lineRule="auto"/>
              <w:jc w:val="left"/>
              <w:rPr>
                <w:rFonts w:ascii="Arial" w:hAnsi="Arial" w:cs="Arial"/>
                <w:sz w:val="16"/>
                <w:szCs w:val="16"/>
              </w:rPr>
            </w:pPr>
            <w:r w:rsidRPr="00A521D5">
              <w:rPr>
                <w:rFonts w:ascii="Arial" w:hAnsi="Arial" w:cs="Arial"/>
                <w:sz w:val="16"/>
                <w:szCs w:val="16"/>
              </w:rPr>
              <w:t>WA</w:t>
            </w:r>
          </w:p>
        </w:tc>
        <w:tc>
          <w:tcPr>
            <w:tcW w:w="685" w:type="pct"/>
            <w:tcBorders>
              <w:top w:val="nil"/>
              <w:left w:val="nil"/>
              <w:bottom w:val="nil"/>
              <w:right w:val="nil"/>
            </w:tcBorders>
            <w:shd w:val="clear" w:color="000000" w:fill="FFFFFF"/>
            <w:noWrap/>
            <w:vAlign w:val="center"/>
            <w:hideMark/>
          </w:tcPr>
          <w:p w14:paraId="4256BF71"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29</w:t>
            </w:r>
          </w:p>
        </w:tc>
        <w:tc>
          <w:tcPr>
            <w:tcW w:w="169" w:type="pct"/>
            <w:tcBorders>
              <w:top w:val="nil"/>
              <w:left w:val="nil"/>
              <w:bottom w:val="nil"/>
              <w:right w:val="nil"/>
            </w:tcBorders>
            <w:shd w:val="clear" w:color="000000" w:fill="FFFFFF"/>
            <w:noWrap/>
            <w:vAlign w:val="center"/>
            <w:hideMark/>
          </w:tcPr>
          <w:p w14:paraId="14FB33E9"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724" w:type="pct"/>
            <w:tcBorders>
              <w:top w:val="nil"/>
              <w:left w:val="nil"/>
              <w:bottom w:val="nil"/>
              <w:right w:val="nil"/>
            </w:tcBorders>
            <w:shd w:val="clear" w:color="000000" w:fill="FFFFFF"/>
            <w:noWrap/>
            <w:vAlign w:val="bottom"/>
            <w:hideMark/>
          </w:tcPr>
          <w:p w14:paraId="04032DAB"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0.1</w:t>
            </w:r>
          </w:p>
        </w:tc>
        <w:tc>
          <w:tcPr>
            <w:tcW w:w="1137" w:type="pct"/>
            <w:tcBorders>
              <w:top w:val="nil"/>
              <w:left w:val="nil"/>
              <w:bottom w:val="nil"/>
              <w:right w:val="nil"/>
            </w:tcBorders>
            <w:shd w:val="clear" w:color="000000" w:fill="FFFFFF"/>
            <w:noWrap/>
            <w:vAlign w:val="bottom"/>
            <w:hideMark/>
          </w:tcPr>
          <w:p w14:paraId="08FB9932"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0.6</w:t>
            </w:r>
          </w:p>
        </w:tc>
        <w:tc>
          <w:tcPr>
            <w:tcW w:w="301" w:type="pct"/>
            <w:tcBorders>
              <w:top w:val="nil"/>
              <w:left w:val="nil"/>
              <w:bottom w:val="nil"/>
              <w:right w:val="nil"/>
            </w:tcBorders>
            <w:shd w:val="clear" w:color="000000" w:fill="FFFFFF"/>
            <w:noWrap/>
            <w:vAlign w:val="center"/>
            <w:hideMark/>
          </w:tcPr>
          <w:p w14:paraId="3730BCC0"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1049" w:type="pct"/>
            <w:tcBorders>
              <w:top w:val="nil"/>
              <w:left w:val="nil"/>
              <w:bottom w:val="nil"/>
              <w:right w:val="nil"/>
            </w:tcBorders>
            <w:shd w:val="clear" w:color="000000" w:fill="FFFFFF"/>
            <w:noWrap/>
            <w:vAlign w:val="bottom"/>
            <w:hideMark/>
          </w:tcPr>
          <w:p w14:paraId="63C5E452"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0.70</w:t>
            </w:r>
          </w:p>
        </w:tc>
      </w:tr>
      <w:tr w:rsidR="00D25D55" w:rsidRPr="00A521D5" w14:paraId="43188B4B" w14:textId="77777777" w:rsidTr="00E65E2D">
        <w:trPr>
          <w:cantSplit/>
          <w:trHeight w:val="225"/>
        </w:trPr>
        <w:tc>
          <w:tcPr>
            <w:tcW w:w="935" w:type="pct"/>
            <w:tcBorders>
              <w:top w:val="nil"/>
              <w:left w:val="nil"/>
              <w:bottom w:val="single" w:sz="4" w:space="0" w:color="auto"/>
              <w:right w:val="nil"/>
            </w:tcBorders>
            <w:shd w:val="clear" w:color="000000" w:fill="FFFFFF"/>
            <w:noWrap/>
            <w:vAlign w:val="center"/>
            <w:hideMark/>
          </w:tcPr>
          <w:p w14:paraId="3B23E20A" w14:textId="77777777" w:rsidR="00D25D55" w:rsidRPr="00A521D5" w:rsidRDefault="00A80C0A" w:rsidP="00E65E2D">
            <w:pPr>
              <w:keepNext/>
              <w:keepLines/>
              <w:spacing w:after="0" w:line="240" w:lineRule="auto"/>
              <w:jc w:val="left"/>
              <w:rPr>
                <w:rFonts w:ascii="Arial" w:hAnsi="Arial" w:cs="Arial"/>
                <w:sz w:val="16"/>
                <w:szCs w:val="16"/>
              </w:rPr>
            </w:pPr>
            <w:r w:rsidRPr="00A521D5">
              <w:rPr>
                <w:rFonts w:ascii="Arial" w:hAnsi="Arial" w:cs="Arial"/>
                <w:sz w:val="16"/>
                <w:szCs w:val="16"/>
              </w:rPr>
              <w:t>Various</w:t>
            </w:r>
          </w:p>
        </w:tc>
        <w:tc>
          <w:tcPr>
            <w:tcW w:w="685" w:type="pct"/>
            <w:tcBorders>
              <w:top w:val="nil"/>
              <w:left w:val="nil"/>
              <w:bottom w:val="single" w:sz="4" w:space="0" w:color="auto"/>
              <w:right w:val="nil"/>
            </w:tcBorders>
            <w:shd w:val="clear" w:color="000000" w:fill="FFFFFF"/>
            <w:noWrap/>
            <w:vAlign w:val="center"/>
            <w:hideMark/>
          </w:tcPr>
          <w:p w14:paraId="6AA369E1"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97</w:t>
            </w:r>
          </w:p>
        </w:tc>
        <w:tc>
          <w:tcPr>
            <w:tcW w:w="169" w:type="pct"/>
            <w:tcBorders>
              <w:top w:val="nil"/>
              <w:left w:val="nil"/>
              <w:right w:val="nil"/>
            </w:tcBorders>
            <w:shd w:val="clear" w:color="000000" w:fill="FFFFFF"/>
            <w:noWrap/>
            <w:vAlign w:val="center"/>
            <w:hideMark/>
          </w:tcPr>
          <w:p w14:paraId="1A21CB2F"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724" w:type="pct"/>
            <w:tcBorders>
              <w:top w:val="nil"/>
              <w:left w:val="nil"/>
              <w:bottom w:val="single" w:sz="4" w:space="0" w:color="auto"/>
              <w:right w:val="nil"/>
            </w:tcBorders>
            <w:shd w:val="clear" w:color="000000" w:fill="FFFFFF"/>
            <w:noWrap/>
            <w:vAlign w:val="bottom"/>
            <w:hideMark/>
          </w:tcPr>
          <w:p w14:paraId="1D7C99E0"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14.9</w:t>
            </w:r>
          </w:p>
        </w:tc>
        <w:tc>
          <w:tcPr>
            <w:tcW w:w="1137" w:type="pct"/>
            <w:tcBorders>
              <w:top w:val="nil"/>
              <w:left w:val="nil"/>
              <w:bottom w:val="single" w:sz="4" w:space="0" w:color="auto"/>
              <w:right w:val="nil"/>
            </w:tcBorders>
            <w:shd w:val="clear" w:color="000000" w:fill="FFFFFF"/>
            <w:noWrap/>
            <w:vAlign w:val="bottom"/>
            <w:hideMark/>
          </w:tcPr>
          <w:p w14:paraId="5027EB02"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3.6</w:t>
            </w:r>
          </w:p>
        </w:tc>
        <w:tc>
          <w:tcPr>
            <w:tcW w:w="301" w:type="pct"/>
            <w:tcBorders>
              <w:top w:val="nil"/>
              <w:left w:val="nil"/>
              <w:bottom w:val="nil"/>
              <w:right w:val="nil"/>
            </w:tcBorders>
            <w:shd w:val="clear" w:color="000000" w:fill="FFFFFF"/>
            <w:noWrap/>
            <w:vAlign w:val="center"/>
            <w:hideMark/>
          </w:tcPr>
          <w:p w14:paraId="266F9441"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1049" w:type="pct"/>
            <w:tcBorders>
              <w:top w:val="nil"/>
              <w:left w:val="nil"/>
              <w:bottom w:val="single" w:sz="4" w:space="0" w:color="auto"/>
              <w:right w:val="nil"/>
            </w:tcBorders>
            <w:shd w:val="clear" w:color="000000" w:fill="FFFFFF"/>
            <w:noWrap/>
            <w:vAlign w:val="bottom"/>
            <w:hideMark/>
          </w:tcPr>
          <w:p w14:paraId="21974400"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18.51</w:t>
            </w:r>
          </w:p>
        </w:tc>
      </w:tr>
      <w:tr w:rsidR="00D25D55" w:rsidRPr="00A521D5" w14:paraId="7491DB83" w14:textId="77777777" w:rsidTr="00E65E2D">
        <w:trPr>
          <w:cantSplit/>
          <w:trHeight w:val="225"/>
        </w:trPr>
        <w:tc>
          <w:tcPr>
            <w:tcW w:w="935" w:type="pct"/>
            <w:tcBorders>
              <w:top w:val="single" w:sz="4" w:space="0" w:color="auto"/>
              <w:left w:val="nil"/>
              <w:bottom w:val="single" w:sz="4" w:space="0" w:color="auto"/>
              <w:right w:val="nil"/>
            </w:tcBorders>
            <w:shd w:val="clear" w:color="000000" w:fill="FFFFFF"/>
            <w:noWrap/>
            <w:vAlign w:val="center"/>
            <w:hideMark/>
          </w:tcPr>
          <w:p w14:paraId="1FA4872D" w14:textId="77777777" w:rsidR="00D25D55" w:rsidRPr="00A521D5" w:rsidRDefault="00D25D55" w:rsidP="00E65E2D">
            <w:pPr>
              <w:keepNext/>
              <w:keepLines/>
              <w:spacing w:after="0" w:line="240" w:lineRule="auto"/>
              <w:jc w:val="left"/>
              <w:rPr>
                <w:rFonts w:ascii="Arial" w:hAnsi="Arial" w:cs="Arial"/>
                <w:b/>
                <w:bCs/>
                <w:sz w:val="16"/>
                <w:szCs w:val="16"/>
              </w:rPr>
            </w:pPr>
            <w:r w:rsidRPr="00A521D5">
              <w:rPr>
                <w:rFonts w:ascii="Arial" w:hAnsi="Arial" w:cs="Arial"/>
                <w:b/>
                <w:bCs/>
                <w:sz w:val="16"/>
                <w:szCs w:val="16"/>
              </w:rPr>
              <w:t>Total</w:t>
            </w:r>
          </w:p>
        </w:tc>
        <w:tc>
          <w:tcPr>
            <w:tcW w:w="685" w:type="pct"/>
            <w:tcBorders>
              <w:top w:val="single" w:sz="4" w:space="0" w:color="auto"/>
              <w:left w:val="nil"/>
              <w:bottom w:val="single" w:sz="4" w:space="0" w:color="auto"/>
              <w:right w:val="nil"/>
            </w:tcBorders>
            <w:shd w:val="clear" w:color="000000" w:fill="FFFFFF"/>
            <w:noWrap/>
            <w:vAlign w:val="center"/>
            <w:hideMark/>
          </w:tcPr>
          <w:p w14:paraId="05E29567"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440</w:t>
            </w:r>
          </w:p>
        </w:tc>
        <w:tc>
          <w:tcPr>
            <w:tcW w:w="169" w:type="pct"/>
            <w:tcBorders>
              <w:top w:val="nil"/>
              <w:left w:val="nil"/>
              <w:right w:val="nil"/>
            </w:tcBorders>
            <w:shd w:val="clear" w:color="000000" w:fill="FFFFFF"/>
            <w:noWrap/>
            <w:vAlign w:val="center"/>
            <w:hideMark/>
          </w:tcPr>
          <w:p w14:paraId="608A51E7" w14:textId="77777777" w:rsidR="00D25D55" w:rsidRPr="00A521D5" w:rsidRDefault="00D25D55" w:rsidP="00E65E2D">
            <w:pPr>
              <w:keepNext/>
              <w:keepLines/>
              <w:spacing w:after="0" w:line="240" w:lineRule="auto"/>
              <w:jc w:val="right"/>
              <w:rPr>
                <w:rFonts w:ascii="Arial" w:hAnsi="Arial" w:cs="Arial"/>
                <w:b/>
                <w:bCs/>
                <w:color w:val="auto"/>
                <w:sz w:val="16"/>
                <w:szCs w:val="16"/>
              </w:rPr>
            </w:pPr>
            <w:r w:rsidRPr="00A521D5">
              <w:rPr>
                <w:rFonts w:ascii="Arial" w:hAnsi="Arial" w:cs="Arial"/>
                <w:b/>
                <w:bCs/>
                <w:color w:val="auto"/>
                <w:sz w:val="16"/>
                <w:szCs w:val="16"/>
              </w:rPr>
              <w:t> </w:t>
            </w:r>
          </w:p>
        </w:tc>
        <w:tc>
          <w:tcPr>
            <w:tcW w:w="724" w:type="pct"/>
            <w:tcBorders>
              <w:top w:val="single" w:sz="4" w:space="0" w:color="auto"/>
              <w:left w:val="nil"/>
              <w:bottom w:val="single" w:sz="4" w:space="0" w:color="auto"/>
              <w:right w:val="nil"/>
            </w:tcBorders>
            <w:shd w:val="clear" w:color="000000" w:fill="FFFFFF"/>
            <w:noWrap/>
            <w:vAlign w:val="bottom"/>
            <w:hideMark/>
          </w:tcPr>
          <w:p w14:paraId="357501AE"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28.2</w:t>
            </w:r>
          </w:p>
        </w:tc>
        <w:tc>
          <w:tcPr>
            <w:tcW w:w="1137" w:type="pct"/>
            <w:tcBorders>
              <w:top w:val="single" w:sz="4" w:space="0" w:color="auto"/>
              <w:left w:val="nil"/>
              <w:bottom w:val="single" w:sz="4" w:space="0" w:color="auto"/>
              <w:right w:val="nil"/>
            </w:tcBorders>
            <w:shd w:val="clear" w:color="000000" w:fill="FFFFFF"/>
            <w:noWrap/>
            <w:vAlign w:val="bottom"/>
            <w:hideMark/>
          </w:tcPr>
          <w:p w14:paraId="64CE463A"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10.6</w:t>
            </w:r>
          </w:p>
        </w:tc>
        <w:tc>
          <w:tcPr>
            <w:tcW w:w="301" w:type="pct"/>
            <w:tcBorders>
              <w:top w:val="nil"/>
              <w:left w:val="nil"/>
              <w:bottom w:val="nil"/>
              <w:right w:val="nil"/>
            </w:tcBorders>
            <w:shd w:val="clear" w:color="000000" w:fill="FFFFFF"/>
            <w:noWrap/>
            <w:vAlign w:val="center"/>
            <w:hideMark/>
          </w:tcPr>
          <w:p w14:paraId="58690CFD" w14:textId="77777777" w:rsidR="00D25D55" w:rsidRPr="00A521D5" w:rsidRDefault="00D25D55" w:rsidP="00E65E2D">
            <w:pPr>
              <w:keepNext/>
              <w:keepLines/>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1049" w:type="pct"/>
            <w:tcBorders>
              <w:top w:val="single" w:sz="4" w:space="0" w:color="auto"/>
              <w:left w:val="nil"/>
              <w:bottom w:val="single" w:sz="4" w:space="0" w:color="auto"/>
              <w:right w:val="nil"/>
            </w:tcBorders>
            <w:shd w:val="clear" w:color="000000" w:fill="FFFFFF"/>
            <w:noWrap/>
            <w:vAlign w:val="bottom"/>
            <w:hideMark/>
          </w:tcPr>
          <w:p w14:paraId="512431A8" w14:textId="77777777" w:rsidR="00D25D55" w:rsidRPr="00A521D5" w:rsidRDefault="00D25D55" w:rsidP="00E65E2D">
            <w:pPr>
              <w:keepNext/>
              <w:keepLines/>
              <w:spacing w:after="0" w:line="240" w:lineRule="auto"/>
              <w:jc w:val="right"/>
              <w:rPr>
                <w:rFonts w:ascii="Arial" w:hAnsi="Arial" w:cs="Arial"/>
                <w:sz w:val="16"/>
                <w:szCs w:val="16"/>
              </w:rPr>
            </w:pPr>
            <w:r w:rsidRPr="00A521D5">
              <w:rPr>
                <w:rFonts w:ascii="Arial" w:hAnsi="Arial" w:cs="Arial"/>
                <w:sz w:val="16"/>
                <w:szCs w:val="16"/>
              </w:rPr>
              <w:t>38.83</w:t>
            </w:r>
          </w:p>
        </w:tc>
      </w:tr>
    </w:tbl>
    <w:p w14:paraId="1A9F167F" w14:textId="77777777" w:rsidR="00305DA1" w:rsidRDefault="00305DA1" w:rsidP="00305DA1">
      <w:pPr>
        <w:pStyle w:val="ChartorTableNote"/>
      </w:pPr>
      <w:r w:rsidRPr="00BF48CD">
        <w:t xml:space="preserve">Before republishing this data or comparing between years, thoroughly review the methodological and data caveats in Appendix B. </w:t>
      </w:r>
    </w:p>
    <w:bookmarkEnd w:id="119"/>
    <w:p w14:paraId="642EBACF" w14:textId="77777777" w:rsidR="00DE56DC" w:rsidRPr="00820C89" w:rsidRDefault="00DE56DC" w:rsidP="0050388F">
      <w:pPr>
        <w:pStyle w:val="Heading3"/>
      </w:pPr>
      <w:r w:rsidRPr="00820C89">
        <w:t>Residential real estate</w:t>
      </w:r>
    </w:p>
    <w:p w14:paraId="6FC18BA3" w14:textId="41C2EC33" w:rsidR="001552D1" w:rsidRDefault="001552D1" w:rsidP="001552D1">
      <w:r w:rsidRPr="00820C89">
        <w:t>In 201</w:t>
      </w:r>
      <w:r w:rsidR="00D66465">
        <w:t>9</w:t>
      </w:r>
      <w:r w:rsidR="00F26A86">
        <w:t>–</w:t>
      </w:r>
      <w:r w:rsidR="00D66465">
        <w:t>20</w:t>
      </w:r>
      <w:r w:rsidRPr="00820C89">
        <w:t>, a total of 7,0</w:t>
      </w:r>
      <w:r w:rsidR="00C70DE4">
        <w:t>56</w:t>
      </w:r>
      <w:r w:rsidR="008B6EC4">
        <w:t> </w:t>
      </w:r>
      <w:r w:rsidRPr="00820C89">
        <w:t xml:space="preserve">residential real estate applications </w:t>
      </w:r>
      <w:r>
        <w:t>valued at</w:t>
      </w:r>
      <w:r w:rsidRPr="00820C89">
        <w:t xml:space="preserve"> $</w:t>
      </w:r>
      <w:r w:rsidR="00C70DE4">
        <w:t>17.</w:t>
      </w:r>
      <w:r w:rsidRPr="00820C89">
        <w:t xml:space="preserve">1 billion were approved for proposed investment. This </w:t>
      </w:r>
      <w:r>
        <w:t>represents a decrease</w:t>
      </w:r>
      <w:r w:rsidRPr="00820C89">
        <w:t xml:space="preserve"> </w:t>
      </w:r>
      <w:r>
        <w:t>of 4</w:t>
      </w:r>
      <w:r w:rsidR="00C70DE4">
        <w:t>55</w:t>
      </w:r>
      <w:r>
        <w:t xml:space="preserve"> </w:t>
      </w:r>
      <w:r w:rsidRPr="00820C89">
        <w:t>in the number of approvals from 2018</w:t>
      </w:r>
      <w:r w:rsidR="00F26A86">
        <w:t>–</w:t>
      </w:r>
      <w:r w:rsidRPr="00820C89">
        <w:t>19 and continues a trend seen since 2015</w:t>
      </w:r>
      <w:r w:rsidR="00F26A86">
        <w:t>–</w:t>
      </w:r>
      <w:r w:rsidRPr="00820C89">
        <w:t>16. Despite this, the value of proposed investment in residential real estate in 2019</w:t>
      </w:r>
      <w:r w:rsidR="00F26A86">
        <w:t>–</w:t>
      </w:r>
      <w:r w:rsidRPr="00820C89">
        <w:t xml:space="preserve">20 </w:t>
      </w:r>
      <w:r w:rsidR="00C70DE4">
        <w:t>increased by $2.3</w:t>
      </w:r>
      <w:r w:rsidR="008B6EC4">
        <w:t> </w:t>
      </w:r>
      <w:r w:rsidR="00C70DE4">
        <w:t>billion compared to 2018</w:t>
      </w:r>
      <w:r w:rsidR="00F26A86">
        <w:t>–</w:t>
      </w:r>
      <w:r w:rsidR="00C70DE4">
        <w:t>19</w:t>
      </w:r>
      <w:r w:rsidR="00D66465">
        <w:t>.</w:t>
      </w:r>
    </w:p>
    <w:p w14:paraId="6F16D064" w14:textId="77777777" w:rsidR="003767B2" w:rsidRPr="00820C89" w:rsidRDefault="003767B2" w:rsidP="0095370F">
      <w:pPr>
        <w:keepNext/>
      </w:pPr>
      <w:r w:rsidRPr="00820C89">
        <w:t>Since 201</w:t>
      </w:r>
      <w:r w:rsidR="008B6EC4">
        <w:t>6</w:t>
      </w:r>
      <w:r w:rsidR="00F26A86">
        <w:t>–</w:t>
      </w:r>
      <w:r w:rsidRPr="00820C89">
        <w:t>1</w:t>
      </w:r>
      <w:r w:rsidR="008B6EC4">
        <w:t>7</w:t>
      </w:r>
      <w:r w:rsidRPr="00820C89">
        <w:t>, foreign demand for residential real estate in Australia has declined. F</w:t>
      </w:r>
      <w:r w:rsidR="00DE56DC" w:rsidRPr="00820C89">
        <w:t xml:space="preserve">actors </w:t>
      </w:r>
      <w:r w:rsidRPr="00820C89">
        <w:t xml:space="preserve">that </w:t>
      </w:r>
      <w:r w:rsidR="00DE56DC" w:rsidRPr="00820C89">
        <w:t>may explain the fall in the number of residential real estate approvals include</w:t>
      </w:r>
      <w:r w:rsidRPr="00820C89">
        <w:t>:</w:t>
      </w:r>
    </w:p>
    <w:p w14:paraId="5B5858B9" w14:textId="77777777" w:rsidR="003767B2" w:rsidRPr="00034B5E" w:rsidRDefault="00DE56DC" w:rsidP="00034B5E">
      <w:pPr>
        <w:pStyle w:val="Bullet"/>
      </w:pPr>
      <w:r w:rsidRPr="00034B5E">
        <w:t>a tightening of domestic credit</w:t>
      </w:r>
      <w:r w:rsidR="003767B2" w:rsidRPr="00034B5E">
        <w:t xml:space="preserve"> and </w:t>
      </w:r>
      <w:r w:rsidRPr="00034B5E">
        <w:t>increased restrictions on capital transfers in home countries</w:t>
      </w:r>
      <w:r w:rsidR="00FB5C75">
        <w:t>;</w:t>
      </w:r>
    </w:p>
    <w:p w14:paraId="67508F9D" w14:textId="77777777" w:rsidR="003767B2" w:rsidRPr="00034B5E" w:rsidRDefault="00DE56DC" w:rsidP="00034B5E">
      <w:pPr>
        <w:pStyle w:val="Bullet"/>
      </w:pPr>
      <w:r w:rsidRPr="00034B5E">
        <w:t>state taxes and foreign resident stamp duty increases</w:t>
      </w:r>
      <w:r w:rsidR="00FB5C75">
        <w:t>;</w:t>
      </w:r>
    </w:p>
    <w:p w14:paraId="18A27525" w14:textId="77777777" w:rsidR="00FB5C75" w:rsidRDefault="00DE56DC" w:rsidP="00034B5E">
      <w:pPr>
        <w:pStyle w:val="Bullet"/>
      </w:pPr>
      <w:r w:rsidRPr="00034B5E">
        <w:t>the introduction of an exemption certificate so that only one approval is required for individuals considering a number of residential properties with the intention to purchase only one property</w:t>
      </w:r>
      <w:r w:rsidR="00FB5C75">
        <w:t xml:space="preserve">; and </w:t>
      </w:r>
    </w:p>
    <w:p w14:paraId="3B746F34" w14:textId="41607979" w:rsidR="00DE56DC" w:rsidRPr="00034B5E" w:rsidRDefault="00FB5C75" w:rsidP="00FB5C75">
      <w:pPr>
        <w:pStyle w:val="Bullet"/>
      </w:pPr>
      <w:r w:rsidRPr="00820C89">
        <w:t xml:space="preserve">foreign </w:t>
      </w:r>
      <w:r w:rsidRPr="00034B5E">
        <w:t>investment application fees</w:t>
      </w:r>
      <w:r>
        <w:t>.</w:t>
      </w:r>
    </w:p>
    <w:p w14:paraId="7CDAF900" w14:textId="77777777" w:rsidR="00DE56DC" w:rsidRPr="008D7F08" w:rsidRDefault="00DE56DC" w:rsidP="00DE56DC">
      <w:r w:rsidRPr="008D7F08">
        <w:t>In 201</w:t>
      </w:r>
      <w:r w:rsidR="00C70DE4" w:rsidRPr="008D7F08">
        <w:t>9</w:t>
      </w:r>
      <w:r w:rsidR="00F26A86">
        <w:t>–</w:t>
      </w:r>
      <w:r w:rsidR="00C70DE4" w:rsidRPr="008D7F08">
        <w:t>20</w:t>
      </w:r>
      <w:r w:rsidRPr="008D7F08">
        <w:t xml:space="preserve">, the number of residential real estate approvals for proposed purchases in New South Wales and Victoria </w:t>
      </w:r>
      <w:r w:rsidR="00C70DE4" w:rsidRPr="008D7F08">
        <w:t>increased</w:t>
      </w:r>
      <w:r w:rsidRPr="008D7F08">
        <w:t xml:space="preserve"> to 6</w:t>
      </w:r>
      <w:r w:rsidR="002577AF">
        <w:t>2</w:t>
      </w:r>
      <w:r w:rsidRPr="008D7F08">
        <w:t> per cent of all approvals given to single states/territories. The value of residential real estate approvals in these two states together</w:t>
      </w:r>
      <w:r w:rsidR="006D05D0" w:rsidRPr="008D7F08">
        <w:t xml:space="preserve"> </w:t>
      </w:r>
      <w:r w:rsidR="002577AF">
        <w:t>increased</w:t>
      </w:r>
      <w:r w:rsidR="002577AF" w:rsidRPr="008D7F08">
        <w:t xml:space="preserve"> </w:t>
      </w:r>
      <w:r w:rsidRPr="008D7F08">
        <w:t xml:space="preserve">by </w:t>
      </w:r>
      <w:r w:rsidR="006D05D0" w:rsidRPr="008D7F08">
        <w:t xml:space="preserve">less than </w:t>
      </w:r>
      <w:r w:rsidR="002577AF">
        <w:t>2</w:t>
      </w:r>
      <w:r w:rsidRPr="008D7F08">
        <w:t xml:space="preserve"> per cent compared to the previous financial year. </w:t>
      </w:r>
    </w:p>
    <w:p w14:paraId="778F7067" w14:textId="77777777" w:rsidR="00DE56DC" w:rsidRPr="008D7F08" w:rsidRDefault="00DE56DC" w:rsidP="00DE56DC">
      <w:pPr>
        <w:pStyle w:val="ChartMainHeading"/>
      </w:pPr>
      <w:bookmarkStart w:id="124" w:name="_Toc31716194"/>
      <w:bookmarkStart w:id="125" w:name="_Toc32247760"/>
      <w:bookmarkStart w:id="126" w:name="_Toc63782887"/>
      <w:bookmarkStart w:id="127" w:name="_Toc68697700"/>
      <w:r w:rsidRPr="008D7F08">
        <w:t xml:space="preserve">Chart 3.3: Share of residential real estate approvals by state and territory in </w:t>
      </w:r>
      <w:r w:rsidR="00024BFC">
        <w:t xml:space="preserve">     </w:t>
      </w:r>
      <w:r w:rsidRPr="008D7F08">
        <w:t>20</w:t>
      </w:r>
      <w:r w:rsidR="003B58CA" w:rsidRPr="008D7F08">
        <w:t>19</w:t>
      </w:r>
      <w:r w:rsidR="00F26A86">
        <w:t>–</w:t>
      </w:r>
      <w:r w:rsidR="003B58CA" w:rsidRPr="008D7F08">
        <w:t>20</w:t>
      </w:r>
      <w:r w:rsidRPr="008D7F08">
        <w:t>, by number</w:t>
      </w:r>
      <w:bookmarkEnd w:id="124"/>
      <w:bookmarkEnd w:id="125"/>
      <w:bookmarkEnd w:id="126"/>
      <w:bookmarkEnd w:id="127"/>
    </w:p>
    <w:p w14:paraId="54D825EA" w14:textId="77777777" w:rsidR="00DE56DC" w:rsidRPr="008D7F08" w:rsidRDefault="00EC373D" w:rsidP="00DE56DC">
      <w:pPr>
        <w:pStyle w:val="Circletext"/>
      </w:pPr>
      <w:r w:rsidRPr="008D7F08">
        <w:rPr>
          <w:noProof/>
        </w:rPr>
        <w:drawing>
          <wp:inline distT="0" distB="0" distL="0" distR="0" wp14:anchorId="76960070" wp14:editId="1DADEDEF">
            <wp:extent cx="4890770" cy="2555030"/>
            <wp:effectExtent l="0" t="0" r="5080" b="0"/>
            <wp:docPr id="13" name="Chart 13" descr="Chart 3.3: Share of residential real estate approvals by state and territory in 2019–20, by number&#10;ACT 5%, NSW 19%, QLD 19%, SA 6%, TAS 3%, VIC 43%, WA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3335DA6" w14:textId="77777777" w:rsidR="00DA6D48" w:rsidRDefault="00DA6D48" w:rsidP="00DA6D48">
      <w:pPr>
        <w:pStyle w:val="ChartorTableNote"/>
      </w:pPr>
      <w:r w:rsidRPr="00BF48CD">
        <w:t xml:space="preserve">Before republishing this data or comparing between years, thoroughly review the methodological and data caveats in Appendix B. </w:t>
      </w:r>
    </w:p>
    <w:p w14:paraId="649C6266" w14:textId="77777777" w:rsidR="00DA6D48" w:rsidRPr="005F1ACD" w:rsidRDefault="00DA6D48" w:rsidP="00DA6D48">
      <w:pPr>
        <w:pStyle w:val="ChartorTableNote"/>
        <w:rPr>
          <w:color w:val="auto"/>
          <w:sz w:val="18"/>
          <w:szCs w:val="18"/>
        </w:rPr>
      </w:pPr>
      <w:r w:rsidRPr="005F1ACD">
        <w:t xml:space="preserve">This Chart excludes approvals that apply to more than one state or territory. </w:t>
      </w:r>
    </w:p>
    <w:p w14:paraId="5E77CCA1" w14:textId="77777777" w:rsidR="00DA6D48" w:rsidRDefault="00DA6D48" w:rsidP="00DA6D48">
      <w:pPr>
        <w:pStyle w:val="ChartorTableNote"/>
      </w:pPr>
      <w:r w:rsidRPr="005F1ACD">
        <w:t>The Northern Territory has not been allocated a share for the purpose of this Chart due to the proportionately small number of approvals.</w:t>
      </w:r>
      <w:r w:rsidRPr="002865BA">
        <w:t xml:space="preserve"> </w:t>
      </w:r>
    </w:p>
    <w:p w14:paraId="34F22AB5" w14:textId="17350B0D" w:rsidR="0095370F" w:rsidRDefault="0095370F">
      <w:pPr>
        <w:spacing w:after="0" w:line="240" w:lineRule="auto"/>
        <w:jc w:val="left"/>
      </w:pPr>
      <w:r>
        <w:br w:type="page"/>
      </w:r>
    </w:p>
    <w:p w14:paraId="495D4303" w14:textId="77777777" w:rsidR="00DE56DC" w:rsidRPr="00820C89" w:rsidRDefault="00DE56DC" w:rsidP="00DA6D48">
      <w:pPr>
        <w:pStyle w:val="Heading4"/>
      </w:pPr>
      <w:r w:rsidRPr="00820C89">
        <w:t>Established residential dwellings</w:t>
      </w:r>
    </w:p>
    <w:p w14:paraId="19E09B17" w14:textId="77777777" w:rsidR="00DE56DC" w:rsidRPr="00820C89" w:rsidRDefault="00DE56DC" w:rsidP="00DE56DC">
      <w:pPr>
        <w:rPr>
          <w:color w:val="auto"/>
        </w:rPr>
      </w:pPr>
      <w:r w:rsidRPr="00820C89">
        <w:t>In 20</w:t>
      </w:r>
      <w:r w:rsidR="00E21030" w:rsidRPr="00820C89">
        <w:t>19</w:t>
      </w:r>
      <w:r w:rsidR="00F26A86">
        <w:t>–</w:t>
      </w:r>
      <w:r w:rsidR="00E21030" w:rsidRPr="00820C89">
        <w:t>20</w:t>
      </w:r>
      <w:r w:rsidRPr="00820C89">
        <w:t>, there were 1,</w:t>
      </w:r>
      <w:r w:rsidR="002E2469">
        <w:t>1</w:t>
      </w:r>
      <w:r w:rsidR="00E21030" w:rsidRPr="00820C89">
        <w:t>0</w:t>
      </w:r>
      <w:r w:rsidR="008D7F08">
        <w:t>1</w:t>
      </w:r>
      <w:r w:rsidR="008B6EC4">
        <w:t> </w:t>
      </w:r>
      <w:r w:rsidRPr="00820C89">
        <w:t>approvals for established residential dwellings</w:t>
      </w:r>
      <w:r w:rsidR="00871D50">
        <w:t xml:space="preserve"> (see Table 3.13)</w:t>
      </w:r>
      <w:r w:rsidRPr="00820C89">
        <w:t xml:space="preserve">. Established dwellings (or developed residential premises) can generally only be purchased by temporary residents for use as their home while </w:t>
      </w:r>
      <w:r w:rsidRPr="00820C89">
        <w:rPr>
          <w:color w:val="auto"/>
        </w:rPr>
        <w:t>they remain in Australia. A small number of approvals are given for foreign persons that operate a substantial Australian business to acquire an established dwelling to house Australian based staff or for rede</w:t>
      </w:r>
      <w:r w:rsidR="007117B6">
        <w:rPr>
          <w:color w:val="auto"/>
        </w:rPr>
        <w:t xml:space="preserve">velopment to add to the housing </w:t>
      </w:r>
      <w:r w:rsidRPr="00820C89">
        <w:rPr>
          <w:color w:val="auto"/>
        </w:rPr>
        <w:t xml:space="preserve">stock. </w:t>
      </w:r>
    </w:p>
    <w:p w14:paraId="58AA8264" w14:textId="77777777" w:rsidR="00DA6D48" w:rsidRDefault="00D66465" w:rsidP="00DE56DC">
      <w:r w:rsidRPr="00820C89">
        <w:t>In 2019</w:t>
      </w:r>
      <w:r w:rsidR="00F26A86">
        <w:t>–</w:t>
      </w:r>
      <w:r w:rsidRPr="00820C89">
        <w:t>20</w:t>
      </w:r>
      <w:r>
        <w:t>,</w:t>
      </w:r>
      <w:r w:rsidRPr="00820C89">
        <w:t xml:space="preserve"> there was slight increase in the proportion of established dwelling single purchase exemption certificates </w:t>
      </w:r>
      <w:r w:rsidR="002E2469">
        <w:t xml:space="preserve">(312) </w:t>
      </w:r>
      <w:r w:rsidRPr="00820C89">
        <w:t xml:space="preserve">that made up all established dwelling approvals </w:t>
      </w:r>
      <w:r w:rsidR="002E2469">
        <w:t xml:space="preserve">(1,101) </w:t>
      </w:r>
      <w:r w:rsidRPr="00820C89">
        <w:t xml:space="preserve">to </w:t>
      </w:r>
      <w:r>
        <w:t>2</w:t>
      </w:r>
      <w:r w:rsidR="002E2469">
        <w:t>8.3 </w:t>
      </w:r>
      <w:r w:rsidR="007117B6">
        <w:t>per </w:t>
      </w:r>
      <w:r w:rsidRPr="00820C89">
        <w:t xml:space="preserve">cent </w:t>
      </w:r>
      <w:r>
        <w:t>from</w:t>
      </w:r>
      <w:r w:rsidR="00DE56DC" w:rsidRPr="00820C89">
        <w:t xml:space="preserve"> </w:t>
      </w:r>
      <w:r w:rsidR="002E2469">
        <w:t>24.2 per cent</w:t>
      </w:r>
      <w:r w:rsidR="00DE56DC" w:rsidRPr="00820C89">
        <w:t xml:space="preserve"> of all established dwelling approvals in 2018</w:t>
      </w:r>
      <w:r w:rsidR="00F26A86">
        <w:t>–</w:t>
      </w:r>
      <w:r w:rsidR="00DE56DC" w:rsidRPr="00820C89">
        <w:t>19</w:t>
      </w:r>
      <w:r w:rsidR="002E2469">
        <w:t xml:space="preserve"> (317</w:t>
      </w:r>
      <w:r w:rsidR="00034B5E">
        <w:t> </w:t>
      </w:r>
      <w:r w:rsidR="002E2469" w:rsidRPr="00820C89">
        <w:t xml:space="preserve">established dwelling single purchase exemption certificates </w:t>
      </w:r>
      <w:r w:rsidR="00984BBF">
        <w:t xml:space="preserve">and 1,312 </w:t>
      </w:r>
      <w:r w:rsidR="00984BBF" w:rsidRPr="00820C89">
        <w:t>established dwelling approv</w:t>
      </w:r>
      <w:r w:rsidR="00984BBF">
        <w:t>als)</w:t>
      </w:r>
      <w:r w:rsidR="00DE56DC" w:rsidRPr="00820C89">
        <w:t xml:space="preserve">. </w:t>
      </w:r>
    </w:p>
    <w:p w14:paraId="205929A5" w14:textId="41E09D53" w:rsidR="00DE56DC" w:rsidRPr="00820C89" w:rsidRDefault="00DE56DC" w:rsidP="00DE56DC">
      <w:r w:rsidRPr="00820C89">
        <w:t>These certificates enable foreign persons to receive pre</w:t>
      </w:r>
      <w:r w:rsidR="00BD4D19">
        <w:noBreakHyphen/>
      </w:r>
      <w:r w:rsidRPr="00820C89">
        <w:t xml:space="preserve">approval to purchase a single established dwelling and notify the details of the property once purchased, rather than requiring the person to seek individual approvals for each dwelling they may be considering purchasing. </w:t>
      </w:r>
    </w:p>
    <w:p w14:paraId="179F6753" w14:textId="77777777" w:rsidR="00DE56DC" w:rsidRPr="00820C89" w:rsidRDefault="00DE56DC" w:rsidP="00DE56DC">
      <w:pPr>
        <w:pStyle w:val="Heading4"/>
        <w:rPr>
          <w:b w:val="0"/>
        </w:rPr>
      </w:pPr>
      <w:r w:rsidRPr="00820C89">
        <w:t>For development</w:t>
      </w:r>
    </w:p>
    <w:p w14:paraId="594BA076" w14:textId="444B4E78" w:rsidR="00DE56DC" w:rsidRPr="00820C89" w:rsidRDefault="00DE56DC" w:rsidP="00DE56DC">
      <w:pPr>
        <w:rPr>
          <w:color w:val="auto"/>
        </w:rPr>
      </w:pPr>
      <w:r w:rsidRPr="00820C89">
        <w:t>Australia</w:t>
      </w:r>
      <w:r w:rsidR="00BD4D19">
        <w:t>’</w:t>
      </w:r>
      <w:r w:rsidRPr="00820C89">
        <w:t xml:space="preserve">s foreign investment policy encourages investment in the residential real estate sector, which is expected to </w:t>
      </w:r>
      <w:r w:rsidRPr="00820C89">
        <w:rPr>
          <w:color w:val="auto"/>
        </w:rPr>
        <w:t>help build</w:t>
      </w:r>
      <w:r w:rsidR="00D25D55">
        <w:rPr>
          <w:color w:val="auto"/>
        </w:rPr>
        <w:t xml:space="preserve"> a</w:t>
      </w:r>
      <w:r w:rsidRPr="00820C89">
        <w:rPr>
          <w:color w:val="auto"/>
        </w:rPr>
        <w:t xml:space="preserve"> new supply</w:t>
      </w:r>
      <w:r w:rsidR="00D25D55">
        <w:rPr>
          <w:color w:val="auto"/>
        </w:rPr>
        <w:t xml:space="preserve"> of houses</w:t>
      </w:r>
      <w:r w:rsidRPr="00820C89">
        <w:rPr>
          <w:color w:val="auto"/>
        </w:rPr>
        <w:t>. In 201</w:t>
      </w:r>
      <w:r w:rsidR="007B7EDF" w:rsidRPr="00820C89">
        <w:rPr>
          <w:color w:val="auto"/>
        </w:rPr>
        <w:t>9</w:t>
      </w:r>
      <w:r w:rsidR="00F26A86">
        <w:rPr>
          <w:color w:val="auto"/>
        </w:rPr>
        <w:t>–</w:t>
      </w:r>
      <w:r w:rsidR="007B7EDF" w:rsidRPr="00820C89">
        <w:rPr>
          <w:color w:val="auto"/>
        </w:rPr>
        <w:t>20</w:t>
      </w:r>
      <w:r w:rsidRPr="00820C89">
        <w:rPr>
          <w:color w:val="auto"/>
        </w:rPr>
        <w:t xml:space="preserve">, </w:t>
      </w:r>
      <w:r w:rsidR="0057047C">
        <w:rPr>
          <w:color w:val="auto"/>
        </w:rPr>
        <w:t xml:space="preserve">almost </w:t>
      </w:r>
      <w:r w:rsidRPr="00820C89">
        <w:rPr>
          <w:color w:val="auto"/>
        </w:rPr>
        <w:t>6,</w:t>
      </w:r>
      <w:r w:rsidR="007B7EDF" w:rsidRPr="00820C89">
        <w:rPr>
          <w:color w:val="auto"/>
        </w:rPr>
        <w:t>0</w:t>
      </w:r>
      <w:r w:rsidRPr="00820C89">
        <w:rPr>
          <w:color w:val="auto"/>
        </w:rPr>
        <w:t>00</w:t>
      </w:r>
      <w:r w:rsidR="007117B6">
        <w:rPr>
          <w:color w:val="auto"/>
        </w:rPr>
        <w:t> </w:t>
      </w:r>
      <w:r w:rsidRPr="00820C89">
        <w:rPr>
          <w:color w:val="auto"/>
        </w:rPr>
        <w:t>approvals for development were given including combination exemption certificates for new dwellings, vacant land and</w:t>
      </w:r>
      <w:r w:rsidR="007117B6">
        <w:rPr>
          <w:color w:val="auto"/>
        </w:rPr>
        <w:t xml:space="preserve"> other residential property for </w:t>
      </w:r>
      <w:r w:rsidRPr="00820C89">
        <w:rPr>
          <w:color w:val="auto"/>
        </w:rPr>
        <w:t>development</w:t>
      </w:r>
      <w:r w:rsidR="00871D50">
        <w:rPr>
          <w:color w:val="auto"/>
        </w:rPr>
        <w:t xml:space="preserve"> (see Table 3.13)</w:t>
      </w:r>
      <w:r w:rsidRPr="00820C89">
        <w:rPr>
          <w:color w:val="auto"/>
        </w:rPr>
        <w:t>.</w:t>
      </w:r>
    </w:p>
    <w:p w14:paraId="4557A961" w14:textId="3020D013" w:rsidR="0095370F" w:rsidRDefault="00DE56DC" w:rsidP="00DE56DC">
      <w:r w:rsidRPr="00820C89">
        <w:t>In 201</w:t>
      </w:r>
      <w:r w:rsidR="00DA6D48">
        <w:t>9</w:t>
      </w:r>
      <w:r w:rsidR="00F26A86">
        <w:t>–</w:t>
      </w:r>
      <w:r w:rsidR="00DA6D48">
        <w:t>20</w:t>
      </w:r>
      <w:r w:rsidRPr="00820C89">
        <w:t xml:space="preserve">, the value of exemption certificate approvals </w:t>
      </w:r>
      <w:r w:rsidR="00984BBF">
        <w:t>decrease</w:t>
      </w:r>
      <w:r w:rsidR="008672D9">
        <w:t>d</w:t>
      </w:r>
      <w:r w:rsidRPr="00820C89">
        <w:t xml:space="preserve"> to $</w:t>
      </w:r>
      <w:r w:rsidR="00984BBF">
        <w:t>9.0</w:t>
      </w:r>
      <w:r w:rsidRPr="00820C89">
        <w:t> billion compared to $</w:t>
      </w:r>
      <w:r w:rsidR="00E21030" w:rsidRPr="00820C89">
        <w:t>9.2</w:t>
      </w:r>
      <w:r w:rsidRPr="00820C89">
        <w:t xml:space="preserve"> billion in </w:t>
      </w:r>
      <w:r w:rsidR="00DA6D48">
        <w:t>2018</w:t>
      </w:r>
      <w:r w:rsidR="00F26A86">
        <w:t>–</w:t>
      </w:r>
      <w:r w:rsidR="00DA6D48">
        <w:t>19</w:t>
      </w:r>
      <w:r w:rsidR="00050886">
        <w:t xml:space="preserve"> and $4.6</w:t>
      </w:r>
      <w:r w:rsidR="007117B6">
        <w:t> </w:t>
      </w:r>
      <w:r w:rsidR="00050886">
        <w:t>billion in 2017</w:t>
      </w:r>
      <w:r w:rsidR="00F26A86">
        <w:t>–</w:t>
      </w:r>
      <w:r w:rsidR="00050886">
        <w:t>18</w:t>
      </w:r>
      <w:r w:rsidR="00DA6D48">
        <w:t>.</w:t>
      </w:r>
    </w:p>
    <w:p w14:paraId="75DB3181" w14:textId="77777777" w:rsidR="0095370F" w:rsidRDefault="0095370F">
      <w:pPr>
        <w:spacing w:after="0" w:line="240" w:lineRule="auto"/>
        <w:jc w:val="left"/>
      </w:pPr>
      <w:r>
        <w:br w:type="page"/>
      </w:r>
    </w:p>
    <w:p w14:paraId="4F09D843" w14:textId="77777777" w:rsidR="00744A6F" w:rsidRPr="00820C89" w:rsidRDefault="00744A6F" w:rsidP="00871D50">
      <w:pPr>
        <w:pStyle w:val="TableMainHeading"/>
        <w:keepLines/>
      </w:pPr>
      <w:bookmarkStart w:id="128" w:name="_Toc63798281"/>
      <w:bookmarkStart w:id="129" w:name="_Toc73984740"/>
      <w:r w:rsidRPr="00820C89">
        <w:t>Table 3.1</w:t>
      </w:r>
      <w:r w:rsidR="00A359D3">
        <w:t>3</w:t>
      </w:r>
      <w:r w:rsidRPr="00820C89">
        <w:t>: Residential real estate approvals, by type: 2016–17 to 2019–20</w:t>
      </w:r>
      <w:bookmarkEnd w:id="128"/>
      <w:bookmarkEnd w:id="129"/>
    </w:p>
    <w:tbl>
      <w:tblPr>
        <w:tblW w:w="5000" w:type="pct"/>
        <w:tblLook w:val="04A0" w:firstRow="1" w:lastRow="0" w:firstColumn="1" w:lastColumn="0" w:noHBand="0" w:noVBand="1"/>
      </w:tblPr>
      <w:tblGrid>
        <w:gridCol w:w="2280"/>
        <w:gridCol w:w="261"/>
        <w:gridCol w:w="706"/>
        <w:gridCol w:w="528"/>
        <w:gridCol w:w="706"/>
        <w:gridCol w:w="528"/>
        <w:gridCol w:w="795"/>
        <w:gridCol w:w="528"/>
        <w:gridCol w:w="820"/>
        <w:gridCol w:w="558"/>
      </w:tblGrid>
      <w:tr w:rsidR="007D0FE9" w:rsidRPr="007D0FE9" w14:paraId="6DB5AA6F" w14:textId="77777777" w:rsidTr="00034B5E">
        <w:trPr>
          <w:trHeight w:val="225"/>
        </w:trPr>
        <w:tc>
          <w:tcPr>
            <w:tcW w:w="1479" w:type="pct"/>
            <w:tcBorders>
              <w:top w:val="single" w:sz="4" w:space="0" w:color="auto"/>
              <w:left w:val="nil"/>
              <w:bottom w:val="nil"/>
              <w:right w:val="nil"/>
            </w:tcBorders>
            <w:shd w:val="clear" w:color="auto" w:fill="auto"/>
            <w:noWrap/>
            <w:vAlign w:val="bottom"/>
            <w:hideMark/>
          </w:tcPr>
          <w:p w14:paraId="47BA5D01" w14:textId="77777777" w:rsidR="007D0FE9" w:rsidRPr="007D0FE9" w:rsidRDefault="007D0FE9" w:rsidP="007D0FE9">
            <w:pPr>
              <w:spacing w:after="0" w:line="240" w:lineRule="auto"/>
              <w:jc w:val="left"/>
              <w:rPr>
                <w:rFonts w:ascii="Arial" w:hAnsi="Arial" w:cs="Arial"/>
                <w:color w:val="auto"/>
                <w:sz w:val="16"/>
                <w:szCs w:val="16"/>
              </w:rPr>
            </w:pPr>
            <w:r w:rsidRPr="007D0FE9">
              <w:rPr>
                <w:rFonts w:ascii="Arial" w:hAnsi="Arial" w:cs="Arial"/>
                <w:color w:val="auto"/>
                <w:sz w:val="16"/>
                <w:szCs w:val="16"/>
              </w:rPr>
              <w:t> </w:t>
            </w:r>
          </w:p>
        </w:tc>
        <w:tc>
          <w:tcPr>
            <w:tcW w:w="169" w:type="pct"/>
            <w:tcBorders>
              <w:top w:val="single" w:sz="4" w:space="0" w:color="auto"/>
              <w:left w:val="nil"/>
              <w:bottom w:val="nil"/>
              <w:right w:val="nil"/>
            </w:tcBorders>
            <w:shd w:val="clear" w:color="auto" w:fill="auto"/>
            <w:noWrap/>
            <w:vAlign w:val="bottom"/>
            <w:hideMark/>
          </w:tcPr>
          <w:p w14:paraId="538EC0F6"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 </w:t>
            </w:r>
          </w:p>
        </w:tc>
        <w:tc>
          <w:tcPr>
            <w:tcW w:w="800" w:type="pct"/>
            <w:gridSpan w:val="2"/>
            <w:tcBorders>
              <w:top w:val="single" w:sz="4" w:space="0" w:color="auto"/>
              <w:left w:val="nil"/>
              <w:bottom w:val="single" w:sz="4" w:space="0" w:color="auto"/>
              <w:right w:val="nil"/>
            </w:tcBorders>
            <w:shd w:val="clear" w:color="auto" w:fill="auto"/>
            <w:noWrap/>
            <w:vAlign w:val="bottom"/>
            <w:hideMark/>
          </w:tcPr>
          <w:p w14:paraId="268D6FCA" w14:textId="77777777" w:rsidR="007D0FE9" w:rsidRPr="007D0FE9" w:rsidRDefault="007D0FE9" w:rsidP="007D0FE9">
            <w:pPr>
              <w:spacing w:after="0" w:line="240" w:lineRule="auto"/>
              <w:jc w:val="center"/>
              <w:rPr>
                <w:rFonts w:ascii="Arial" w:hAnsi="Arial" w:cs="Arial"/>
                <w:color w:val="auto"/>
                <w:sz w:val="16"/>
                <w:szCs w:val="16"/>
              </w:rPr>
            </w:pPr>
            <w:r w:rsidRPr="007D0FE9">
              <w:rPr>
                <w:rFonts w:ascii="Arial" w:hAnsi="Arial" w:cs="Arial"/>
                <w:color w:val="auto"/>
                <w:sz w:val="16"/>
                <w:szCs w:val="16"/>
              </w:rPr>
              <w:t>2016</w:t>
            </w:r>
            <w:r w:rsidR="00F26A86">
              <w:rPr>
                <w:rFonts w:ascii="Arial" w:hAnsi="Arial" w:cs="Arial"/>
                <w:color w:val="auto"/>
                <w:sz w:val="16"/>
                <w:szCs w:val="16"/>
              </w:rPr>
              <w:t>–</w:t>
            </w:r>
            <w:r w:rsidRPr="007D0FE9">
              <w:rPr>
                <w:rFonts w:ascii="Arial" w:hAnsi="Arial" w:cs="Arial"/>
                <w:color w:val="auto"/>
                <w:sz w:val="16"/>
                <w:szCs w:val="16"/>
              </w:rPr>
              <w:t>17</w:t>
            </w:r>
          </w:p>
        </w:tc>
        <w:tc>
          <w:tcPr>
            <w:tcW w:w="800" w:type="pct"/>
            <w:gridSpan w:val="2"/>
            <w:tcBorders>
              <w:top w:val="single" w:sz="4" w:space="0" w:color="auto"/>
              <w:left w:val="nil"/>
              <w:bottom w:val="single" w:sz="4" w:space="0" w:color="auto"/>
              <w:right w:val="nil"/>
            </w:tcBorders>
            <w:shd w:val="clear" w:color="auto" w:fill="auto"/>
            <w:noWrap/>
            <w:vAlign w:val="bottom"/>
            <w:hideMark/>
          </w:tcPr>
          <w:p w14:paraId="1B066ABB" w14:textId="77777777" w:rsidR="007D0FE9" w:rsidRPr="007D0FE9" w:rsidRDefault="007D0FE9" w:rsidP="007D0FE9">
            <w:pPr>
              <w:spacing w:after="0" w:line="240" w:lineRule="auto"/>
              <w:jc w:val="center"/>
              <w:rPr>
                <w:rFonts w:ascii="Arial" w:hAnsi="Arial" w:cs="Arial"/>
                <w:color w:val="auto"/>
                <w:sz w:val="16"/>
                <w:szCs w:val="16"/>
              </w:rPr>
            </w:pPr>
            <w:r w:rsidRPr="007D0FE9">
              <w:rPr>
                <w:rFonts w:ascii="Arial" w:hAnsi="Arial" w:cs="Arial"/>
                <w:color w:val="auto"/>
                <w:sz w:val="16"/>
                <w:szCs w:val="16"/>
              </w:rPr>
              <w:t>2017</w:t>
            </w:r>
            <w:r w:rsidR="00F26A86">
              <w:rPr>
                <w:rFonts w:ascii="Arial" w:hAnsi="Arial" w:cs="Arial"/>
                <w:color w:val="auto"/>
                <w:sz w:val="16"/>
                <w:szCs w:val="16"/>
              </w:rPr>
              <w:t>–</w:t>
            </w:r>
            <w:r w:rsidRPr="007D0FE9">
              <w:rPr>
                <w:rFonts w:ascii="Arial" w:hAnsi="Arial" w:cs="Arial"/>
                <w:color w:val="auto"/>
                <w:sz w:val="16"/>
                <w:szCs w:val="16"/>
              </w:rPr>
              <w:t>18</w:t>
            </w:r>
          </w:p>
        </w:tc>
        <w:tc>
          <w:tcPr>
            <w:tcW w:w="858" w:type="pct"/>
            <w:gridSpan w:val="2"/>
            <w:tcBorders>
              <w:top w:val="single" w:sz="4" w:space="0" w:color="auto"/>
              <w:left w:val="nil"/>
              <w:bottom w:val="single" w:sz="4" w:space="0" w:color="auto"/>
              <w:right w:val="nil"/>
            </w:tcBorders>
            <w:shd w:val="clear" w:color="auto" w:fill="auto"/>
            <w:noWrap/>
            <w:vAlign w:val="bottom"/>
            <w:hideMark/>
          </w:tcPr>
          <w:p w14:paraId="6039534F" w14:textId="77777777" w:rsidR="007D0FE9" w:rsidRPr="007D0FE9" w:rsidRDefault="007D0FE9" w:rsidP="007D0FE9">
            <w:pPr>
              <w:spacing w:after="0" w:line="240" w:lineRule="auto"/>
              <w:jc w:val="center"/>
              <w:rPr>
                <w:rFonts w:ascii="Arial" w:hAnsi="Arial" w:cs="Arial"/>
                <w:color w:val="auto"/>
                <w:sz w:val="16"/>
                <w:szCs w:val="16"/>
              </w:rPr>
            </w:pPr>
            <w:r w:rsidRPr="007D0FE9">
              <w:rPr>
                <w:rFonts w:ascii="Arial" w:hAnsi="Arial" w:cs="Arial"/>
                <w:color w:val="auto"/>
                <w:sz w:val="16"/>
                <w:szCs w:val="16"/>
              </w:rPr>
              <w:t>2018</w:t>
            </w:r>
            <w:r w:rsidR="00F26A86">
              <w:rPr>
                <w:rFonts w:ascii="Arial" w:hAnsi="Arial" w:cs="Arial"/>
                <w:color w:val="auto"/>
                <w:sz w:val="16"/>
                <w:szCs w:val="16"/>
              </w:rPr>
              <w:t>–</w:t>
            </w:r>
            <w:r w:rsidRPr="007D0FE9">
              <w:rPr>
                <w:rFonts w:ascii="Arial" w:hAnsi="Arial" w:cs="Arial"/>
                <w:color w:val="auto"/>
                <w:sz w:val="16"/>
                <w:szCs w:val="16"/>
              </w:rPr>
              <w:t>19</w:t>
            </w:r>
          </w:p>
        </w:tc>
        <w:tc>
          <w:tcPr>
            <w:tcW w:w="894" w:type="pct"/>
            <w:gridSpan w:val="2"/>
            <w:tcBorders>
              <w:top w:val="single" w:sz="4" w:space="0" w:color="auto"/>
              <w:left w:val="nil"/>
              <w:bottom w:val="single" w:sz="4" w:space="0" w:color="auto"/>
              <w:right w:val="nil"/>
            </w:tcBorders>
            <w:shd w:val="clear" w:color="000000" w:fill="F2F2F2"/>
            <w:noWrap/>
            <w:vAlign w:val="bottom"/>
            <w:hideMark/>
          </w:tcPr>
          <w:p w14:paraId="123DF391" w14:textId="77777777" w:rsidR="007D0FE9" w:rsidRPr="007D0FE9" w:rsidRDefault="007D0FE9" w:rsidP="007D0FE9">
            <w:pPr>
              <w:spacing w:after="0" w:line="240" w:lineRule="auto"/>
              <w:jc w:val="center"/>
              <w:rPr>
                <w:rFonts w:ascii="Arial" w:hAnsi="Arial" w:cs="Arial"/>
                <w:color w:val="auto"/>
                <w:sz w:val="16"/>
                <w:szCs w:val="16"/>
              </w:rPr>
            </w:pPr>
            <w:r w:rsidRPr="007D0FE9">
              <w:rPr>
                <w:rFonts w:ascii="Arial" w:hAnsi="Arial" w:cs="Arial"/>
                <w:color w:val="auto"/>
                <w:sz w:val="16"/>
                <w:szCs w:val="16"/>
              </w:rPr>
              <w:t>2019</w:t>
            </w:r>
            <w:r w:rsidR="00F26A86">
              <w:rPr>
                <w:rFonts w:ascii="Arial" w:hAnsi="Arial" w:cs="Arial"/>
                <w:color w:val="auto"/>
                <w:sz w:val="16"/>
                <w:szCs w:val="16"/>
              </w:rPr>
              <w:t>–</w:t>
            </w:r>
            <w:r w:rsidRPr="007D0FE9">
              <w:rPr>
                <w:rFonts w:ascii="Arial" w:hAnsi="Arial" w:cs="Arial"/>
                <w:color w:val="auto"/>
                <w:sz w:val="16"/>
                <w:szCs w:val="16"/>
              </w:rPr>
              <w:t>20</w:t>
            </w:r>
          </w:p>
        </w:tc>
      </w:tr>
      <w:tr w:rsidR="007D0FE9" w:rsidRPr="007D0FE9" w14:paraId="227FA9E4" w14:textId="77777777" w:rsidTr="00034B5E">
        <w:trPr>
          <w:trHeight w:val="225"/>
        </w:trPr>
        <w:tc>
          <w:tcPr>
            <w:tcW w:w="1479" w:type="pct"/>
            <w:tcBorders>
              <w:top w:val="nil"/>
              <w:left w:val="nil"/>
              <w:bottom w:val="single" w:sz="4" w:space="0" w:color="auto"/>
              <w:right w:val="nil"/>
            </w:tcBorders>
            <w:shd w:val="clear" w:color="auto" w:fill="auto"/>
            <w:noWrap/>
            <w:vAlign w:val="bottom"/>
            <w:hideMark/>
          </w:tcPr>
          <w:p w14:paraId="6D585D55" w14:textId="77777777" w:rsidR="007D0FE9" w:rsidRPr="007D0FE9" w:rsidRDefault="007D0FE9" w:rsidP="007D0FE9">
            <w:pPr>
              <w:spacing w:after="0" w:line="240" w:lineRule="auto"/>
              <w:jc w:val="left"/>
              <w:rPr>
                <w:rFonts w:ascii="Arial" w:hAnsi="Arial" w:cs="Arial"/>
                <w:color w:val="auto"/>
                <w:sz w:val="16"/>
                <w:szCs w:val="16"/>
              </w:rPr>
            </w:pPr>
            <w:r w:rsidRPr="007D0FE9">
              <w:rPr>
                <w:rFonts w:ascii="Arial" w:hAnsi="Arial" w:cs="Arial"/>
                <w:color w:val="auto"/>
                <w:sz w:val="16"/>
                <w:szCs w:val="16"/>
              </w:rPr>
              <w:t> </w:t>
            </w:r>
          </w:p>
        </w:tc>
        <w:tc>
          <w:tcPr>
            <w:tcW w:w="169" w:type="pct"/>
            <w:tcBorders>
              <w:top w:val="nil"/>
              <w:left w:val="nil"/>
              <w:bottom w:val="nil"/>
              <w:right w:val="nil"/>
            </w:tcBorders>
            <w:shd w:val="clear" w:color="auto" w:fill="auto"/>
            <w:noWrap/>
            <w:vAlign w:val="bottom"/>
            <w:hideMark/>
          </w:tcPr>
          <w:p w14:paraId="72016D34" w14:textId="77777777" w:rsidR="007D0FE9" w:rsidRPr="007D0FE9" w:rsidRDefault="007D0FE9" w:rsidP="007D0FE9">
            <w:pPr>
              <w:spacing w:after="0" w:line="240" w:lineRule="auto"/>
              <w:jc w:val="left"/>
              <w:rPr>
                <w:rFonts w:ascii="Arial" w:hAnsi="Arial" w:cs="Arial"/>
                <w:color w:val="auto"/>
                <w:sz w:val="16"/>
                <w:szCs w:val="16"/>
              </w:rPr>
            </w:pPr>
          </w:p>
        </w:tc>
        <w:tc>
          <w:tcPr>
            <w:tcW w:w="458" w:type="pct"/>
            <w:tcBorders>
              <w:top w:val="nil"/>
              <w:left w:val="nil"/>
              <w:bottom w:val="single" w:sz="4" w:space="0" w:color="auto"/>
              <w:right w:val="nil"/>
            </w:tcBorders>
            <w:shd w:val="clear" w:color="auto" w:fill="auto"/>
            <w:noWrap/>
            <w:vAlign w:val="bottom"/>
            <w:hideMark/>
          </w:tcPr>
          <w:p w14:paraId="3BC75050"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No.</w:t>
            </w:r>
          </w:p>
        </w:tc>
        <w:tc>
          <w:tcPr>
            <w:tcW w:w="342" w:type="pct"/>
            <w:tcBorders>
              <w:top w:val="nil"/>
              <w:left w:val="nil"/>
              <w:bottom w:val="single" w:sz="4" w:space="0" w:color="auto"/>
              <w:right w:val="nil"/>
            </w:tcBorders>
            <w:shd w:val="clear" w:color="auto" w:fill="auto"/>
            <w:noWrap/>
            <w:vAlign w:val="bottom"/>
            <w:hideMark/>
          </w:tcPr>
          <w:p w14:paraId="6860E09B"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$b</w:t>
            </w:r>
          </w:p>
        </w:tc>
        <w:tc>
          <w:tcPr>
            <w:tcW w:w="458" w:type="pct"/>
            <w:tcBorders>
              <w:top w:val="nil"/>
              <w:left w:val="nil"/>
              <w:bottom w:val="single" w:sz="4" w:space="0" w:color="auto"/>
              <w:right w:val="nil"/>
            </w:tcBorders>
            <w:shd w:val="clear" w:color="auto" w:fill="auto"/>
            <w:noWrap/>
            <w:vAlign w:val="bottom"/>
            <w:hideMark/>
          </w:tcPr>
          <w:p w14:paraId="67958873"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No.</w:t>
            </w:r>
          </w:p>
        </w:tc>
        <w:tc>
          <w:tcPr>
            <w:tcW w:w="342" w:type="pct"/>
            <w:tcBorders>
              <w:top w:val="nil"/>
              <w:left w:val="nil"/>
              <w:bottom w:val="single" w:sz="4" w:space="0" w:color="auto"/>
              <w:right w:val="nil"/>
            </w:tcBorders>
            <w:shd w:val="clear" w:color="auto" w:fill="auto"/>
            <w:noWrap/>
            <w:vAlign w:val="bottom"/>
            <w:hideMark/>
          </w:tcPr>
          <w:p w14:paraId="6EA0A46D"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$b</w:t>
            </w:r>
          </w:p>
        </w:tc>
        <w:tc>
          <w:tcPr>
            <w:tcW w:w="516" w:type="pct"/>
            <w:tcBorders>
              <w:top w:val="nil"/>
              <w:left w:val="nil"/>
              <w:bottom w:val="single" w:sz="4" w:space="0" w:color="auto"/>
              <w:right w:val="nil"/>
            </w:tcBorders>
            <w:shd w:val="clear" w:color="auto" w:fill="auto"/>
            <w:noWrap/>
            <w:vAlign w:val="bottom"/>
            <w:hideMark/>
          </w:tcPr>
          <w:p w14:paraId="23D0E515"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No.</w:t>
            </w:r>
          </w:p>
        </w:tc>
        <w:tc>
          <w:tcPr>
            <w:tcW w:w="342" w:type="pct"/>
            <w:tcBorders>
              <w:top w:val="nil"/>
              <w:left w:val="nil"/>
              <w:bottom w:val="single" w:sz="4" w:space="0" w:color="auto"/>
              <w:right w:val="nil"/>
            </w:tcBorders>
            <w:shd w:val="clear" w:color="auto" w:fill="auto"/>
            <w:noWrap/>
            <w:vAlign w:val="bottom"/>
            <w:hideMark/>
          </w:tcPr>
          <w:p w14:paraId="1FF1174B"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$b</w:t>
            </w:r>
          </w:p>
        </w:tc>
        <w:tc>
          <w:tcPr>
            <w:tcW w:w="532" w:type="pct"/>
            <w:tcBorders>
              <w:top w:val="nil"/>
              <w:left w:val="nil"/>
              <w:bottom w:val="single" w:sz="4" w:space="0" w:color="auto"/>
              <w:right w:val="nil"/>
            </w:tcBorders>
            <w:shd w:val="clear" w:color="000000" w:fill="F2F2F2"/>
            <w:noWrap/>
            <w:vAlign w:val="bottom"/>
            <w:hideMark/>
          </w:tcPr>
          <w:p w14:paraId="7F1768B7"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No.</w:t>
            </w:r>
          </w:p>
        </w:tc>
        <w:tc>
          <w:tcPr>
            <w:tcW w:w="362" w:type="pct"/>
            <w:tcBorders>
              <w:top w:val="nil"/>
              <w:left w:val="nil"/>
              <w:bottom w:val="single" w:sz="4" w:space="0" w:color="auto"/>
              <w:right w:val="nil"/>
            </w:tcBorders>
            <w:shd w:val="clear" w:color="000000" w:fill="F2F2F2"/>
            <w:noWrap/>
            <w:vAlign w:val="bottom"/>
            <w:hideMark/>
          </w:tcPr>
          <w:p w14:paraId="401937D5"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$b</w:t>
            </w:r>
          </w:p>
        </w:tc>
      </w:tr>
      <w:tr w:rsidR="007D0FE9" w:rsidRPr="007D0FE9" w14:paraId="58371AE6" w14:textId="77777777" w:rsidTr="00034B5E">
        <w:trPr>
          <w:trHeight w:val="225"/>
        </w:trPr>
        <w:tc>
          <w:tcPr>
            <w:tcW w:w="1479" w:type="pct"/>
            <w:tcBorders>
              <w:top w:val="nil"/>
              <w:left w:val="nil"/>
              <w:bottom w:val="nil"/>
              <w:right w:val="nil"/>
            </w:tcBorders>
            <w:shd w:val="clear" w:color="auto" w:fill="auto"/>
            <w:noWrap/>
            <w:vAlign w:val="bottom"/>
            <w:hideMark/>
          </w:tcPr>
          <w:p w14:paraId="16A55C8F" w14:textId="77777777" w:rsidR="007D0FE9" w:rsidRPr="007D0FE9" w:rsidRDefault="007D0FE9" w:rsidP="007D0FE9">
            <w:pPr>
              <w:spacing w:after="0" w:line="240" w:lineRule="auto"/>
              <w:jc w:val="left"/>
              <w:rPr>
                <w:rFonts w:ascii="Arial" w:hAnsi="Arial" w:cs="Arial"/>
                <w:b/>
                <w:bCs/>
                <w:color w:val="auto"/>
                <w:sz w:val="16"/>
                <w:szCs w:val="16"/>
              </w:rPr>
            </w:pPr>
            <w:r w:rsidRPr="007D0FE9">
              <w:rPr>
                <w:rFonts w:ascii="Arial" w:hAnsi="Arial" w:cs="Arial"/>
                <w:b/>
                <w:bCs/>
                <w:color w:val="auto"/>
                <w:sz w:val="16"/>
                <w:szCs w:val="16"/>
              </w:rPr>
              <w:t>Residential</w:t>
            </w:r>
          </w:p>
        </w:tc>
        <w:tc>
          <w:tcPr>
            <w:tcW w:w="169" w:type="pct"/>
            <w:tcBorders>
              <w:top w:val="nil"/>
              <w:left w:val="nil"/>
              <w:bottom w:val="nil"/>
              <w:right w:val="nil"/>
            </w:tcBorders>
            <w:shd w:val="clear" w:color="auto" w:fill="auto"/>
            <w:noWrap/>
            <w:vAlign w:val="bottom"/>
            <w:hideMark/>
          </w:tcPr>
          <w:p w14:paraId="60DC8D6C" w14:textId="77777777" w:rsidR="007D0FE9" w:rsidRPr="007D0FE9" w:rsidRDefault="007D0FE9" w:rsidP="007D0FE9">
            <w:pPr>
              <w:spacing w:after="0" w:line="240" w:lineRule="auto"/>
              <w:jc w:val="left"/>
              <w:rPr>
                <w:rFonts w:ascii="Arial" w:hAnsi="Arial" w:cs="Arial"/>
                <w:b/>
                <w:bCs/>
                <w:color w:val="auto"/>
                <w:sz w:val="16"/>
                <w:szCs w:val="16"/>
              </w:rPr>
            </w:pPr>
          </w:p>
        </w:tc>
        <w:tc>
          <w:tcPr>
            <w:tcW w:w="458" w:type="pct"/>
            <w:tcBorders>
              <w:top w:val="nil"/>
              <w:left w:val="nil"/>
              <w:bottom w:val="nil"/>
              <w:right w:val="nil"/>
            </w:tcBorders>
            <w:shd w:val="clear" w:color="auto" w:fill="auto"/>
            <w:noWrap/>
            <w:vAlign w:val="bottom"/>
            <w:hideMark/>
          </w:tcPr>
          <w:p w14:paraId="082A6046"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5CBC1074" w14:textId="77777777" w:rsidR="007D0FE9" w:rsidRPr="007D0FE9" w:rsidRDefault="007D0FE9" w:rsidP="007D0FE9">
            <w:pPr>
              <w:spacing w:after="0" w:line="240" w:lineRule="auto"/>
              <w:jc w:val="right"/>
              <w:rPr>
                <w:rFonts w:ascii="Times New Roman" w:hAnsi="Times New Roman"/>
                <w:color w:val="auto"/>
              </w:rPr>
            </w:pPr>
          </w:p>
        </w:tc>
        <w:tc>
          <w:tcPr>
            <w:tcW w:w="458" w:type="pct"/>
            <w:tcBorders>
              <w:top w:val="nil"/>
              <w:left w:val="nil"/>
              <w:bottom w:val="nil"/>
              <w:right w:val="nil"/>
            </w:tcBorders>
            <w:shd w:val="clear" w:color="auto" w:fill="auto"/>
            <w:noWrap/>
            <w:vAlign w:val="bottom"/>
            <w:hideMark/>
          </w:tcPr>
          <w:p w14:paraId="35D026BB"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0D6A9FB1" w14:textId="77777777" w:rsidR="007D0FE9" w:rsidRPr="007D0FE9" w:rsidRDefault="007D0FE9" w:rsidP="007D0FE9">
            <w:pPr>
              <w:spacing w:after="0" w:line="240" w:lineRule="auto"/>
              <w:jc w:val="right"/>
              <w:rPr>
                <w:rFonts w:ascii="Times New Roman" w:hAnsi="Times New Roman"/>
                <w:color w:val="auto"/>
              </w:rPr>
            </w:pPr>
          </w:p>
        </w:tc>
        <w:tc>
          <w:tcPr>
            <w:tcW w:w="516" w:type="pct"/>
            <w:tcBorders>
              <w:top w:val="nil"/>
              <w:left w:val="nil"/>
              <w:bottom w:val="nil"/>
              <w:right w:val="nil"/>
            </w:tcBorders>
            <w:shd w:val="clear" w:color="auto" w:fill="auto"/>
            <w:noWrap/>
            <w:vAlign w:val="bottom"/>
            <w:hideMark/>
          </w:tcPr>
          <w:p w14:paraId="4E7CEEEA"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29E667E4" w14:textId="77777777" w:rsidR="007D0FE9" w:rsidRPr="007D0FE9" w:rsidRDefault="007D0FE9" w:rsidP="007D0FE9">
            <w:pPr>
              <w:spacing w:after="0" w:line="240" w:lineRule="auto"/>
              <w:jc w:val="left"/>
              <w:rPr>
                <w:rFonts w:ascii="Times New Roman" w:hAnsi="Times New Roman"/>
                <w:color w:val="auto"/>
              </w:rPr>
            </w:pPr>
          </w:p>
        </w:tc>
        <w:tc>
          <w:tcPr>
            <w:tcW w:w="532" w:type="pct"/>
            <w:tcBorders>
              <w:top w:val="nil"/>
              <w:left w:val="nil"/>
              <w:bottom w:val="nil"/>
              <w:right w:val="nil"/>
            </w:tcBorders>
            <w:shd w:val="clear" w:color="000000" w:fill="F2F2F2"/>
            <w:noWrap/>
            <w:vAlign w:val="bottom"/>
            <w:hideMark/>
          </w:tcPr>
          <w:p w14:paraId="072C6A5A"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w:t>
            </w:r>
          </w:p>
        </w:tc>
        <w:tc>
          <w:tcPr>
            <w:tcW w:w="362" w:type="pct"/>
            <w:tcBorders>
              <w:top w:val="nil"/>
              <w:left w:val="nil"/>
              <w:bottom w:val="nil"/>
              <w:right w:val="nil"/>
            </w:tcBorders>
            <w:shd w:val="clear" w:color="000000" w:fill="F2F2F2"/>
            <w:noWrap/>
            <w:vAlign w:val="bottom"/>
            <w:hideMark/>
          </w:tcPr>
          <w:p w14:paraId="4DF8ADF9"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w:t>
            </w:r>
          </w:p>
        </w:tc>
      </w:tr>
      <w:tr w:rsidR="007D0FE9" w:rsidRPr="007D0FE9" w14:paraId="3BF20046" w14:textId="77777777" w:rsidTr="00034B5E">
        <w:trPr>
          <w:trHeight w:val="225"/>
        </w:trPr>
        <w:tc>
          <w:tcPr>
            <w:tcW w:w="1479" w:type="pct"/>
            <w:tcBorders>
              <w:top w:val="nil"/>
              <w:left w:val="nil"/>
              <w:bottom w:val="nil"/>
              <w:right w:val="nil"/>
            </w:tcBorders>
            <w:shd w:val="clear" w:color="auto" w:fill="auto"/>
            <w:noWrap/>
            <w:vAlign w:val="bottom"/>
            <w:hideMark/>
          </w:tcPr>
          <w:p w14:paraId="550FC38B" w14:textId="77777777" w:rsidR="007D0FE9" w:rsidRPr="007D0FE9" w:rsidRDefault="007D0FE9" w:rsidP="007D0FE9">
            <w:pPr>
              <w:spacing w:after="0" w:line="240" w:lineRule="auto"/>
              <w:jc w:val="left"/>
              <w:rPr>
                <w:rFonts w:ascii="Arial" w:hAnsi="Arial" w:cs="Arial"/>
                <w:color w:val="auto"/>
                <w:sz w:val="16"/>
                <w:szCs w:val="16"/>
                <w:u w:val="single"/>
              </w:rPr>
            </w:pPr>
            <w:r w:rsidRPr="007D0FE9">
              <w:rPr>
                <w:rFonts w:ascii="Arial" w:hAnsi="Arial" w:cs="Arial"/>
                <w:color w:val="auto"/>
                <w:sz w:val="16"/>
                <w:szCs w:val="16"/>
                <w:u w:val="single"/>
              </w:rPr>
              <w:t>Developed</w:t>
            </w:r>
          </w:p>
        </w:tc>
        <w:tc>
          <w:tcPr>
            <w:tcW w:w="169" w:type="pct"/>
            <w:tcBorders>
              <w:top w:val="nil"/>
              <w:left w:val="nil"/>
              <w:bottom w:val="nil"/>
              <w:right w:val="nil"/>
            </w:tcBorders>
            <w:shd w:val="clear" w:color="auto" w:fill="auto"/>
            <w:noWrap/>
            <w:vAlign w:val="bottom"/>
            <w:hideMark/>
          </w:tcPr>
          <w:p w14:paraId="58CD8B1A" w14:textId="77777777" w:rsidR="007D0FE9" w:rsidRPr="007D0FE9" w:rsidRDefault="007D0FE9" w:rsidP="007D0FE9">
            <w:pPr>
              <w:spacing w:after="0" w:line="240" w:lineRule="auto"/>
              <w:jc w:val="left"/>
              <w:rPr>
                <w:rFonts w:ascii="Arial" w:hAnsi="Arial" w:cs="Arial"/>
                <w:color w:val="auto"/>
                <w:sz w:val="16"/>
                <w:szCs w:val="16"/>
                <w:u w:val="single"/>
              </w:rPr>
            </w:pPr>
          </w:p>
        </w:tc>
        <w:tc>
          <w:tcPr>
            <w:tcW w:w="458" w:type="pct"/>
            <w:tcBorders>
              <w:top w:val="nil"/>
              <w:left w:val="nil"/>
              <w:bottom w:val="nil"/>
              <w:right w:val="nil"/>
            </w:tcBorders>
            <w:shd w:val="clear" w:color="auto" w:fill="auto"/>
            <w:noWrap/>
            <w:vAlign w:val="bottom"/>
            <w:hideMark/>
          </w:tcPr>
          <w:p w14:paraId="605E5BF4"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1EFA94FB" w14:textId="77777777" w:rsidR="007D0FE9" w:rsidRPr="007D0FE9" w:rsidRDefault="007D0FE9" w:rsidP="007D0FE9">
            <w:pPr>
              <w:spacing w:after="0" w:line="240" w:lineRule="auto"/>
              <w:jc w:val="right"/>
              <w:rPr>
                <w:rFonts w:ascii="Times New Roman" w:hAnsi="Times New Roman"/>
                <w:color w:val="auto"/>
              </w:rPr>
            </w:pPr>
          </w:p>
        </w:tc>
        <w:tc>
          <w:tcPr>
            <w:tcW w:w="458" w:type="pct"/>
            <w:tcBorders>
              <w:top w:val="nil"/>
              <w:left w:val="nil"/>
              <w:bottom w:val="nil"/>
              <w:right w:val="nil"/>
            </w:tcBorders>
            <w:shd w:val="clear" w:color="auto" w:fill="auto"/>
            <w:noWrap/>
            <w:vAlign w:val="bottom"/>
            <w:hideMark/>
          </w:tcPr>
          <w:p w14:paraId="0E3225E5"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34E48B53" w14:textId="77777777" w:rsidR="007D0FE9" w:rsidRPr="007D0FE9" w:rsidRDefault="007D0FE9" w:rsidP="007D0FE9">
            <w:pPr>
              <w:spacing w:after="0" w:line="240" w:lineRule="auto"/>
              <w:jc w:val="right"/>
              <w:rPr>
                <w:rFonts w:ascii="Times New Roman" w:hAnsi="Times New Roman"/>
                <w:color w:val="auto"/>
              </w:rPr>
            </w:pPr>
          </w:p>
        </w:tc>
        <w:tc>
          <w:tcPr>
            <w:tcW w:w="516" w:type="pct"/>
            <w:tcBorders>
              <w:top w:val="nil"/>
              <w:left w:val="nil"/>
              <w:bottom w:val="nil"/>
              <w:right w:val="nil"/>
            </w:tcBorders>
            <w:shd w:val="clear" w:color="auto" w:fill="auto"/>
            <w:noWrap/>
            <w:vAlign w:val="bottom"/>
            <w:hideMark/>
          </w:tcPr>
          <w:p w14:paraId="3EC1AD6B"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2726B98A" w14:textId="77777777" w:rsidR="007D0FE9" w:rsidRPr="007D0FE9" w:rsidRDefault="007D0FE9" w:rsidP="007D0FE9">
            <w:pPr>
              <w:spacing w:after="0" w:line="240" w:lineRule="auto"/>
              <w:jc w:val="left"/>
              <w:rPr>
                <w:rFonts w:ascii="Times New Roman" w:hAnsi="Times New Roman"/>
                <w:color w:val="auto"/>
              </w:rPr>
            </w:pPr>
          </w:p>
        </w:tc>
        <w:tc>
          <w:tcPr>
            <w:tcW w:w="532" w:type="pct"/>
            <w:tcBorders>
              <w:top w:val="nil"/>
              <w:left w:val="nil"/>
              <w:bottom w:val="nil"/>
              <w:right w:val="nil"/>
            </w:tcBorders>
            <w:shd w:val="clear" w:color="000000" w:fill="F2F2F2"/>
            <w:noWrap/>
            <w:vAlign w:val="bottom"/>
            <w:hideMark/>
          </w:tcPr>
          <w:p w14:paraId="13A8AA8B"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w:t>
            </w:r>
          </w:p>
        </w:tc>
        <w:tc>
          <w:tcPr>
            <w:tcW w:w="362" w:type="pct"/>
            <w:tcBorders>
              <w:top w:val="nil"/>
              <w:left w:val="nil"/>
              <w:bottom w:val="nil"/>
              <w:right w:val="nil"/>
            </w:tcBorders>
            <w:shd w:val="clear" w:color="000000" w:fill="F2F2F2"/>
            <w:noWrap/>
            <w:vAlign w:val="bottom"/>
            <w:hideMark/>
          </w:tcPr>
          <w:p w14:paraId="48A34DF1"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w:t>
            </w:r>
          </w:p>
        </w:tc>
      </w:tr>
      <w:tr w:rsidR="007D0FE9" w:rsidRPr="007D0FE9" w14:paraId="64481510" w14:textId="77777777" w:rsidTr="00034B5E">
        <w:trPr>
          <w:trHeight w:val="225"/>
        </w:trPr>
        <w:tc>
          <w:tcPr>
            <w:tcW w:w="1479" w:type="pct"/>
            <w:tcBorders>
              <w:top w:val="nil"/>
              <w:left w:val="nil"/>
              <w:bottom w:val="nil"/>
              <w:right w:val="nil"/>
            </w:tcBorders>
            <w:shd w:val="clear" w:color="auto" w:fill="auto"/>
            <w:noWrap/>
            <w:vAlign w:val="bottom"/>
            <w:hideMark/>
          </w:tcPr>
          <w:p w14:paraId="4E016295" w14:textId="65686157" w:rsidR="007D0FE9" w:rsidRPr="007D0FE9" w:rsidRDefault="00BD4D19" w:rsidP="007D0FE9">
            <w:pPr>
              <w:spacing w:after="0" w:line="240" w:lineRule="auto"/>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Existing residential property</w:t>
            </w:r>
          </w:p>
        </w:tc>
        <w:tc>
          <w:tcPr>
            <w:tcW w:w="169" w:type="pct"/>
            <w:tcBorders>
              <w:top w:val="nil"/>
              <w:left w:val="nil"/>
              <w:bottom w:val="nil"/>
              <w:right w:val="nil"/>
            </w:tcBorders>
            <w:shd w:val="clear" w:color="auto" w:fill="auto"/>
            <w:noWrap/>
            <w:vAlign w:val="bottom"/>
            <w:hideMark/>
          </w:tcPr>
          <w:p w14:paraId="262FD036" w14:textId="77777777" w:rsidR="007D0FE9" w:rsidRPr="007D0FE9" w:rsidRDefault="007D0FE9" w:rsidP="007D0FE9">
            <w:pPr>
              <w:spacing w:after="0" w:line="240" w:lineRule="auto"/>
              <w:jc w:val="left"/>
              <w:rPr>
                <w:rFonts w:ascii="Arial" w:hAnsi="Arial" w:cs="Arial"/>
                <w:color w:val="auto"/>
                <w:sz w:val="16"/>
                <w:szCs w:val="16"/>
              </w:rPr>
            </w:pPr>
          </w:p>
        </w:tc>
        <w:tc>
          <w:tcPr>
            <w:tcW w:w="458" w:type="pct"/>
            <w:tcBorders>
              <w:top w:val="nil"/>
              <w:left w:val="nil"/>
              <w:bottom w:val="nil"/>
              <w:right w:val="nil"/>
            </w:tcBorders>
            <w:shd w:val="clear" w:color="auto" w:fill="auto"/>
            <w:noWrap/>
            <w:vAlign w:val="bottom"/>
            <w:hideMark/>
          </w:tcPr>
          <w:p w14:paraId="1353788B"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04442692" w14:textId="77777777" w:rsidR="007D0FE9" w:rsidRPr="007D0FE9" w:rsidRDefault="007D0FE9" w:rsidP="007D0FE9">
            <w:pPr>
              <w:spacing w:after="0" w:line="240" w:lineRule="auto"/>
              <w:jc w:val="right"/>
              <w:rPr>
                <w:rFonts w:ascii="Times New Roman" w:hAnsi="Times New Roman"/>
                <w:color w:val="auto"/>
              </w:rPr>
            </w:pPr>
          </w:p>
        </w:tc>
        <w:tc>
          <w:tcPr>
            <w:tcW w:w="458" w:type="pct"/>
            <w:tcBorders>
              <w:top w:val="nil"/>
              <w:left w:val="nil"/>
              <w:bottom w:val="nil"/>
              <w:right w:val="nil"/>
            </w:tcBorders>
            <w:shd w:val="clear" w:color="auto" w:fill="auto"/>
            <w:noWrap/>
            <w:vAlign w:val="bottom"/>
            <w:hideMark/>
          </w:tcPr>
          <w:p w14:paraId="458859C0"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1AE7E2C2" w14:textId="77777777" w:rsidR="007D0FE9" w:rsidRPr="007D0FE9" w:rsidRDefault="007D0FE9" w:rsidP="007D0FE9">
            <w:pPr>
              <w:spacing w:after="0" w:line="240" w:lineRule="auto"/>
              <w:jc w:val="right"/>
              <w:rPr>
                <w:rFonts w:ascii="Times New Roman" w:hAnsi="Times New Roman"/>
                <w:color w:val="auto"/>
              </w:rPr>
            </w:pPr>
          </w:p>
        </w:tc>
        <w:tc>
          <w:tcPr>
            <w:tcW w:w="516" w:type="pct"/>
            <w:tcBorders>
              <w:top w:val="nil"/>
              <w:left w:val="nil"/>
              <w:bottom w:val="nil"/>
              <w:right w:val="nil"/>
            </w:tcBorders>
            <w:shd w:val="clear" w:color="auto" w:fill="auto"/>
            <w:noWrap/>
            <w:vAlign w:val="bottom"/>
            <w:hideMark/>
          </w:tcPr>
          <w:p w14:paraId="4CF2F54E"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1FB9A075" w14:textId="77777777" w:rsidR="007D0FE9" w:rsidRPr="007D0FE9" w:rsidRDefault="007D0FE9" w:rsidP="007D0FE9">
            <w:pPr>
              <w:spacing w:after="0" w:line="240" w:lineRule="auto"/>
              <w:jc w:val="left"/>
              <w:rPr>
                <w:rFonts w:ascii="Times New Roman" w:hAnsi="Times New Roman"/>
                <w:color w:val="auto"/>
              </w:rPr>
            </w:pPr>
          </w:p>
        </w:tc>
        <w:tc>
          <w:tcPr>
            <w:tcW w:w="532" w:type="pct"/>
            <w:tcBorders>
              <w:top w:val="nil"/>
              <w:left w:val="nil"/>
              <w:bottom w:val="nil"/>
              <w:right w:val="nil"/>
            </w:tcBorders>
            <w:shd w:val="clear" w:color="000000" w:fill="F2F2F2"/>
            <w:noWrap/>
            <w:vAlign w:val="bottom"/>
            <w:hideMark/>
          </w:tcPr>
          <w:p w14:paraId="2F4D6A4B"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w:t>
            </w:r>
          </w:p>
        </w:tc>
        <w:tc>
          <w:tcPr>
            <w:tcW w:w="362" w:type="pct"/>
            <w:tcBorders>
              <w:top w:val="nil"/>
              <w:left w:val="nil"/>
              <w:bottom w:val="nil"/>
              <w:right w:val="nil"/>
            </w:tcBorders>
            <w:shd w:val="clear" w:color="000000" w:fill="F2F2F2"/>
            <w:noWrap/>
            <w:vAlign w:val="bottom"/>
            <w:hideMark/>
          </w:tcPr>
          <w:p w14:paraId="47F38527"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w:t>
            </w:r>
          </w:p>
        </w:tc>
      </w:tr>
      <w:tr w:rsidR="007D0FE9" w:rsidRPr="007D0FE9" w14:paraId="29326661" w14:textId="77777777" w:rsidTr="00581E71">
        <w:trPr>
          <w:trHeight w:val="225"/>
        </w:trPr>
        <w:tc>
          <w:tcPr>
            <w:tcW w:w="1479" w:type="pct"/>
            <w:tcBorders>
              <w:top w:val="nil"/>
              <w:left w:val="nil"/>
              <w:bottom w:val="nil"/>
              <w:right w:val="nil"/>
            </w:tcBorders>
            <w:shd w:val="clear" w:color="auto" w:fill="auto"/>
            <w:noWrap/>
            <w:vAlign w:val="bottom"/>
            <w:hideMark/>
          </w:tcPr>
          <w:p w14:paraId="3C5CF63B" w14:textId="59D0FB30" w:rsidR="007D0FE9" w:rsidRPr="007D0FE9" w:rsidRDefault="00BD4D19" w:rsidP="007D0FE9">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Individual purchases</w:t>
            </w:r>
          </w:p>
        </w:tc>
        <w:tc>
          <w:tcPr>
            <w:tcW w:w="169" w:type="pct"/>
            <w:tcBorders>
              <w:top w:val="nil"/>
              <w:left w:val="nil"/>
              <w:bottom w:val="nil"/>
              <w:right w:val="nil"/>
            </w:tcBorders>
            <w:shd w:val="clear" w:color="auto" w:fill="auto"/>
            <w:noWrap/>
            <w:vAlign w:val="bottom"/>
            <w:hideMark/>
          </w:tcPr>
          <w:p w14:paraId="555F1318" w14:textId="77777777" w:rsidR="007D0FE9" w:rsidRPr="007D0FE9" w:rsidRDefault="007D0FE9" w:rsidP="007D0FE9">
            <w:pPr>
              <w:spacing w:after="0" w:line="240" w:lineRule="auto"/>
              <w:ind w:firstLineChars="100" w:firstLine="160"/>
              <w:jc w:val="left"/>
              <w:rPr>
                <w:rFonts w:ascii="Arial" w:hAnsi="Arial" w:cs="Arial"/>
                <w:color w:val="auto"/>
                <w:sz w:val="16"/>
                <w:szCs w:val="16"/>
              </w:rPr>
            </w:pPr>
          </w:p>
        </w:tc>
        <w:tc>
          <w:tcPr>
            <w:tcW w:w="458" w:type="pct"/>
            <w:tcBorders>
              <w:top w:val="nil"/>
              <w:left w:val="nil"/>
              <w:right w:val="nil"/>
            </w:tcBorders>
            <w:shd w:val="clear" w:color="auto" w:fill="auto"/>
            <w:noWrap/>
            <w:vAlign w:val="bottom"/>
            <w:hideMark/>
          </w:tcPr>
          <w:p w14:paraId="3B6C5B82"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1,484</w:t>
            </w:r>
          </w:p>
        </w:tc>
        <w:tc>
          <w:tcPr>
            <w:tcW w:w="342" w:type="pct"/>
            <w:tcBorders>
              <w:top w:val="nil"/>
              <w:left w:val="nil"/>
              <w:right w:val="nil"/>
            </w:tcBorders>
            <w:shd w:val="clear" w:color="auto" w:fill="auto"/>
            <w:noWrap/>
            <w:vAlign w:val="bottom"/>
            <w:hideMark/>
          </w:tcPr>
          <w:p w14:paraId="46FF5142"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2.1</w:t>
            </w:r>
          </w:p>
        </w:tc>
        <w:tc>
          <w:tcPr>
            <w:tcW w:w="458" w:type="pct"/>
            <w:tcBorders>
              <w:top w:val="nil"/>
              <w:left w:val="nil"/>
              <w:right w:val="nil"/>
            </w:tcBorders>
            <w:shd w:val="clear" w:color="auto" w:fill="auto"/>
            <w:noWrap/>
            <w:vAlign w:val="bottom"/>
            <w:hideMark/>
          </w:tcPr>
          <w:p w14:paraId="4BDD324F"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1,075</w:t>
            </w:r>
          </w:p>
        </w:tc>
        <w:tc>
          <w:tcPr>
            <w:tcW w:w="342" w:type="pct"/>
            <w:tcBorders>
              <w:top w:val="nil"/>
              <w:left w:val="nil"/>
              <w:right w:val="nil"/>
            </w:tcBorders>
            <w:shd w:val="clear" w:color="auto" w:fill="auto"/>
            <w:noWrap/>
            <w:vAlign w:val="bottom"/>
            <w:hideMark/>
          </w:tcPr>
          <w:p w14:paraId="7FDFD8A9"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1.5</w:t>
            </w:r>
          </w:p>
        </w:tc>
        <w:tc>
          <w:tcPr>
            <w:tcW w:w="516" w:type="pct"/>
            <w:tcBorders>
              <w:top w:val="nil"/>
              <w:left w:val="nil"/>
              <w:right w:val="nil"/>
            </w:tcBorders>
            <w:shd w:val="clear" w:color="auto" w:fill="auto"/>
            <w:noWrap/>
            <w:vAlign w:val="bottom"/>
            <w:hideMark/>
          </w:tcPr>
          <w:p w14:paraId="4987D50A"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xml:space="preserve">       995 </w:t>
            </w:r>
          </w:p>
        </w:tc>
        <w:tc>
          <w:tcPr>
            <w:tcW w:w="342" w:type="pct"/>
            <w:tcBorders>
              <w:top w:val="nil"/>
              <w:left w:val="nil"/>
              <w:right w:val="nil"/>
            </w:tcBorders>
            <w:shd w:val="clear" w:color="auto" w:fill="auto"/>
            <w:noWrap/>
            <w:vAlign w:val="bottom"/>
            <w:hideMark/>
          </w:tcPr>
          <w:p w14:paraId="7B04AE08" w14:textId="77777777" w:rsidR="007D0FE9" w:rsidRPr="007D0FE9" w:rsidRDefault="007D0FE9" w:rsidP="007D0FE9">
            <w:pPr>
              <w:spacing w:after="0" w:line="240" w:lineRule="auto"/>
              <w:jc w:val="right"/>
              <w:rPr>
                <w:rFonts w:ascii="Arial" w:hAnsi="Arial" w:cs="Arial"/>
                <w:sz w:val="16"/>
                <w:szCs w:val="16"/>
              </w:rPr>
            </w:pPr>
            <w:r w:rsidRPr="007D0FE9">
              <w:rPr>
                <w:rFonts w:ascii="Arial" w:hAnsi="Arial" w:cs="Arial"/>
                <w:sz w:val="16"/>
                <w:szCs w:val="16"/>
              </w:rPr>
              <w:t>1.2</w:t>
            </w:r>
          </w:p>
        </w:tc>
        <w:tc>
          <w:tcPr>
            <w:tcW w:w="532" w:type="pct"/>
            <w:tcBorders>
              <w:top w:val="nil"/>
              <w:left w:val="nil"/>
              <w:right w:val="nil"/>
            </w:tcBorders>
            <w:shd w:val="clear" w:color="000000" w:fill="F2F2F2"/>
            <w:noWrap/>
            <w:vAlign w:val="bottom"/>
            <w:hideMark/>
          </w:tcPr>
          <w:p w14:paraId="7D955B18"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789</w:t>
            </w:r>
          </w:p>
        </w:tc>
        <w:tc>
          <w:tcPr>
            <w:tcW w:w="362" w:type="pct"/>
            <w:tcBorders>
              <w:top w:val="nil"/>
              <w:left w:val="nil"/>
              <w:right w:val="nil"/>
            </w:tcBorders>
            <w:shd w:val="clear" w:color="000000" w:fill="F2F2F2"/>
            <w:noWrap/>
            <w:vAlign w:val="bottom"/>
            <w:hideMark/>
          </w:tcPr>
          <w:p w14:paraId="65D4A107"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4.1</w:t>
            </w:r>
          </w:p>
        </w:tc>
      </w:tr>
      <w:tr w:rsidR="007D0FE9" w:rsidRPr="007D0FE9" w14:paraId="33B00B48" w14:textId="77777777" w:rsidTr="00581E71">
        <w:trPr>
          <w:trHeight w:val="225"/>
        </w:trPr>
        <w:tc>
          <w:tcPr>
            <w:tcW w:w="1479" w:type="pct"/>
            <w:tcBorders>
              <w:top w:val="nil"/>
              <w:left w:val="nil"/>
              <w:bottom w:val="nil"/>
              <w:right w:val="nil"/>
            </w:tcBorders>
            <w:shd w:val="clear" w:color="auto" w:fill="auto"/>
            <w:noWrap/>
            <w:vAlign w:val="bottom"/>
            <w:hideMark/>
          </w:tcPr>
          <w:p w14:paraId="0D8E731B" w14:textId="7F068038" w:rsidR="007D0FE9" w:rsidRPr="007D0FE9" w:rsidRDefault="00BD4D19" w:rsidP="007D0FE9">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Single purchase EC</w:t>
            </w:r>
          </w:p>
        </w:tc>
        <w:tc>
          <w:tcPr>
            <w:tcW w:w="169" w:type="pct"/>
            <w:tcBorders>
              <w:top w:val="nil"/>
              <w:left w:val="nil"/>
              <w:bottom w:val="nil"/>
              <w:right w:val="nil"/>
            </w:tcBorders>
            <w:shd w:val="clear" w:color="auto" w:fill="auto"/>
            <w:noWrap/>
            <w:vAlign w:val="bottom"/>
            <w:hideMark/>
          </w:tcPr>
          <w:p w14:paraId="2CE27A72" w14:textId="77777777" w:rsidR="007D0FE9" w:rsidRPr="007D0FE9" w:rsidRDefault="007D0FE9" w:rsidP="007D0FE9">
            <w:pPr>
              <w:spacing w:after="0" w:line="240" w:lineRule="auto"/>
              <w:ind w:firstLineChars="100" w:firstLine="160"/>
              <w:jc w:val="left"/>
              <w:rPr>
                <w:rFonts w:ascii="Arial" w:hAnsi="Arial" w:cs="Arial"/>
                <w:color w:val="auto"/>
                <w:sz w:val="16"/>
                <w:szCs w:val="16"/>
              </w:rPr>
            </w:pPr>
          </w:p>
        </w:tc>
        <w:tc>
          <w:tcPr>
            <w:tcW w:w="458" w:type="pct"/>
            <w:tcBorders>
              <w:top w:val="nil"/>
              <w:left w:val="nil"/>
              <w:bottom w:val="single" w:sz="4" w:space="0" w:color="auto"/>
              <w:right w:val="nil"/>
            </w:tcBorders>
            <w:shd w:val="clear" w:color="auto" w:fill="auto"/>
            <w:noWrap/>
            <w:vAlign w:val="bottom"/>
            <w:hideMark/>
          </w:tcPr>
          <w:p w14:paraId="078044A1"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521</w:t>
            </w:r>
          </w:p>
        </w:tc>
        <w:tc>
          <w:tcPr>
            <w:tcW w:w="342" w:type="pct"/>
            <w:tcBorders>
              <w:top w:val="nil"/>
              <w:left w:val="nil"/>
              <w:bottom w:val="single" w:sz="4" w:space="0" w:color="auto"/>
              <w:right w:val="nil"/>
            </w:tcBorders>
            <w:shd w:val="clear" w:color="auto" w:fill="auto"/>
            <w:noWrap/>
            <w:vAlign w:val="bottom"/>
            <w:hideMark/>
          </w:tcPr>
          <w:p w14:paraId="5ED58677"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0.8</w:t>
            </w:r>
          </w:p>
        </w:tc>
        <w:tc>
          <w:tcPr>
            <w:tcW w:w="458" w:type="pct"/>
            <w:tcBorders>
              <w:top w:val="nil"/>
              <w:left w:val="nil"/>
              <w:bottom w:val="single" w:sz="4" w:space="0" w:color="auto"/>
              <w:right w:val="nil"/>
            </w:tcBorders>
            <w:shd w:val="clear" w:color="auto" w:fill="auto"/>
            <w:noWrap/>
            <w:vAlign w:val="bottom"/>
            <w:hideMark/>
          </w:tcPr>
          <w:p w14:paraId="409462FD"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538</w:t>
            </w:r>
          </w:p>
        </w:tc>
        <w:tc>
          <w:tcPr>
            <w:tcW w:w="342" w:type="pct"/>
            <w:tcBorders>
              <w:top w:val="nil"/>
              <w:left w:val="nil"/>
              <w:bottom w:val="single" w:sz="4" w:space="0" w:color="auto"/>
              <w:right w:val="nil"/>
            </w:tcBorders>
            <w:shd w:val="clear" w:color="auto" w:fill="auto"/>
            <w:noWrap/>
            <w:vAlign w:val="bottom"/>
            <w:hideMark/>
          </w:tcPr>
          <w:p w14:paraId="17A662FF"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0.9</w:t>
            </w:r>
          </w:p>
        </w:tc>
        <w:tc>
          <w:tcPr>
            <w:tcW w:w="516" w:type="pct"/>
            <w:tcBorders>
              <w:top w:val="nil"/>
              <w:left w:val="nil"/>
              <w:bottom w:val="single" w:sz="4" w:space="0" w:color="auto"/>
              <w:right w:val="nil"/>
            </w:tcBorders>
            <w:shd w:val="clear" w:color="auto" w:fill="auto"/>
            <w:noWrap/>
            <w:vAlign w:val="bottom"/>
            <w:hideMark/>
          </w:tcPr>
          <w:p w14:paraId="6530975E"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xml:space="preserve">       317 </w:t>
            </w:r>
          </w:p>
        </w:tc>
        <w:tc>
          <w:tcPr>
            <w:tcW w:w="342" w:type="pct"/>
            <w:tcBorders>
              <w:top w:val="nil"/>
              <w:left w:val="nil"/>
              <w:bottom w:val="single" w:sz="4" w:space="0" w:color="auto"/>
              <w:right w:val="nil"/>
            </w:tcBorders>
            <w:shd w:val="clear" w:color="auto" w:fill="auto"/>
            <w:noWrap/>
            <w:vAlign w:val="bottom"/>
            <w:hideMark/>
          </w:tcPr>
          <w:p w14:paraId="142BDCF9" w14:textId="77777777" w:rsidR="007D0FE9" w:rsidRPr="007D0FE9" w:rsidRDefault="007D0FE9" w:rsidP="007D0FE9">
            <w:pPr>
              <w:spacing w:after="0" w:line="240" w:lineRule="auto"/>
              <w:jc w:val="right"/>
              <w:rPr>
                <w:rFonts w:ascii="Arial" w:hAnsi="Arial" w:cs="Arial"/>
                <w:sz w:val="16"/>
                <w:szCs w:val="16"/>
              </w:rPr>
            </w:pPr>
            <w:r w:rsidRPr="007D0FE9">
              <w:rPr>
                <w:rFonts w:ascii="Arial" w:hAnsi="Arial" w:cs="Arial"/>
                <w:sz w:val="16"/>
                <w:szCs w:val="16"/>
              </w:rPr>
              <w:t>0.4</w:t>
            </w:r>
          </w:p>
        </w:tc>
        <w:tc>
          <w:tcPr>
            <w:tcW w:w="532" w:type="pct"/>
            <w:tcBorders>
              <w:top w:val="nil"/>
              <w:left w:val="nil"/>
              <w:bottom w:val="single" w:sz="4" w:space="0" w:color="auto"/>
              <w:right w:val="nil"/>
            </w:tcBorders>
            <w:shd w:val="clear" w:color="000000" w:fill="F2F2F2"/>
            <w:noWrap/>
            <w:vAlign w:val="bottom"/>
            <w:hideMark/>
          </w:tcPr>
          <w:p w14:paraId="71C8FE8B"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312</w:t>
            </w:r>
          </w:p>
        </w:tc>
        <w:tc>
          <w:tcPr>
            <w:tcW w:w="362" w:type="pct"/>
            <w:tcBorders>
              <w:top w:val="nil"/>
              <w:left w:val="nil"/>
              <w:bottom w:val="single" w:sz="4" w:space="0" w:color="auto"/>
              <w:right w:val="nil"/>
            </w:tcBorders>
            <w:shd w:val="clear" w:color="000000" w:fill="F2F2F2"/>
            <w:noWrap/>
            <w:vAlign w:val="bottom"/>
            <w:hideMark/>
          </w:tcPr>
          <w:p w14:paraId="46D9FC47"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0.5</w:t>
            </w:r>
          </w:p>
        </w:tc>
      </w:tr>
      <w:tr w:rsidR="007D0FE9" w:rsidRPr="007D0FE9" w14:paraId="48503B26" w14:textId="77777777" w:rsidTr="00581E71">
        <w:trPr>
          <w:trHeight w:val="225"/>
        </w:trPr>
        <w:tc>
          <w:tcPr>
            <w:tcW w:w="1479" w:type="pct"/>
            <w:tcBorders>
              <w:top w:val="nil"/>
              <w:left w:val="nil"/>
              <w:bottom w:val="nil"/>
              <w:right w:val="nil"/>
            </w:tcBorders>
            <w:shd w:val="clear" w:color="auto" w:fill="auto"/>
            <w:noWrap/>
            <w:vAlign w:val="bottom"/>
            <w:hideMark/>
          </w:tcPr>
          <w:p w14:paraId="03AD9AAF" w14:textId="3A8C7A3A" w:rsidR="007D0FE9" w:rsidRPr="007D0FE9" w:rsidRDefault="007D0FE9" w:rsidP="007D0FE9">
            <w:pPr>
              <w:spacing w:after="0" w:line="240" w:lineRule="auto"/>
              <w:jc w:val="left"/>
              <w:rPr>
                <w:rFonts w:ascii="Arial" w:hAnsi="Arial" w:cs="Arial"/>
                <w:i/>
                <w:iCs/>
                <w:color w:val="auto"/>
                <w:sz w:val="16"/>
                <w:szCs w:val="16"/>
              </w:rPr>
            </w:pPr>
            <w:r w:rsidRPr="007D0FE9">
              <w:rPr>
                <w:rFonts w:ascii="Arial" w:hAnsi="Arial" w:cs="Arial"/>
                <w:i/>
                <w:iCs/>
                <w:color w:val="auto"/>
                <w:sz w:val="16"/>
                <w:szCs w:val="16"/>
              </w:rPr>
              <w:t>Sub</w:t>
            </w:r>
            <w:r w:rsidR="00BD4D19">
              <w:rPr>
                <w:rFonts w:ascii="Arial" w:hAnsi="Arial" w:cs="Arial"/>
                <w:i/>
                <w:iCs/>
                <w:color w:val="auto"/>
                <w:sz w:val="16"/>
                <w:szCs w:val="16"/>
              </w:rPr>
              <w:noBreakHyphen/>
            </w:r>
            <w:r w:rsidRPr="007D0FE9">
              <w:rPr>
                <w:rFonts w:ascii="Arial" w:hAnsi="Arial" w:cs="Arial"/>
                <w:i/>
                <w:iCs/>
                <w:color w:val="auto"/>
                <w:sz w:val="16"/>
                <w:szCs w:val="16"/>
              </w:rPr>
              <w:t xml:space="preserve">total </w:t>
            </w:r>
            <w:r w:rsidR="00BD4D19">
              <w:rPr>
                <w:rFonts w:ascii="Arial" w:hAnsi="Arial" w:cs="Arial"/>
                <w:i/>
                <w:iCs/>
                <w:color w:val="auto"/>
                <w:sz w:val="16"/>
                <w:szCs w:val="16"/>
              </w:rPr>
              <w:t>‘</w:t>
            </w:r>
            <w:r w:rsidRPr="007D0FE9">
              <w:rPr>
                <w:rFonts w:ascii="Arial" w:hAnsi="Arial" w:cs="Arial"/>
                <w:i/>
                <w:iCs/>
                <w:color w:val="auto"/>
                <w:sz w:val="16"/>
                <w:szCs w:val="16"/>
              </w:rPr>
              <w:t>Existing</w:t>
            </w:r>
            <w:r w:rsidR="00BD4D19">
              <w:rPr>
                <w:rFonts w:ascii="Arial" w:hAnsi="Arial" w:cs="Arial"/>
                <w:i/>
                <w:iCs/>
                <w:color w:val="auto"/>
                <w:sz w:val="16"/>
                <w:szCs w:val="16"/>
              </w:rPr>
              <w:t>’</w:t>
            </w:r>
          </w:p>
        </w:tc>
        <w:tc>
          <w:tcPr>
            <w:tcW w:w="169" w:type="pct"/>
            <w:tcBorders>
              <w:top w:val="nil"/>
              <w:left w:val="nil"/>
              <w:bottom w:val="nil"/>
              <w:right w:val="nil"/>
            </w:tcBorders>
            <w:shd w:val="clear" w:color="auto" w:fill="auto"/>
            <w:noWrap/>
            <w:vAlign w:val="bottom"/>
            <w:hideMark/>
          </w:tcPr>
          <w:p w14:paraId="3613D0AA" w14:textId="77777777" w:rsidR="007D0FE9" w:rsidRPr="007D0FE9" w:rsidRDefault="007D0FE9" w:rsidP="007D0FE9">
            <w:pPr>
              <w:spacing w:after="0" w:line="240" w:lineRule="auto"/>
              <w:jc w:val="left"/>
              <w:rPr>
                <w:rFonts w:ascii="Arial" w:hAnsi="Arial" w:cs="Arial"/>
                <w:i/>
                <w:iCs/>
                <w:color w:val="auto"/>
                <w:sz w:val="16"/>
                <w:szCs w:val="16"/>
              </w:rPr>
            </w:pPr>
          </w:p>
        </w:tc>
        <w:tc>
          <w:tcPr>
            <w:tcW w:w="458" w:type="pct"/>
            <w:tcBorders>
              <w:top w:val="single" w:sz="4" w:space="0" w:color="auto"/>
              <w:left w:val="nil"/>
              <w:bottom w:val="nil"/>
              <w:right w:val="nil"/>
            </w:tcBorders>
            <w:shd w:val="clear" w:color="auto" w:fill="auto"/>
            <w:noWrap/>
            <w:vAlign w:val="bottom"/>
            <w:hideMark/>
          </w:tcPr>
          <w:p w14:paraId="3138E03A"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2,005</w:t>
            </w:r>
          </w:p>
        </w:tc>
        <w:tc>
          <w:tcPr>
            <w:tcW w:w="342" w:type="pct"/>
            <w:tcBorders>
              <w:top w:val="single" w:sz="4" w:space="0" w:color="auto"/>
              <w:left w:val="nil"/>
              <w:bottom w:val="nil"/>
              <w:right w:val="nil"/>
            </w:tcBorders>
            <w:shd w:val="clear" w:color="auto" w:fill="auto"/>
            <w:noWrap/>
            <w:vAlign w:val="bottom"/>
            <w:hideMark/>
          </w:tcPr>
          <w:p w14:paraId="6DFEDC12"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2.9</w:t>
            </w:r>
          </w:p>
        </w:tc>
        <w:tc>
          <w:tcPr>
            <w:tcW w:w="458" w:type="pct"/>
            <w:tcBorders>
              <w:top w:val="single" w:sz="4" w:space="0" w:color="auto"/>
              <w:left w:val="nil"/>
              <w:bottom w:val="nil"/>
              <w:right w:val="nil"/>
            </w:tcBorders>
            <w:shd w:val="clear" w:color="auto" w:fill="auto"/>
            <w:noWrap/>
            <w:vAlign w:val="bottom"/>
            <w:hideMark/>
          </w:tcPr>
          <w:p w14:paraId="654D97EC"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1,613</w:t>
            </w:r>
          </w:p>
        </w:tc>
        <w:tc>
          <w:tcPr>
            <w:tcW w:w="342" w:type="pct"/>
            <w:tcBorders>
              <w:top w:val="single" w:sz="4" w:space="0" w:color="auto"/>
              <w:left w:val="nil"/>
              <w:bottom w:val="nil"/>
              <w:right w:val="nil"/>
            </w:tcBorders>
            <w:shd w:val="clear" w:color="auto" w:fill="auto"/>
            <w:noWrap/>
            <w:vAlign w:val="bottom"/>
            <w:hideMark/>
          </w:tcPr>
          <w:p w14:paraId="6CCA1C76"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2.3</w:t>
            </w:r>
          </w:p>
        </w:tc>
        <w:tc>
          <w:tcPr>
            <w:tcW w:w="516" w:type="pct"/>
            <w:tcBorders>
              <w:top w:val="single" w:sz="4" w:space="0" w:color="auto"/>
              <w:left w:val="nil"/>
              <w:bottom w:val="nil"/>
              <w:right w:val="nil"/>
            </w:tcBorders>
            <w:shd w:val="clear" w:color="auto" w:fill="auto"/>
            <w:noWrap/>
            <w:vAlign w:val="bottom"/>
            <w:hideMark/>
          </w:tcPr>
          <w:p w14:paraId="20B2D201" w14:textId="77777777" w:rsidR="007D0FE9" w:rsidRPr="00453670" w:rsidRDefault="007D0FE9" w:rsidP="007D0FE9">
            <w:pPr>
              <w:spacing w:after="0" w:line="240" w:lineRule="auto"/>
              <w:jc w:val="left"/>
              <w:rPr>
                <w:rFonts w:ascii="Arial" w:hAnsi="Arial" w:cs="Arial"/>
                <w:i/>
                <w:iCs/>
                <w:sz w:val="16"/>
                <w:szCs w:val="16"/>
              </w:rPr>
            </w:pPr>
            <w:r w:rsidRPr="00453670">
              <w:rPr>
                <w:rFonts w:ascii="Arial" w:hAnsi="Arial" w:cs="Arial"/>
                <w:i/>
                <w:iCs/>
                <w:sz w:val="16"/>
                <w:szCs w:val="16"/>
              </w:rPr>
              <w:t xml:space="preserve">   1,312 </w:t>
            </w:r>
          </w:p>
        </w:tc>
        <w:tc>
          <w:tcPr>
            <w:tcW w:w="342" w:type="pct"/>
            <w:tcBorders>
              <w:top w:val="single" w:sz="4" w:space="0" w:color="auto"/>
              <w:left w:val="nil"/>
              <w:right w:val="nil"/>
            </w:tcBorders>
            <w:shd w:val="clear" w:color="auto" w:fill="auto"/>
            <w:noWrap/>
            <w:vAlign w:val="bottom"/>
            <w:hideMark/>
          </w:tcPr>
          <w:p w14:paraId="072F4303" w14:textId="77777777" w:rsidR="007D0FE9" w:rsidRPr="00453670" w:rsidRDefault="007D0FE9" w:rsidP="007D0FE9">
            <w:pPr>
              <w:spacing w:after="0" w:line="240" w:lineRule="auto"/>
              <w:jc w:val="right"/>
              <w:rPr>
                <w:rFonts w:ascii="Arial" w:hAnsi="Arial" w:cs="Arial"/>
                <w:i/>
                <w:iCs/>
                <w:sz w:val="16"/>
                <w:szCs w:val="16"/>
              </w:rPr>
            </w:pPr>
            <w:r w:rsidRPr="00453670">
              <w:rPr>
                <w:rFonts w:ascii="Arial" w:hAnsi="Arial" w:cs="Arial"/>
                <w:i/>
                <w:iCs/>
                <w:sz w:val="16"/>
                <w:szCs w:val="16"/>
              </w:rPr>
              <w:t>1.7</w:t>
            </w:r>
          </w:p>
        </w:tc>
        <w:tc>
          <w:tcPr>
            <w:tcW w:w="532" w:type="pct"/>
            <w:tcBorders>
              <w:top w:val="single" w:sz="4" w:space="0" w:color="auto"/>
              <w:left w:val="nil"/>
              <w:right w:val="nil"/>
            </w:tcBorders>
            <w:shd w:val="clear" w:color="000000" w:fill="F2F2F2"/>
            <w:noWrap/>
            <w:vAlign w:val="bottom"/>
            <w:hideMark/>
          </w:tcPr>
          <w:p w14:paraId="3B2A8AFA"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1,101</w:t>
            </w:r>
          </w:p>
        </w:tc>
        <w:tc>
          <w:tcPr>
            <w:tcW w:w="362" w:type="pct"/>
            <w:tcBorders>
              <w:top w:val="single" w:sz="4" w:space="0" w:color="auto"/>
              <w:left w:val="nil"/>
              <w:right w:val="nil"/>
            </w:tcBorders>
            <w:shd w:val="clear" w:color="000000" w:fill="F2F2F2"/>
            <w:noWrap/>
            <w:vAlign w:val="bottom"/>
            <w:hideMark/>
          </w:tcPr>
          <w:p w14:paraId="6A227E32"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4.5</w:t>
            </w:r>
          </w:p>
        </w:tc>
      </w:tr>
      <w:tr w:rsidR="007D0FE9" w:rsidRPr="007D0FE9" w14:paraId="42C8FCEA" w14:textId="77777777" w:rsidTr="00581E71">
        <w:trPr>
          <w:trHeight w:val="225"/>
        </w:trPr>
        <w:tc>
          <w:tcPr>
            <w:tcW w:w="1479" w:type="pct"/>
            <w:tcBorders>
              <w:top w:val="nil"/>
              <w:left w:val="nil"/>
              <w:bottom w:val="nil"/>
              <w:right w:val="nil"/>
            </w:tcBorders>
            <w:shd w:val="clear" w:color="auto" w:fill="auto"/>
            <w:noWrap/>
            <w:vAlign w:val="bottom"/>
            <w:hideMark/>
          </w:tcPr>
          <w:p w14:paraId="48FA0BBA" w14:textId="15721964" w:rsidR="007D0FE9" w:rsidRPr="007D0FE9" w:rsidRDefault="00BD4D19" w:rsidP="007D0FE9">
            <w:pPr>
              <w:spacing w:after="0" w:line="240" w:lineRule="auto"/>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Exemption certificate</w:t>
            </w:r>
          </w:p>
        </w:tc>
        <w:tc>
          <w:tcPr>
            <w:tcW w:w="169" w:type="pct"/>
            <w:tcBorders>
              <w:top w:val="nil"/>
              <w:left w:val="nil"/>
              <w:bottom w:val="nil"/>
              <w:right w:val="nil"/>
            </w:tcBorders>
            <w:shd w:val="clear" w:color="auto" w:fill="auto"/>
            <w:noWrap/>
            <w:vAlign w:val="bottom"/>
            <w:hideMark/>
          </w:tcPr>
          <w:p w14:paraId="3BA0C021" w14:textId="77777777" w:rsidR="007D0FE9" w:rsidRPr="007D0FE9" w:rsidRDefault="007D0FE9" w:rsidP="007D0FE9">
            <w:pPr>
              <w:spacing w:after="0" w:line="240" w:lineRule="auto"/>
              <w:jc w:val="left"/>
              <w:rPr>
                <w:rFonts w:ascii="Arial" w:hAnsi="Arial" w:cs="Arial"/>
                <w:color w:val="auto"/>
                <w:sz w:val="16"/>
                <w:szCs w:val="16"/>
              </w:rPr>
            </w:pPr>
          </w:p>
        </w:tc>
        <w:tc>
          <w:tcPr>
            <w:tcW w:w="458" w:type="pct"/>
            <w:tcBorders>
              <w:top w:val="nil"/>
              <w:left w:val="nil"/>
              <w:bottom w:val="single" w:sz="4" w:space="0" w:color="auto"/>
              <w:right w:val="nil"/>
            </w:tcBorders>
            <w:shd w:val="clear" w:color="auto" w:fill="auto"/>
            <w:noWrap/>
            <w:vAlign w:val="bottom"/>
            <w:hideMark/>
          </w:tcPr>
          <w:p w14:paraId="20F7787F"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3</w:t>
            </w:r>
          </w:p>
        </w:tc>
        <w:tc>
          <w:tcPr>
            <w:tcW w:w="342" w:type="pct"/>
            <w:tcBorders>
              <w:top w:val="nil"/>
              <w:left w:val="nil"/>
              <w:bottom w:val="single" w:sz="4" w:space="0" w:color="auto"/>
              <w:right w:val="nil"/>
            </w:tcBorders>
            <w:shd w:val="clear" w:color="auto" w:fill="auto"/>
            <w:noWrap/>
            <w:vAlign w:val="bottom"/>
            <w:hideMark/>
          </w:tcPr>
          <w:p w14:paraId="50D6770E"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0.0</w:t>
            </w:r>
          </w:p>
        </w:tc>
        <w:tc>
          <w:tcPr>
            <w:tcW w:w="458" w:type="pct"/>
            <w:tcBorders>
              <w:top w:val="nil"/>
              <w:left w:val="nil"/>
              <w:bottom w:val="single" w:sz="4" w:space="0" w:color="auto"/>
              <w:right w:val="nil"/>
            </w:tcBorders>
            <w:shd w:val="clear" w:color="auto" w:fill="auto"/>
            <w:noWrap/>
            <w:vAlign w:val="bottom"/>
            <w:hideMark/>
          </w:tcPr>
          <w:p w14:paraId="4EA22289"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2</w:t>
            </w:r>
          </w:p>
        </w:tc>
        <w:tc>
          <w:tcPr>
            <w:tcW w:w="342" w:type="pct"/>
            <w:tcBorders>
              <w:top w:val="nil"/>
              <w:left w:val="nil"/>
              <w:bottom w:val="single" w:sz="4" w:space="0" w:color="auto"/>
              <w:right w:val="nil"/>
            </w:tcBorders>
            <w:shd w:val="clear" w:color="auto" w:fill="auto"/>
            <w:noWrap/>
            <w:vAlign w:val="bottom"/>
            <w:hideMark/>
          </w:tcPr>
          <w:p w14:paraId="3D13C26D"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0.0</w:t>
            </w:r>
          </w:p>
        </w:tc>
        <w:tc>
          <w:tcPr>
            <w:tcW w:w="516" w:type="pct"/>
            <w:tcBorders>
              <w:top w:val="nil"/>
              <w:left w:val="nil"/>
              <w:bottom w:val="single" w:sz="4" w:space="0" w:color="auto"/>
              <w:right w:val="nil"/>
            </w:tcBorders>
            <w:shd w:val="clear" w:color="auto" w:fill="auto"/>
            <w:noWrap/>
            <w:vAlign w:val="bottom"/>
            <w:hideMark/>
          </w:tcPr>
          <w:p w14:paraId="3A16B593"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xml:space="preserve">           1 </w:t>
            </w:r>
          </w:p>
        </w:tc>
        <w:tc>
          <w:tcPr>
            <w:tcW w:w="342" w:type="pct"/>
            <w:tcBorders>
              <w:top w:val="nil"/>
              <w:left w:val="nil"/>
              <w:bottom w:val="single" w:sz="4" w:space="0" w:color="auto"/>
              <w:right w:val="nil"/>
            </w:tcBorders>
            <w:shd w:val="clear" w:color="auto" w:fill="auto"/>
            <w:noWrap/>
            <w:vAlign w:val="bottom"/>
            <w:hideMark/>
          </w:tcPr>
          <w:p w14:paraId="1440AA69" w14:textId="77777777" w:rsidR="007D0FE9" w:rsidRPr="007D0FE9" w:rsidRDefault="007D0FE9" w:rsidP="007D0FE9">
            <w:pPr>
              <w:spacing w:after="0" w:line="240" w:lineRule="auto"/>
              <w:jc w:val="right"/>
              <w:rPr>
                <w:rFonts w:ascii="Arial" w:hAnsi="Arial" w:cs="Arial"/>
                <w:sz w:val="16"/>
                <w:szCs w:val="16"/>
              </w:rPr>
            </w:pPr>
            <w:r w:rsidRPr="007D0FE9">
              <w:rPr>
                <w:rFonts w:ascii="Arial" w:hAnsi="Arial" w:cs="Arial"/>
                <w:sz w:val="16"/>
                <w:szCs w:val="16"/>
              </w:rPr>
              <w:t>0.1</w:t>
            </w:r>
          </w:p>
        </w:tc>
        <w:tc>
          <w:tcPr>
            <w:tcW w:w="532" w:type="pct"/>
            <w:tcBorders>
              <w:top w:val="nil"/>
              <w:left w:val="nil"/>
              <w:bottom w:val="single" w:sz="4" w:space="0" w:color="auto"/>
              <w:right w:val="nil"/>
            </w:tcBorders>
            <w:shd w:val="clear" w:color="000000" w:fill="F2F2F2"/>
            <w:noWrap/>
            <w:vAlign w:val="bottom"/>
            <w:hideMark/>
          </w:tcPr>
          <w:p w14:paraId="0FD6481A"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4</w:t>
            </w:r>
          </w:p>
        </w:tc>
        <w:tc>
          <w:tcPr>
            <w:tcW w:w="362" w:type="pct"/>
            <w:tcBorders>
              <w:top w:val="nil"/>
              <w:left w:val="nil"/>
              <w:bottom w:val="single" w:sz="4" w:space="0" w:color="auto"/>
              <w:right w:val="nil"/>
            </w:tcBorders>
            <w:shd w:val="clear" w:color="000000" w:fill="F2F2F2"/>
            <w:noWrap/>
            <w:vAlign w:val="bottom"/>
            <w:hideMark/>
          </w:tcPr>
          <w:p w14:paraId="2A98CBA3"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0.1</w:t>
            </w:r>
          </w:p>
        </w:tc>
      </w:tr>
      <w:tr w:rsidR="007D0FE9" w:rsidRPr="007D0FE9" w14:paraId="374C53B2" w14:textId="77777777" w:rsidTr="00581E71">
        <w:trPr>
          <w:trHeight w:val="225"/>
        </w:trPr>
        <w:tc>
          <w:tcPr>
            <w:tcW w:w="1479" w:type="pct"/>
            <w:tcBorders>
              <w:top w:val="nil"/>
              <w:left w:val="nil"/>
              <w:bottom w:val="nil"/>
              <w:right w:val="nil"/>
            </w:tcBorders>
            <w:shd w:val="clear" w:color="auto" w:fill="auto"/>
            <w:noWrap/>
            <w:vAlign w:val="bottom"/>
            <w:hideMark/>
          </w:tcPr>
          <w:p w14:paraId="339B6889" w14:textId="11AC6ACF" w:rsidR="007D0FE9" w:rsidRPr="007D0FE9" w:rsidRDefault="007D0FE9" w:rsidP="007D0FE9">
            <w:pPr>
              <w:spacing w:after="0" w:line="240" w:lineRule="auto"/>
              <w:jc w:val="left"/>
              <w:rPr>
                <w:rFonts w:ascii="Arial" w:hAnsi="Arial" w:cs="Arial"/>
                <w:i/>
                <w:iCs/>
                <w:color w:val="auto"/>
                <w:sz w:val="16"/>
                <w:szCs w:val="16"/>
              </w:rPr>
            </w:pPr>
            <w:r w:rsidRPr="007D0FE9">
              <w:rPr>
                <w:rFonts w:ascii="Arial" w:hAnsi="Arial" w:cs="Arial"/>
                <w:i/>
                <w:iCs/>
                <w:color w:val="auto"/>
                <w:sz w:val="16"/>
                <w:szCs w:val="16"/>
              </w:rPr>
              <w:t>Sub</w:t>
            </w:r>
            <w:r w:rsidR="00BD4D19">
              <w:rPr>
                <w:rFonts w:ascii="Arial" w:hAnsi="Arial" w:cs="Arial"/>
                <w:i/>
                <w:iCs/>
                <w:color w:val="auto"/>
                <w:sz w:val="16"/>
                <w:szCs w:val="16"/>
              </w:rPr>
              <w:noBreakHyphen/>
            </w:r>
            <w:r w:rsidRPr="007D0FE9">
              <w:rPr>
                <w:rFonts w:ascii="Arial" w:hAnsi="Arial" w:cs="Arial"/>
                <w:i/>
                <w:iCs/>
                <w:color w:val="auto"/>
                <w:sz w:val="16"/>
                <w:szCs w:val="16"/>
              </w:rPr>
              <w:t xml:space="preserve">total </w:t>
            </w:r>
            <w:r w:rsidR="00BD4D19">
              <w:rPr>
                <w:rFonts w:ascii="Arial" w:hAnsi="Arial" w:cs="Arial"/>
                <w:i/>
                <w:iCs/>
                <w:color w:val="auto"/>
                <w:sz w:val="16"/>
                <w:szCs w:val="16"/>
              </w:rPr>
              <w:t>‘</w:t>
            </w:r>
            <w:r w:rsidRPr="007D0FE9">
              <w:rPr>
                <w:rFonts w:ascii="Arial" w:hAnsi="Arial" w:cs="Arial"/>
                <w:i/>
                <w:iCs/>
                <w:color w:val="auto"/>
                <w:sz w:val="16"/>
                <w:szCs w:val="16"/>
              </w:rPr>
              <w:t>Developed</w:t>
            </w:r>
            <w:r w:rsidR="00BD4D19">
              <w:rPr>
                <w:rFonts w:ascii="Arial" w:hAnsi="Arial" w:cs="Arial"/>
                <w:i/>
                <w:iCs/>
                <w:color w:val="auto"/>
                <w:sz w:val="16"/>
                <w:szCs w:val="16"/>
              </w:rPr>
              <w:t>’</w:t>
            </w:r>
          </w:p>
        </w:tc>
        <w:tc>
          <w:tcPr>
            <w:tcW w:w="169" w:type="pct"/>
            <w:tcBorders>
              <w:top w:val="nil"/>
              <w:left w:val="nil"/>
              <w:bottom w:val="nil"/>
              <w:right w:val="nil"/>
            </w:tcBorders>
            <w:shd w:val="clear" w:color="auto" w:fill="auto"/>
            <w:noWrap/>
            <w:vAlign w:val="bottom"/>
            <w:hideMark/>
          </w:tcPr>
          <w:p w14:paraId="6C062D34" w14:textId="77777777" w:rsidR="007D0FE9" w:rsidRPr="007D0FE9" w:rsidRDefault="007D0FE9" w:rsidP="007D0FE9">
            <w:pPr>
              <w:spacing w:after="0" w:line="240" w:lineRule="auto"/>
              <w:jc w:val="left"/>
              <w:rPr>
                <w:rFonts w:ascii="Arial" w:hAnsi="Arial" w:cs="Arial"/>
                <w:i/>
                <w:iCs/>
                <w:color w:val="auto"/>
                <w:sz w:val="16"/>
                <w:szCs w:val="16"/>
              </w:rPr>
            </w:pPr>
          </w:p>
        </w:tc>
        <w:tc>
          <w:tcPr>
            <w:tcW w:w="458" w:type="pct"/>
            <w:tcBorders>
              <w:top w:val="nil"/>
              <w:left w:val="nil"/>
              <w:bottom w:val="nil"/>
              <w:right w:val="nil"/>
            </w:tcBorders>
            <w:shd w:val="clear" w:color="auto" w:fill="auto"/>
            <w:noWrap/>
            <w:vAlign w:val="bottom"/>
            <w:hideMark/>
          </w:tcPr>
          <w:p w14:paraId="44011123"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2,008</w:t>
            </w:r>
          </w:p>
        </w:tc>
        <w:tc>
          <w:tcPr>
            <w:tcW w:w="342" w:type="pct"/>
            <w:tcBorders>
              <w:top w:val="nil"/>
              <w:left w:val="nil"/>
              <w:bottom w:val="nil"/>
              <w:right w:val="nil"/>
            </w:tcBorders>
            <w:shd w:val="clear" w:color="auto" w:fill="auto"/>
            <w:noWrap/>
            <w:vAlign w:val="bottom"/>
            <w:hideMark/>
          </w:tcPr>
          <w:p w14:paraId="77FB3F42"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3.0</w:t>
            </w:r>
          </w:p>
        </w:tc>
        <w:tc>
          <w:tcPr>
            <w:tcW w:w="458" w:type="pct"/>
            <w:tcBorders>
              <w:top w:val="nil"/>
              <w:left w:val="nil"/>
              <w:bottom w:val="nil"/>
              <w:right w:val="nil"/>
            </w:tcBorders>
            <w:shd w:val="clear" w:color="auto" w:fill="auto"/>
            <w:noWrap/>
            <w:vAlign w:val="bottom"/>
            <w:hideMark/>
          </w:tcPr>
          <w:p w14:paraId="7CB6B51E"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1,615</w:t>
            </w:r>
          </w:p>
        </w:tc>
        <w:tc>
          <w:tcPr>
            <w:tcW w:w="342" w:type="pct"/>
            <w:tcBorders>
              <w:top w:val="nil"/>
              <w:left w:val="nil"/>
              <w:bottom w:val="nil"/>
              <w:right w:val="nil"/>
            </w:tcBorders>
            <w:shd w:val="clear" w:color="auto" w:fill="auto"/>
            <w:noWrap/>
            <w:vAlign w:val="bottom"/>
            <w:hideMark/>
          </w:tcPr>
          <w:p w14:paraId="084F40B4"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2.4</w:t>
            </w:r>
          </w:p>
        </w:tc>
        <w:tc>
          <w:tcPr>
            <w:tcW w:w="516" w:type="pct"/>
            <w:tcBorders>
              <w:top w:val="nil"/>
              <w:left w:val="nil"/>
              <w:bottom w:val="nil"/>
              <w:right w:val="nil"/>
            </w:tcBorders>
            <w:shd w:val="clear" w:color="auto" w:fill="auto"/>
            <w:noWrap/>
            <w:vAlign w:val="bottom"/>
            <w:hideMark/>
          </w:tcPr>
          <w:p w14:paraId="6371F628" w14:textId="77777777" w:rsidR="007D0FE9" w:rsidRPr="00453670" w:rsidRDefault="007D0FE9" w:rsidP="007D0FE9">
            <w:pPr>
              <w:spacing w:after="0" w:line="240" w:lineRule="auto"/>
              <w:jc w:val="left"/>
              <w:rPr>
                <w:rFonts w:ascii="Arial" w:hAnsi="Arial" w:cs="Arial"/>
                <w:i/>
                <w:iCs/>
                <w:sz w:val="16"/>
                <w:szCs w:val="16"/>
              </w:rPr>
            </w:pPr>
            <w:r w:rsidRPr="00453670">
              <w:rPr>
                <w:rFonts w:ascii="Arial" w:hAnsi="Arial" w:cs="Arial"/>
                <w:i/>
                <w:iCs/>
                <w:sz w:val="16"/>
                <w:szCs w:val="16"/>
              </w:rPr>
              <w:t xml:space="preserve">   1,313 </w:t>
            </w:r>
          </w:p>
        </w:tc>
        <w:tc>
          <w:tcPr>
            <w:tcW w:w="342" w:type="pct"/>
            <w:tcBorders>
              <w:top w:val="single" w:sz="4" w:space="0" w:color="auto"/>
              <w:left w:val="nil"/>
              <w:bottom w:val="nil"/>
              <w:right w:val="nil"/>
            </w:tcBorders>
            <w:shd w:val="clear" w:color="auto" w:fill="auto"/>
            <w:noWrap/>
            <w:vAlign w:val="bottom"/>
            <w:hideMark/>
          </w:tcPr>
          <w:p w14:paraId="25FD4249" w14:textId="77777777" w:rsidR="007D0FE9" w:rsidRPr="00453670" w:rsidRDefault="007D0FE9" w:rsidP="007D0FE9">
            <w:pPr>
              <w:spacing w:after="0" w:line="240" w:lineRule="auto"/>
              <w:jc w:val="right"/>
              <w:rPr>
                <w:rFonts w:ascii="Arial" w:hAnsi="Arial" w:cs="Arial"/>
                <w:i/>
                <w:iCs/>
                <w:sz w:val="16"/>
                <w:szCs w:val="16"/>
              </w:rPr>
            </w:pPr>
            <w:r w:rsidRPr="00453670">
              <w:rPr>
                <w:rFonts w:ascii="Arial" w:hAnsi="Arial" w:cs="Arial"/>
                <w:i/>
                <w:iCs/>
                <w:sz w:val="16"/>
                <w:szCs w:val="16"/>
              </w:rPr>
              <w:t>1.8</w:t>
            </w:r>
          </w:p>
        </w:tc>
        <w:tc>
          <w:tcPr>
            <w:tcW w:w="532" w:type="pct"/>
            <w:tcBorders>
              <w:top w:val="single" w:sz="4" w:space="0" w:color="auto"/>
              <w:left w:val="nil"/>
              <w:bottom w:val="nil"/>
              <w:right w:val="nil"/>
            </w:tcBorders>
            <w:shd w:val="clear" w:color="000000" w:fill="F2F2F2"/>
            <w:noWrap/>
            <w:vAlign w:val="bottom"/>
            <w:hideMark/>
          </w:tcPr>
          <w:p w14:paraId="7FE4B79E"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1,105</w:t>
            </w:r>
          </w:p>
        </w:tc>
        <w:tc>
          <w:tcPr>
            <w:tcW w:w="362" w:type="pct"/>
            <w:tcBorders>
              <w:top w:val="single" w:sz="4" w:space="0" w:color="auto"/>
              <w:left w:val="nil"/>
              <w:bottom w:val="nil"/>
              <w:right w:val="nil"/>
            </w:tcBorders>
            <w:shd w:val="clear" w:color="000000" w:fill="F2F2F2"/>
            <w:noWrap/>
            <w:vAlign w:val="bottom"/>
            <w:hideMark/>
          </w:tcPr>
          <w:p w14:paraId="04652515"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4.6</w:t>
            </w:r>
          </w:p>
        </w:tc>
      </w:tr>
      <w:tr w:rsidR="007D0FE9" w:rsidRPr="007D0FE9" w14:paraId="6114ED63" w14:textId="77777777" w:rsidTr="00034B5E">
        <w:trPr>
          <w:trHeight w:val="225"/>
        </w:trPr>
        <w:tc>
          <w:tcPr>
            <w:tcW w:w="1479" w:type="pct"/>
            <w:tcBorders>
              <w:top w:val="nil"/>
              <w:left w:val="nil"/>
              <w:bottom w:val="nil"/>
              <w:right w:val="nil"/>
            </w:tcBorders>
            <w:shd w:val="clear" w:color="auto" w:fill="auto"/>
            <w:noWrap/>
            <w:vAlign w:val="bottom"/>
            <w:hideMark/>
          </w:tcPr>
          <w:p w14:paraId="0633AEEE" w14:textId="77777777" w:rsidR="007D0FE9" w:rsidRPr="007D0FE9" w:rsidRDefault="007D0FE9" w:rsidP="007D0FE9">
            <w:pPr>
              <w:spacing w:after="0" w:line="240" w:lineRule="auto"/>
              <w:jc w:val="left"/>
              <w:rPr>
                <w:rFonts w:ascii="Arial" w:hAnsi="Arial" w:cs="Arial"/>
                <w:color w:val="auto"/>
                <w:sz w:val="16"/>
                <w:szCs w:val="16"/>
                <w:u w:val="single"/>
              </w:rPr>
            </w:pPr>
            <w:r w:rsidRPr="007D0FE9">
              <w:rPr>
                <w:rFonts w:ascii="Arial" w:hAnsi="Arial" w:cs="Arial"/>
                <w:color w:val="auto"/>
                <w:sz w:val="16"/>
                <w:szCs w:val="16"/>
                <w:u w:val="single"/>
              </w:rPr>
              <w:t>For development</w:t>
            </w:r>
          </w:p>
        </w:tc>
        <w:tc>
          <w:tcPr>
            <w:tcW w:w="169" w:type="pct"/>
            <w:tcBorders>
              <w:top w:val="nil"/>
              <w:left w:val="nil"/>
              <w:bottom w:val="nil"/>
              <w:right w:val="nil"/>
            </w:tcBorders>
            <w:shd w:val="clear" w:color="auto" w:fill="auto"/>
            <w:noWrap/>
            <w:vAlign w:val="bottom"/>
            <w:hideMark/>
          </w:tcPr>
          <w:p w14:paraId="07CA9D15" w14:textId="77777777" w:rsidR="007D0FE9" w:rsidRPr="007D0FE9" w:rsidRDefault="007D0FE9" w:rsidP="007D0FE9">
            <w:pPr>
              <w:spacing w:after="0" w:line="240" w:lineRule="auto"/>
              <w:jc w:val="left"/>
              <w:rPr>
                <w:rFonts w:ascii="Arial" w:hAnsi="Arial" w:cs="Arial"/>
                <w:color w:val="auto"/>
                <w:sz w:val="16"/>
                <w:szCs w:val="16"/>
                <w:u w:val="single"/>
              </w:rPr>
            </w:pPr>
          </w:p>
        </w:tc>
        <w:tc>
          <w:tcPr>
            <w:tcW w:w="458" w:type="pct"/>
            <w:tcBorders>
              <w:top w:val="nil"/>
              <w:left w:val="nil"/>
              <w:bottom w:val="nil"/>
              <w:right w:val="nil"/>
            </w:tcBorders>
            <w:shd w:val="clear" w:color="auto" w:fill="auto"/>
            <w:noWrap/>
            <w:vAlign w:val="bottom"/>
            <w:hideMark/>
          </w:tcPr>
          <w:p w14:paraId="02F8E016"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20B95AF9" w14:textId="77777777" w:rsidR="007D0FE9" w:rsidRPr="007D0FE9" w:rsidRDefault="007D0FE9" w:rsidP="007D0FE9">
            <w:pPr>
              <w:spacing w:after="0" w:line="240" w:lineRule="auto"/>
              <w:jc w:val="right"/>
              <w:rPr>
                <w:rFonts w:ascii="Times New Roman" w:hAnsi="Times New Roman"/>
                <w:color w:val="auto"/>
              </w:rPr>
            </w:pPr>
          </w:p>
        </w:tc>
        <w:tc>
          <w:tcPr>
            <w:tcW w:w="458" w:type="pct"/>
            <w:tcBorders>
              <w:top w:val="nil"/>
              <w:left w:val="nil"/>
              <w:bottom w:val="nil"/>
              <w:right w:val="nil"/>
            </w:tcBorders>
            <w:shd w:val="clear" w:color="auto" w:fill="auto"/>
            <w:noWrap/>
            <w:vAlign w:val="bottom"/>
            <w:hideMark/>
          </w:tcPr>
          <w:p w14:paraId="01E3D808"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1CE35FA9" w14:textId="77777777" w:rsidR="007D0FE9" w:rsidRPr="007D0FE9" w:rsidRDefault="007D0FE9" w:rsidP="007D0FE9">
            <w:pPr>
              <w:spacing w:after="0" w:line="240" w:lineRule="auto"/>
              <w:jc w:val="right"/>
              <w:rPr>
                <w:rFonts w:ascii="Times New Roman" w:hAnsi="Times New Roman"/>
                <w:color w:val="auto"/>
              </w:rPr>
            </w:pPr>
          </w:p>
        </w:tc>
        <w:tc>
          <w:tcPr>
            <w:tcW w:w="516" w:type="pct"/>
            <w:tcBorders>
              <w:top w:val="nil"/>
              <w:left w:val="nil"/>
              <w:bottom w:val="nil"/>
              <w:right w:val="nil"/>
            </w:tcBorders>
            <w:shd w:val="clear" w:color="auto" w:fill="auto"/>
            <w:noWrap/>
            <w:vAlign w:val="bottom"/>
            <w:hideMark/>
          </w:tcPr>
          <w:p w14:paraId="59D98513"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08D320F8" w14:textId="77777777" w:rsidR="007D0FE9" w:rsidRPr="007D0FE9" w:rsidRDefault="007D0FE9" w:rsidP="007D0FE9">
            <w:pPr>
              <w:spacing w:after="0" w:line="240" w:lineRule="auto"/>
              <w:jc w:val="left"/>
              <w:rPr>
                <w:rFonts w:ascii="Times New Roman" w:hAnsi="Times New Roman"/>
                <w:color w:val="auto"/>
              </w:rPr>
            </w:pPr>
          </w:p>
        </w:tc>
        <w:tc>
          <w:tcPr>
            <w:tcW w:w="532" w:type="pct"/>
            <w:tcBorders>
              <w:top w:val="nil"/>
              <w:left w:val="nil"/>
              <w:bottom w:val="nil"/>
              <w:right w:val="nil"/>
            </w:tcBorders>
            <w:shd w:val="clear" w:color="000000" w:fill="F2F2F2"/>
            <w:noWrap/>
            <w:vAlign w:val="bottom"/>
            <w:hideMark/>
          </w:tcPr>
          <w:p w14:paraId="26A46F43"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 </w:t>
            </w:r>
          </w:p>
        </w:tc>
        <w:tc>
          <w:tcPr>
            <w:tcW w:w="362" w:type="pct"/>
            <w:tcBorders>
              <w:top w:val="nil"/>
              <w:left w:val="nil"/>
              <w:bottom w:val="nil"/>
              <w:right w:val="nil"/>
            </w:tcBorders>
            <w:shd w:val="clear" w:color="000000" w:fill="F2F2F2"/>
            <w:noWrap/>
            <w:vAlign w:val="bottom"/>
            <w:hideMark/>
          </w:tcPr>
          <w:p w14:paraId="0D4D146A"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 </w:t>
            </w:r>
          </w:p>
        </w:tc>
      </w:tr>
      <w:tr w:rsidR="007D0FE9" w:rsidRPr="007D0FE9" w14:paraId="336E4DF2" w14:textId="77777777" w:rsidTr="00034B5E">
        <w:trPr>
          <w:trHeight w:val="225"/>
        </w:trPr>
        <w:tc>
          <w:tcPr>
            <w:tcW w:w="1479" w:type="pct"/>
            <w:tcBorders>
              <w:top w:val="nil"/>
              <w:left w:val="nil"/>
              <w:bottom w:val="nil"/>
              <w:right w:val="nil"/>
            </w:tcBorders>
            <w:shd w:val="clear" w:color="auto" w:fill="auto"/>
            <w:noWrap/>
            <w:vAlign w:val="bottom"/>
            <w:hideMark/>
          </w:tcPr>
          <w:p w14:paraId="7AE3E8B8" w14:textId="1E086C20" w:rsidR="007D0FE9" w:rsidRPr="007D0FE9" w:rsidRDefault="00BD4D19" w:rsidP="007D0FE9">
            <w:pPr>
              <w:spacing w:after="0" w:line="240" w:lineRule="auto"/>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Vacant land</w:t>
            </w:r>
          </w:p>
        </w:tc>
        <w:tc>
          <w:tcPr>
            <w:tcW w:w="169" w:type="pct"/>
            <w:tcBorders>
              <w:top w:val="nil"/>
              <w:left w:val="nil"/>
              <w:bottom w:val="nil"/>
              <w:right w:val="nil"/>
            </w:tcBorders>
            <w:shd w:val="clear" w:color="auto" w:fill="auto"/>
            <w:noWrap/>
            <w:vAlign w:val="bottom"/>
            <w:hideMark/>
          </w:tcPr>
          <w:p w14:paraId="1463E16B" w14:textId="77777777" w:rsidR="007D0FE9" w:rsidRPr="007D0FE9" w:rsidRDefault="007D0FE9" w:rsidP="007D0FE9">
            <w:pPr>
              <w:spacing w:after="0" w:line="240" w:lineRule="auto"/>
              <w:jc w:val="left"/>
              <w:rPr>
                <w:rFonts w:ascii="Arial" w:hAnsi="Arial" w:cs="Arial"/>
                <w:color w:val="auto"/>
                <w:sz w:val="16"/>
                <w:szCs w:val="16"/>
              </w:rPr>
            </w:pPr>
          </w:p>
        </w:tc>
        <w:tc>
          <w:tcPr>
            <w:tcW w:w="458" w:type="pct"/>
            <w:tcBorders>
              <w:top w:val="nil"/>
              <w:left w:val="nil"/>
              <w:bottom w:val="nil"/>
              <w:right w:val="nil"/>
            </w:tcBorders>
            <w:shd w:val="clear" w:color="auto" w:fill="auto"/>
            <w:noWrap/>
            <w:vAlign w:val="bottom"/>
            <w:hideMark/>
          </w:tcPr>
          <w:p w14:paraId="56CB820A" w14:textId="77777777" w:rsidR="007D0FE9" w:rsidRPr="007D0FE9" w:rsidRDefault="007D0FE9" w:rsidP="007D0FE9">
            <w:pPr>
              <w:spacing w:after="0" w:line="240" w:lineRule="auto"/>
              <w:jc w:val="lef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58488E00" w14:textId="77777777" w:rsidR="007D0FE9" w:rsidRPr="007D0FE9" w:rsidRDefault="007D0FE9" w:rsidP="007D0FE9">
            <w:pPr>
              <w:spacing w:after="0" w:line="240" w:lineRule="auto"/>
              <w:jc w:val="right"/>
              <w:rPr>
                <w:rFonts w:ascii="Times New Roman" w:hAnsi="Times New Roman"/>
                <w:color w:val="auto"/>
              </w:rPr>
            </w:pPr>
          </w:p>
        </w:tc>
        <w:tc>
          <w:tcPr>
            <w:tcW w:w="458" w:type="pct"/>
            <w:tcBorders>
              <w:top w:val="nil"/>
              <w:left w:val="nil"/>
              <w:bottom w:val="nil"/>
              <w:right w:val="nil"/>
            </w:tcBorders>
            <w:shd w:val="clear" w:color="auto" w:fill="auto"/>
            <w:noWrap/>
            <w:vAlign w:val="bottom"/>
            <w:hideMark/>
          </w:tcPr>
          <w:p w14:paraId="727C8411"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2DE379DC" w14:textId="77777777" w:rsidR="007D0FE9" w:rsidRPr="007D0FE9" w:rsidRDefault="007D0FE9" w:rsidP="007D0FE9">
            <w:pPr>
              <w:spacing w:after="0" w:line="240" w:lineRule="auto"/>
              <w:jc w:val="right"/>
              <w:rPr>
                <w:rFonts w:ascii="Times New Roman" w:hAnsi="Times New Roman"/>
                <w:color w:val="auto"/>
              </w:rPr>
            </w:pPr>
          </w:p>
        </w:tc>
        <w:tc>
          <w:tcPr>
            <w:tcW w:w="516" w:type="pct"/>
            <w:tcBorders>
              <w:top w:val="nil"/>
              <w:left w:val="nil"/>
              <w:bottom w:val="nil"/>
              <w:right w:val="nil"/>
            </w:tcBorders>
            <w:shd w:val="clear" w:color="auto" w:fill="auto"/>
            <w:noWrap/>
            <w:vAlign w:val="bottom"/>
            <w:hideMark/>
          </w:tcPr>
          <w:p w14:paraId="0AC6C62A"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06ACF98D" w14:textId="77777777" w:rsidR="007D0FE9" w:rsidRPr="007D0FE9" w:rsidRDefault="007D0FE9" w:rsidP="007D0FE9">
            <w:pPr>
              <w:spacing w:after="0" w:line="240" w:lineRule="auto"/>
              <w:jc w:val="left"/>
              <w:rPr>
                <w:rFonts w:ascii="Times New Roman" w:hAnsi="Times New Roman"/>
                <w:color w:val="auto"/>
              </w:rPr>
            </w:pPr>
          </w:p>
        </w:tc>
        <w:tc>
          <w:tcPr>
            <w:tcW w:w="532" w:type="pct"/>
            <w:tcBorders>
              <w:top w:val="nil"/>
              <w:left w:val="nil"/>
              <w:bottom w:val="nil"/>
              <w:right w:val="nil"/>
            </w:tcBorders>
            <w:shd w:val="clear" w:color="000000" w:fill="F2F2F2"/>
            <w:noWrap/>
            <w:vAlign w:val="bottom"/>
            <w:hideMark/>
          </w:tcPr>
          <w:p w14:paraId="34EE43DB"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 </w:t>
            </w:r>
          </w:p>
        </w:tc>
        <w:tc>
          <w:tcPr>
            <w:tcW w:w="362" w:type="pct"/>
            <w:tcBorders>
              <w:top w:val="nil"/>
              <w:left w:val="nil"/>
              <w:bottom w:val="nil"/>
              <w:right w:val="nil"/>
            </w:tcBorders>
            <w:shd w:val="clear" w:color="000000" w:fill="F2F2F2"/>
            <w:noWrap/>
            <w:vAlign w:val="bottom"/>
            <w:hideMark/>
          </w:tcPr>
          <w:p w14:paraId="33ADF3CA"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 </w:t>
            </w:r>
          </w:p>
        </w:tc>
      </w:tr>
      <w:tr w:rsidR="007D0FE9" w:rsidRPr="007D0FE9" w14:paraId="7AD859CA" w14:textId="77777777" w:rsidTr="00581E71">
        <w:trPr>
          <w:trHeight w:val="225"/>
        </w:trPr>
        <w:tc>
          <w:tcPr>
            <w:tcW w:w="1479" w:type="pct"/>
            <w:tcBorders>
              <w:top w:val="nil"/>
              <w:left w:val="nil"/>
              <w:bottom w:val="nil"/>
              <w:right w:val="nil"/>
            </w:tcBorders>
            <w:shd w:val="clear" w:color="auto" w:fill="auto"/>
            <w:noWrap/>
            <w:vAlign w:val="bottom"/>
            <w:hideMark/>
          </w:tcPr>
          <w:p w14:paraId="29B11448" w14:textId="69CCA40C" w:rsidR="007D0FE9" w:rsidRPr="007D0FE9" w:rsidRDefault="00BD4D19" w:rsidP="007D0FE9">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Individual purchases</w:t>
            </w:r>
          </w:p>
        </w:tc>
        <w:tc>
          <w:tcPr>
            <w:tcW w:w="169" w:type="pct"/>
            <w:tcBorders>
              <w:top w:val="nil"/>
              <w:left w:val="nil"/>
              <w:bottom w:val="nil"/>
              <w:right w:val="nil"/>
            </w:tcBorders>
            <w:shd w:val="clear" w:color="auto" w:fill="auto"/>
            <w:noWrap/>
            <w:vAlign w:val="bottom"/>
            <w:hideMark/>
          </w:tcPr>
          <w:p w14:paraId="0963E00E" w14:textId="77777777" w:rsidR="007D0FE9" w:rsidRPr="007D0FE9" w:rsidRDefault="007D0FE9" w:rsidP="007D0FE9">
            <w:pPr>
              <w:spacing w:after="0" w:line="240" w:lineRule="auto"/>
              <w:ind w:firstLineChars="100" w:firstLine="160"/>
              <w:jc w:val="left"/>
              <w:rPr>
                <w:rFonts w:ascii="Arial" w:hAnsi="Arial" w:cs="Arial"/>
                <w:color w:val="auto"/>
                <w:sz w:val="16"/>
                <w:szCs w:val="16"/>
              </w:rPr>
            </w:pPr>
          </w:p>
        </w:tc>
        <w:tc>
          <w:tcPr>
            <w:tcW w:w="458" w:type="pct"/>
            <w:tcBorders>
              <w:top w:val="nil"/>
              <w:left w:val="nil"/>
              <w:bottom w:val="nil"/>
              <w:right w:val="nil"/>
            </w:tcBorders>
            <w:shd w:val="clear" w:color="auto" w:fill="auto"/>
            <w:noWrap/>
            <w:vAlign w:val="bottom"/>
            <w:hideMark/>
          </w:tcPr>
          <w:p w14:paraId="57974104"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2,911</w:t>
            </w:r>
          </w:p>
        </w:tc>
        <w:tc>
          <w:tcPr>
            <w:tcW w:w="342" w:type="pct"/>
            <w:tcBorders>
              <w:top w:val="nil"/>
              <w:left w:val="nil"/>
              <w:bottom w:val="nil"/>
              <w:right w:val="nil"/>
            </w:tcBorders>
            <w:shd w:val="clear" w:color="auto" w:fill="auto"/>
            <w:noWrap/>
            <w:vAlign w:val="bottom"/>
            <w:hideMark/>
          </w:tcPr>
          <w:p w14:paraId="60A61EAD"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1.1</w:t>
            </w:r>
          </w:p>
        </w:tc>
        <w:tc>
          <w:tcPr>
            <w:tcW w:w="458" w:type="pct"/>
            <w:tcBorders>
              <w:top w:val="nil"/>
              <w:left w:val="nil"/>
              <w:bottom w:val="nil"/>
              <w:right w:val="nil"/>
            </w:tcBorders>
            <w:shd w:val="clear" w:color="auto" w:fill="auto"/>
            <w:noWrap/>
            <w:vAlign w:val="bottom"/>
            <w:hideMark/>
          </w:tcPr>
          <w:p w14:paraId="5FF3C616" w14:textId="77777777" w:rsidR="007D0FE9" w:rsidRPr="007D0FE9" w:rsidRDefault="007D0FE9" w:rsidP="007D0FE9">
            <w:pPr>
              <w:spacing w:after="0" w:line="240" w:lineRule="auto"/>
              <w:jc w:val="right"/>
              <w:rPr>
                <w:rFonts w:ascii="Arial" w:hAnsi="Arial" w:cs="Arial"/>
                <w:i/>
                <w:iCs/>
                <w:color w:val="auto"/>
                <w:sz w:val="16"/>
                <w:szCs w:val="16"/>
              </w:rPr>
            </w:pPr>
            <w:r w:rsidRPr="007D0FE9">
              <w:rPr>
                <w:rFonts w:ascii="Arial" w:hAnsi="Arial" w:cs="Arial"/>
                <w:i/>
                <w:iCs/>
                <w:color w:val="auto"/>
                <w:sz w:val="16"/>
                <w:szCs w:val="16"/>
              </w:rPr>
              <w:t>2,281</w:t>
            </w:r>
          </w:p>
        </w:tc>
        <w:tc>
          <w:tcPr>
            <w:tcW w:w="342" w:type="pct"/>
            <w:tcBorders>
              <w:top w:val="nil"/>
              <w:left w:val="nil"/>
              <w:bottom w:val="nil"/>
              <w:right w:val="nil"/>
            </w:tcBorders>
            <w:shd w:val="clear" w:color="auto" w:fill="auto"/>
            <w:noWrap/>
            <w:vAlign w:val="bottom"/>
            <w:hideMark/>
          </w:tcPr>
          <w:p w14:paraId="260321C5" w14:textId="77777777" w:rsidR="007D0FE9" w:rsidRPr="007D0FE9" w:rsidRDefault="007D0FE9" w:rsidP="007D0FE9">
            <w:pPr>
              <w:spacing w:after="0" w:line="240" w:lineRule="auto"/>
              <w:jc w:val="right"/>
              <w:rPr>
                <w:rFonts w:ascii="Arial" w:hAnsi="Arial" w:cs="Arial"/>
                <w:i/>
                <w:iCs/>
                <w:color w:val="auto"/>
                <w:sz w:val="16"/>
                <w:szCs w:val="16"/>
              </w:rPr>
            </w:pPr>
            <w:r w:rsidRPr="007D0FE9">
              <w:rPr>
                <w:rFonts w:ascii="Arial" w:hAnsi="Arial" w:cs="Arial"/>
                <w:i/>
                <w:iCs/>
                <w:color w:val="auto"/>
                <w:sz w:val="16"/>
                <w:szCs w:val="16"/>
              </w:rPr>
              <w:t>0.9</w:t>
            </w:r>
          </w:p>
        </w:tc>
        <w:tc>
          <w:tcPr>
            <w:tcW w:w="516" w:type="pct"/>
            <w:tcBorders>
              <w:top w:val="nil"/>
              <w:left w:val="nil"/>
              <w:bottom w:val="nil"/>
              <w:right w:val="nil"/>
            </w:tcBorders>
            <w:shd w:val="clear" w:color="auto" w:fill="auto"/>
            <w:noWrap/>
            <w:vAlign w:val="bottom"/>
            <w:hideMark/>
          </w:tcPr>
          <w:p w14:paraId="61334BFF"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xml:space="preserve">   1,745 </w:t>
            </w:r>
          </w:p>
        </w:tc>
        <w:tc>
          <w:tcPr>
            <w:tcW w:w="342" w:type="pct"/>
            <w:tcBorders>
              <w:top w:val="nil"/>
              <w:left w:val="nil"/>
              <w:right w:val="nil"/>
            </w:tcBorders>
            <w:shd w:val="clear" w:color="auto" w:fill="auto"/>
            <w:noWrap/>
            <w:vAlign w:val="bottom"/>
            <w:hideMark/>
          </w:tcPr>
          <w:p w14:paraId="07F74FC7" w14:textId="77777777" w:rsidR="007D0FE9" w:rsidRPr="007D0FE9" w:rsidRDefault="007D0FE9" w:rsidP="007D0FE9">
            <w:pPr>
              <w:spacing w:after="0" w:line="240" w:lineRule="auto"/>
              <w:jc w:val="right"/>
              <w:rPr>
                <w:rFonts w:ascii="Arial" w:hAnsi="Arial" w:cs="Arial"/>
                <w:sz w:val="16"/>
                <w:szCs w:val="16"/>
              </w:rPr>
            </w:pPr>
            <w:r w:rsidRPr="007D0FE9">
              <w:rPr>
                <w:rFonts w:ascii="Arial" w:hAnsi="Arial" w:cs="Arial"/>
                <w:sz w:val="16"/>
                <w:szCs w:val="16"/>
              </w:rPr>
              <w:t>0.7</w:t>
            </w:r>
          </w:p>
        </w:tc>
        <w:tc>
          <w:tcPr>
            <w:tcW w:w="532" w:type="pct"/>
            <w:tcBorders>
              <w:top w:val="nil"/>
              <w:left w:val="nil"/>
              <w:right w:val="nil"/>
            </w:tcBorders>
            <w:shd w:val="clear" w:color="000000" w:fill="F2F2F2"/>
            <w:noWrap/>
            <w:vAlign w:val="bottom"/>
            <w:hideMark/>
          </w:tcPr>
          <w:p w14:paraId="35BC4C7A"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1,520</w:t>
            </w:r>
          </w:p>
        </w:tc>
        <w:tc>
          <w:tcPr>
            <w:tcW w:w="362" w:type="pct"/>
            <w:tcBorders>
              <w:top w:val="nil"/>
              <w:left w:val="nil"/>
              <w:right w:val="nil"/>
            </w:tcBorders>
            <w:shd w:val="clear" w:color="000000" w:fill="F2F2F2"/>
            <w:noWrap/>
            <w:vAlign w:val="bottom"/>
            <w:hideMark/>
          </w:tcPr>
          <w:p w14:paraId="13CEAD3B"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0.6</w:t>
            </w:r>
          </w:p>
        </w:tc>
      </w:tr>
      <w:tr w:rsidR="007D0FE9" w:rsidRPr="007D0FE9" w14:paraId="59128384" w14:textId="77777777" w:rsidTr="00581E71">
        <w:trPr>
          <w:trHeight w:val="225"/>
        </w:trPr>
        <w:tc>
          <w:tcPr>
            <w:tcW w:w="1479" w:type="pct"/>
            <w:tcBorders>
              <w:top w:val="nil"/>
              <w:left w:val="nil"/>
              <w:bottom w:val="nil"/>
              <w:right w:val="nil"/>
            </w:tcBorders>
            <w:shd w:val="clear" w:color="auto" w:fill="auto"/>
            <w:noWrap/>
            <w:vAlign w:val="bottom"/>
            <w:hideMark/>
          </w:tcPr>
          <w:p w14:paraId="58F9A4C6" w14:textId="2058365B" w:rsidR="007D0FE9" w:rsidRPr="007D0FE9" w:rsidRDefault="00BD4D19" w:rsidP="007D0FE9">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Single purchase EC</w:t>
            </w:r>
          </w:p>
        </w:tc>
        <w:tc>
          <w:tcPr>
            <w:tcW w:w="169" w:type="pct"/>
            <w:tcBorders>
              <w:top w:val="nil"/>
              <w:left w:val="nil"/>
              <w:bottom w:val="nil"/>
              <w:right w:val="nil"/>
            </w:tcBorders>
            <w:shd w:val="clear" w:color="auto" w:fill="auto"/>
            <w:noWrap/>
            <w:vAlign w:val="bottom"/>
            <w:hideMark/>
          </w:tcPr>
          <w:p w14:paraId="7C332CA6" w14:textId="77777777" w:rsidR="007D0FE9" w:rsidRPr="007D0FE9" w:rsidRDefault="007D0FE9" w:rsidP="007D0FE9">
            <w:pPr>
              <w:spacing w:after="0" w:line="240" w:lineRule="auto"/>
              <w:ind w:firstLineChars="100" w:firstLine="160"/>
              <w:jc w:val="left"/>
              <w:rPr>
                <w:rFonts w:ascii="Arial" w:hAnsi="Arial" w:cs="Arial"/>
                <w:color w:val="auto"/>
                <w:sz w:val="16"/>
                <w:szCs w:val="16"/>
              </w:rPr>
            </w:pPr>
          </w:p>
        </w:tc>
        <w:tc>
          <w:tcPr>
            <w:tcW w:w="458" w:type="pct"/>
            <w:tcBorders>
              <w:top w:val="nil"/>
              <w:left w:val="nil"/>
              <w:bottom w:val="single" w:sz="4" w:space="0" w:color="auto"/>
              <w:right w:val="nil"/>
            </w:tcBorders>
            <w:shd w:val="clear" w:color="auto" w:fill="auto"/>
            <w:noWrap/>
            <w:vAlign w:val="bottom"/>
            <w:hideMark/>
          </w:tcPr>
          <w:p w14:paraId="5244CBA6" w14:textId="77777777" w:rsidR="007D0FE9" w:rsidRPr="007D0FE9" w:rsidRDefault="007D0FE9" w:rsidP="007D0FE9">
            <w:pPr>
              <w:spacing w:after="0" w:line="240" w:lineRule="auto"/>
              <w:jc w:val="right"/>
              <w:rPr>
                <w:rFonts w:ascii="Arial" w:hAnsi="Arial" w:cs="Arial"/>
                <w:color w:val="auto"/>
                <w:sz w:val="16"/>
                <w:szCs w:val="16"/>
              </w:rPr>
            </w:pPr>
            <w:proofErr w:type="spellStart"/>
            <w:r w:rsidRPr="007D0FE9">
              <w:rPr>
                <w:rFonts w:ascii="Arial" w:hAnsi="Arial" w:cs="Arial"/>
                <w:color w:val="auto"/>
                <w:sz w:val="16"/>
                <w:szCs w:val="16"/>
              </w:rPr>
              <w:t>na</w:t>
            </w:r>
            <w:proofErr w:type="spellEnd"/>
          </w:p>
        </w:tc>
        <w:tc>
          <w:tcPr>
            <w:tcW w:w="342" w:type="pct"/>
            <w:tcBorders>
              <w:top w:val="nil"/>
              <w:left w:val="nil"/>
              <w:bottom w:val="single" w:sz="4" w:space="0" w:color="auto"/>
              <w:right w:val="nil"/>
            </w:tcBorders>
            <w:shd w:val="clear" w:color="auto" w:fill="auto"/>
            <w:noWrap/>
            <w:vAlign w:val="bottom"/>
            <w:hideMark/>
          </w:tcPr>
          <w:p w14:paraId="34457626"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0.0</w:t>
            </w:r>
          </w:p>
        </w:tc>
        <w:tc>
          <w:tcPr>
            <w:tcW w:w="458" w:type="pct"/>
            <w:tcBorders>
              <w:top w:val="nil"/>
              <w:left w:val="nil"/>
              <w:bottom w:val="single" w:sz="4" w:space="0" w:color="auto"/>
              <w:right w:val="nil"/>
            </w:tcBorders>
            <w:shd w:val="clear" w:color="auto" w:fill="auto"/>
            <w:noWrap/>
            <w:vAlign w:val="bottom"/>
            <w:hideMark/>
          </w:tcPr>
          <w:p w14:paraId="67D25749"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118</w:t>
            </w:r>
          </w:p>
        </w:tc>
        <w:tc>
          <w:tcPr>
            <w:tcW w:w="342" w:type="pct"/>
            <w:tcBorders>
              <w:top w:val="nil"/>
              <w:left w:val="nil"/>
              <w:bottom w:val="single" w:sz="4" w:space="0" w:color="auto"/>
              <w:right w:val="nil"/>
            </w:tcBorders>
            <w:shd w:val="clear" w:color="auto" w:fill="auto"/>
            <w:noWrap/>
            <w:vAlign w:val="bottom"/>
            <w:hideMark/>
          </w:tcPr>
          <w:p w14:paraId="0B6B704D"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0.1</w:t>
            </w:r>
          </w:p>
        </w:tc>
        <w:tc>
          <w:tcPr>
            <w:tcW w:w="516" w:type="pct"/>
            <w:tcBorders>
              <w:top w:val="nil"/>
              <w:left w:val="nil"/>
              <w:bottom w:val="single" w:sz="4" w:space="0" w:color="auto"/>
              <w:right w:val="nil"/>
            </w:tcBorders>
            <w:shd w:val="clear" w:color="auto" w:fill="auto"/>
            <w:noWrap/>
            <w:vAlign w:val="bottom"/>
            <w:hideMark/>
          </w:tcPr>
          <w:p w14:paraId="33BFF937"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39</w:t>
            </w:r>
          </w:p>
        </w:tc>
        <w:tc>
          <w:tcPr>
            <w:tcW w:w="342" w:type="pct"/>
            <w:tcBorders>
              <w:top w:val="nil"/>
              <w:left w:val="nil"/>
              <w:bottom w:val="single" w:sz="4" w:space="0" w:color="auto"/>
              <w:right w:val="nil"/>
            </w:tcBorders>
            <w:shd w:val="clear" w:color="auto" w:fill="auto"/>
            <w:noWrap/>
            <w:vAlign w:val="bottom"/>
            <w:hideMark/>
          </w:tcPr>
          <w:p w14:paraId="66C87225"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0.0</w:t>
            </w:r>
          </w:p>
        </w:tc>
        <w:tc>
          <w:tcPr>
            <w:tcW w:w="532" w:type="pct"/>
            <w:tcBorders>
              <w:top w:val="nil"/>
              <w:left w:val="nil"/>
              <w:bottom w:val="single" w:sz="4" w:space="0" w:color="auto"/>
              <w:right w:val="nil"/>
            </w:tcBorders>
            <w:shd w:val="clear" w:color="000000" w:fill="F2F2F2"/>
            <w:noWrap/>
            <w:vAlign w:val="bottom"/>
            <w:hideMark/>
          </w:tcPr>
          <w:p w14:paraId="32CFD401"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58</w:t>
            </w:r>
          </w:p>
        </w:tc>
        <w:tc>
          <w:tcPr>
            <w:tcW w:w="362" w:type="pct"/>
            <w:tcBorders>
              <w:top w:val="nil"/>
              <w:left w:val="nil"/>
              <w:bottom w:val="single" w:sz="4" w:space="0" w:color="auto"/>
              <w:right w:val="nil"/>
            </w:tcBorders>
            <w:shd w:val="clear" w:color="000000" w:fill="F2F2F2"/>
            <w:noWrap/>
            <w:vAlign w:val="bottom"/>
            <w:hideMark/>
          </w:tcPr>
          <w:p w14:paraId="6A04E6AE"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0.0</w:t>
            </w:r>
          </w:p>
        </w:tc>
      </w:tr>
      <w:tr w:rsidR="007D0FE9" w:rsidRPr="007D0FE9" w14:paraId="695AF73B" w14:textId="77777777" w:rsidTr="00581E71">
        <w:trPr>
          <w:trHeight w:val="225"/>
        </w:trPr>
        <w:tc>
          <w:tcPr>
            <w:tcW w:w="1479" w:type="pct"/>
            <w:tcBorders>
              <w:top w:val="nil"/>
              <w:left w:val="nil"/>
              <w:bottom w:val="nil"/>
              <w:right w:val="nil"/>
            </w:tcBorders>
            <w:shd w:val="clear" w:color="auto" w:fill="auto"/>
            <w:noWrap/>
            <w:vAlign w:val="bottom"/>
            <w:hideMark/>
          </w:tcPr>
          <w:p w14:paraId="364C44C8" w14:textId="1AB3C422" w:rsidR="007D0FE9" w:rsidRPr="007D0FE9" w:rsidRDefault="007D0FE9" w:rsidP="007D0FE9">
            <w:pPr>
              <w:spacing w:after="0" w:line="240" w:lineRule="auto"/>
              <w:jc w:val="left"/>
              <w:rPr>
                <w:rFonts w:ascii="Arial" w:hAnsi="Arial" w:cs="Arial"/>
                <w:i/>
                <w:iCs/>
                <w:color w:val="auto"/>
                <w:sz w:val="16"/>
                <w:szCs w:val="16"/>
              </w:rPr>
            </w:pPr>
            <w:r w:rsidRPr="007D0FE9">
              <w:rPr>
                <w:rFonts w:ascii="Arial" w:hAnsi="Arial" w:cs="Arial"/>
                <w:i/>
                <w:iCs/>
                <w:color w:val="auto"/>
                <w:sz w:val="16"/>
                <w:szCs w:val="16"/>
              </w:rPr>
              <w:t>Sub</w:t>
            </w:r>
            <w:r w:rsidR="00BD4D19">
              <w:rPr>
                <w:rFonts w:ascii="Arial" w:hAnsi="Arial" w:cs="Arial"/>
                <w:i/>
                <w:iCs/>
                <w:color w:val="auto"/>
                <w:sz w:val="16"/>
                <w:szCs w:val="16"/>
              </w:rPr>
              <w:noBreakHyphen/>
            </w:r>
            <w:r w:rsidRPr="007D0FE9">
              <w:rPr>
                <w:rFonts w:ascii="Arial" w:hAnsi="Arial" w:cs="Arial"/>
                <w:i/>
                <w:iCs/>
                <w:color w:val="auto"/>
                <w:sz w:val="16"/>
                <w:szCs w:val="16"/>
              </w:rPr>
              <w:t xml:space="preserve">total </w:t>
            </w:r>
            <w:r w:rsidR="00BD4D19">
              <w:rPr>
                <w:rFonts w:ascii="Arial" w:hAnsi="Arial" w:cs="Arial"/>
                <w:i/>
                <w:iCs/>
                <w:color w:val="auto"/>
                <w:sz w:val="16"/>
                <w:szCs w:val="16"/>
              </w:rPr>
              <w:t>‘</w:t>
            </w:r>
            <w:r w:rsidRPr="007D0FE9">
              <w:rPr>
                <w:rFonts w:ascii="Arial" w:hAnsi="Arial" w:cs="Arial"/>
                <w:i/>
                <w:iCs/>
                <w:color w:val="auto"/>
                <w:sz w:val="16"/>
                <w:szCs w:val="16"/>
              </w:rPr>
              <w:t>Vacant land</w:t>
            </w:r>
            <w:r w:rsidR="00BD4D19">
              <w:rPr>
                <w:rFonts w:ascii="Arial" w:hAnsi="Arial" w:cs="Arial"/>
                <w:i/>
                <w:iCs/>
                <w:color w:val="auto"/>
                <w:sz w:val="16"/>
                <w:szCs w:val="16"/>
              </w:rPr>
              <w:t>’</w:t>
            </w:r>
          </w:p>
        </w:tc>
        <w:tc>
          <w:tcPr>
            <w:tcW w:w="169" w:type="pct"/>
            <w:tcBorders>
              <w:top w:val="nil"/>
              <w:left w:val="nil"/>
              <w:bottom w:val="nil"/>
              <w:right w:val="nil"/>
            </w:tcBorders>
            <w:shd w:val="clear" w:color="auto" w:fill="auto"/>
            <w:noWrap/>
            <w:vAlign w:val="bottom"/>
            <w:hideMark/>
          </w:tcPr>
          <w:p w14:paraId="26F780BA" w14:textId="77777777" w:rsidR="007D0FE9" w:rsidRPr="007D0FE9" w:rsidRDefault="007D0FE9" w:rsidP="007D0FE9">
            <w:pPr>
              <w:spacing w:after="0" w:line="240" w:lineRule="auto"/>
              <w:jc w:val="left"/>
              <w:rPr>
                <w:rFonts w:ascii="Arial" w:hAnsi="Arial" w:cs="Arial"/>
                <w:i/>
                <w:iCs/>
                <w:color w:val="auto"/>
                <w:sz w:val="16"/>
                <w:szCs w:val="16"/>
              </w:rPr>
            </w:pPr>
          </w:p>
        </w:tc>
        <w:tc>
          <w:tcPr>
            <w:tcW w:w="458" w:type="pct"/>
            <w:tcBorders>
              <w:top w:val="nil"/>
              <w:left w:val="nil"/>
              <w:bottom w:val="nil"/>
              <w:right w:val="nil"/>
            </w:tcBorders>
            <w:shd w:val="clear" w:color="auto" w:fill="auto"/>
            <w:noWrap/>
            <w:vAlign w:val="bottom"/>
            <w:hideMark/>
          </w:tcPr>
          <w:p w14:paraId="001231C5"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2,911</w:t>
            </w:r>
          </w:p>
        </w:tc>
        <w:tc>
          <w:tcPr>
            <w:tcW w:w="342" w:type="pct"/>
            <w:tcBorders>
              <w:top w:val="nil"/>
              <w:left w:val="nil"/>
              <w:bottom w:val="nil"/>
              <w:right w:val="nil"/>
            </w:tcBorders>
            <w:shd w:val="clear" w:color="auto" w:fill="auto"/>
            <w:noWrap/>
            <w:vAlign w:val="bottom"/>
            <w:hideMark/>
          </w:tcPr>
          <w:p w14:paraId="550C1002"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1.1</w:t>
            </w:r>
          </w:p>
        </w:tc>
        <w:tc>
          <w:tcPr>
            <w:tcW w:w="458" w:type="pct"/>
            <w:tcBorders>
              <w:top w:val="nil"/>
              <w:left w:val="nil"/>
              <w:bottom w:val="nil"/>
              <w:right w:val="nil"/>
            </w:tcBorders>
            <w:shd w:val="clear" w:color="auto" w:fill="auto"/>
            <w:noWrap/>
            <w:vAlign w:val="bottom"/>
            <w:hideMark/>
          </w:tcPr>
          <w:p w14:paraId="4ACEF478"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2,399</w:t>
            </w:r>
          </w:p>
        </w:tc>
        <w:tc>
          <w:tcPr>
            <w:tcW w:w="342" w:type="pct"/>
            <w:tcBorders>
              <w:top w:val="nil"/>
              <w:left w:val="nil"/>
              <w:bottom w:val="nil"/>
              <w:right w:val="nil"/>
            </w:tcBorders>
            <w:shd w:val="clear" w:color="auto" w:fill="auto"/>
            <w:noWrap/>
            <w:vAlign w:val="bottom"/>
            <w:hideMark/>
          </w:tcPr>
          <w:p w14:paraId="00857B9C"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0.9</w:t>
            </w:r>
          </w:p>
        </w:tc>
        <w:tc>
          <w:tcPr>
            <w:tcW w:w="516" w:type="pct"/>
            <w:tcBorders>
              <w:top w:val="nil"/>
              <w:left w:val="nil"/>
              <w:bottom w:val="nil"/>
              <w:right w:val="nil"/>
            </w:tcBorders>
            <w:shd w:val="clear" w:color="auto" w:fill="auto"/>
            <w:noWrap/>
            <w:vAlign w:val="bottom"/>
            <w:hideMark/>
          </w:tcPr>
          <w:p w14:paraId="1BE3C540" w14:textId="77777777" w:rsidR="007D0FE9" w:rsidRPr="00453670" w:rsidRDefault="007D0FE9" w:rsidP="007D0FE9">
            <w:pPr>
              <w:spacing w:after="0" w:line="240" w:lineRule="auto"/>
              <w:jc w:val="left"/>
              <w:rPr>
                <w:rFonts w:ascii="Arial" w:hAnsi="Arial" w:cs="Arial"/>
                <w:i/>
                <w:iCs/>
                <w:sz w:val="16"/>
                <w:szCs w:val="16"/>
              </w:rPr>
            </w:pPr>
            <w:r w:rsidRPr="00453670">
              <w:rPr>
                <w:rFonts w:ascii="Arial" w:hAnsi="Arial" w:cs="Arial"/>
                <w:i/>
                <w:iCs/>
                <w:sz w:val="16"/>
                <w:szCs w:val="16"/>
              </w:rPr>
              <w:t xml:space="preserve">   1,784 </w:t>
            </w:r>
          </w:p>
        </w:tc>
        <w:tc>
          <w:tcPr>
            <w:tcW w:w="342" w:type="pct"/>
            <w:tcBorders>
              <w:top w:val="single" w:sz="4" w:space="0" w:color="auto"/>
              <w:left w:val="nil"/>
              <w:bottom w:val="nil"/>
              <w:right w:val="nil"/>
            </w:tcBorders>
            <w:shd w:val="clear" w:color="auto" w:fill="auto"/>
            <w:noWrap/>
            <w:vAlign w:val="bottom"/>
            <w:hideMark/>
          </w:tcPr>
          <w:p w14:paraId="0C12D6DC" w14:textId="77777777" w:rsidR="007D0FE9" w:rsidRPr="00453670" w:rsidRDefault="007D0FE9" w:rsidP="007D0FE9">
            <w:pPr>
              <w:spacing w:after="0" w:line="240" w:lineRule="auto"/>
              <w:jc w:val="right"/>
              <w:rPr>
                <w:rFonts w:ascii="Arial" w:hAnsi="Arial" w:cs="Arial"/>
                <w:i/>
                <w:iCs/>
                <w:sz w:val="16"/>
                <w:szCs w:val="16"/>
              </w:rPr>
            </w:pPr>
            <w:r w:rsidRPr="00453670">
              <w:rPr>
                <w:rFonts w:ascii="Arial" w:hAnsi="Arial" w:cs="Arial"/>
                <w:i/>
                <w:iCs/>
                <w:sz w:val="16"/>
                <w:szCs w:val="16"/>
              </w:rPr>
              <w:t>0.7</w:t>
            </w:r>
          </w:p>
        </w:tc>
        <w:tc>
          <w:tcPr>
            <w:tcW w:w="532" w:type="pct"/>
            <w:tcBorders>
              <w:top w:val="single" w:sz="4" w:space="0" w:color="auto"/>
              <w:left w:val="nil"/>
              <w:bottom w:val="nil"/>
              <w:right w:val="nil"/>
            </w:tcBorders>
            <w:shd w:val="clear" w:color="000000" w:fill="F2F2F2"/>
            <w:noWrap/>
            <w:vAlign w:val="bottom"/>
            <w:hideMark/>
          </w:tcPr>
          <w:p w14:paraId="49C97426"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1,578</w:t>
            </w:r>
          </w:p>
        </w:tc>
        <w:tc>
          <w:tcPr>
            <w:tcW w:w="362" w:type="pct"/>
            <w:tcBorders>
              <w:top w:val="single" w:sz="4" w:space="0" w:color="auto"/>
              <w:left w:val="nil"/>
              <w:bottom w:val="nil"/>
              <w:right w:val="nil"/>
            </w:tcBorders>
            <w:shd w:val="clear" w:color="000000" w:fill="F2F2F2"/>
            <w:noWrap/>
            <w:vAlign w:val="bottom"/>
            <w:hideMark/>
          </w:tcPr>
          <w:p w14:paraId="5079BD2B"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0.7</w:t>
            </w:r>
          </w:p>
        </w:tc>
      </w:tr>
      <w:tr w:rsidR="007D0FE9" w:rsidRPr="007D0FE9" w14:paraId="348F8B4C" w14:textId="77777777" w:rsidTr="00034B5E">
        <w:trPr>
          <w:trHeight w:val="225"/>
        </w:trPr>
        <w:tc>
          <w:tcPr>
            <w:tcW w:w="1479" w:type="pct"/>
            <w:tcBorders>
              <w:top w:val="nil"/>
              <w:left w:val="nil"/>
              <w:bottom w:val="nil"/>
              <w:right w:val="nil"/>
            </w:tcBorders>
            <w:shd w:val="clear" w:color="auto" w:fill="auto"/>
            <w:noWrap/>
            <w:vAlign w:val="bottom"/>
            <w:hideMark/>
          </w:tcPr>
          <w:p w14:paraId="61CB7FC1" w14:textId="6B051B0C" w:rsidR="007D0FE9" w:rsidRPr="007D0FE9" w:rsidRDefault="00BD4D19" w:rsidP="007D0FE9">
            <w:pPr>
              <w:spacing w:after="0" w:line="240" w:lineRule="auto"/>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New dwellings</w:t>
            </w:r>
          </w:p>
        </w:tc>
        <w:tc>
          <w:tcPr>
            <w:tcW w:w="169" w:type="pct"/>
            <w:tcBorders>
              <w:top w:val="nil"/>
              <w:left w:val="nil"/>
              <w:bottom w:val="nil"/>
              <w:right w:val="nil"/>
            </w:tcBorders>
            <w:shd w:val="clear" w:color="auto" w:fill="auto"/>
            <w:noWrap/>
            <w:vAlign w:val="bottom"/>
            <w:hideMark/>
          </w:tcPr>
          <w:p w14:paraId="56F0E97A" w14:textId="77777777" w:rsidR="007D0FE9" w:rsidRPr="007D0FE9" w:rsidRDefault="007D0FE9" w:rsidP="007D0FE9">
            <w:pPr>
              <w:spacing w:after="0" w:line="240" w:lineRule="auto"/>
              <w:jc w:val="left"/>
              <w:rPr>
                <w:rFonts w:ascii="Arial" w:hAnsi="Arial" w:cs="Arial"/>
                <w:color w:val="auto"/>
                <w:sz w:val="16"/>
                <w:szCs w:val="16"/>
              </w:rPr>
            </w:pPr>
          </w:p>
        </w:tc>
        <w:tc>
          <w:tcPr>
            <w:tcW w:w="458" w:type="pct"/>
            <w:tcBorders>
              <w:top w:val="nil"/>
              <w:left w:val="nil"/>
              <w:bottom w:val="nil"/>
              <w:right w:val="nil"/>
            </w:tcBorders>
            <w:shd w:val="clear" w:color="auto" w:fill="auto"/>
            <w:noWrap/>
            <w:vAlign w:val="bottom"/>
            <w:hideMark/>
          </w:tcPr>
          <w:p w14:paraId="7339C968"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0AF07DB1" w14:textId="77777777" w:rsidR="007D0FE9" w:rsidRPr="007D0FE9" w:rsidRDefault="007D0FE9" w:rsidP="007D0FE9">
            <w:pPr>
              <w:spacing w:after="0" w:line="240" w:lineRule="auto"/>
              <w:jc w:val="right"/>
              <w:rPr>
                <w:rFonts w:ascii="Times New Roman" w:hAnsi="Times New Roman"/>
                <w:color w:val="auto"/>
              </w:rPr>
            </w:pPr>
          </w:p>
        </w:tc>
        <w:tc>
          <w:tcPr>
            <w:tcW w:w="458" w:type="pct"/>
            <w:tcBorders>
              <w:top w:val="nil"/>
              <w:left w:val="nil"/>
              <w:bottom w:val="nil"/>
              <w:right w:val="nil"/>
            </w:tcBorders>
            <w:shd w:val="clear" w:color="auto" w:fill="auto"/>
            <w:noWrap/>
            <w:vAlign w:val="bottom"/>
            <w:hideMark/>
          </w:tcPr>
          <w:p w14:paraId="471299C9"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2FA28D7C" w14:textId="77777777" w:rsidR="007D0FE9" w:rsidRPr="007D0FE9" w:rsidRDefault="007D0FE9" w:rsidP="007D0FE9">
            <w:pPr>
              <w:spacing w:after="0" w:line="240" w:lineRule="auto"/>
              <w:jc w:val="right"/>
              <w:rPr>
                <w:rFonts w:ascii="Times New Roman" w:hAnsi="Times New Roman"/>
                <w:color w:val="auto"/>
              </w:rPr>
            </w:pPr>
          </w:p>
        </w:tc>
        <w:tc>
          <w:tcPr>
            <w:tcW w:w="516" w:type="pct"/>
            <w:tcBorders>
              <w:top w:val="nil"/>
              <w:left w:val="nil"/>
              <w:bottom w:val="nil"/>
              <w:right w:val="nil"/>
            </w:tcBorders>
            <w:shd w:val="clear" w:color="auto" w:fill="auto"/>
            <w:noWrap/>
            <w:vAlign w:val="bottom"/>
            <w:hideMark/>
          </w:tcPr>
          <w:p w14:paraId="0A1AA33E"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vAlign w:val="bottom"/>
            <w:hideMark/>
          </w:tcPr>
          <w:p w14:paraId="3AF54928" w14:textId="77777777" w:rsidR="007D0FE9" w:rsidRPr="007D0FE9" w:rsidRDefault="007D0FE9" w:rsidP="007D0FE9">
            <w:pPr>
              <w:spacing w:after="0" w:line="240" w:lineRule="auto"/>
              <w:jc w:val="left"/>
              <w:rPr>
                <w:rFonts w:ascii="Times New Roman" w:hAnsi="Times New Roman"/>
                <w:color w:val="auto"/>
              </w:rPr>
            </w:pPr>
          </w:p>
        </w:tc>
        <w:tc>
          <w:tcPr>
            <w:tcW w:w="532" w:type="pct"/>
            <w:tcBorders>
              <w:top w:val="nil"/>
              <w:left w:val="nil"/>
              <w:bottom w:val="nil"/>
              <w:right w:val="nil"/>
            </w:tcBorders>
            <w:shd w:val="clear" w:color="000000" w:fill="F2F2F2"/>
            <w:noWrap/>
            <w:vAlign w:val="bottom"/>
            <w:hideMark/>
          </w:tcPr>
          <w:p w14:paraId="6F044FE1"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 </w:t>
            </w:r>
          </w:p>
        </w:tc>
        <w:tc>
          <w:tcPr>
            <w:tcW w:w="362" w:type="pct"/>
            <w:tcBorders>
              <w:top w:val="nil"/>
              <w:left w:val="nil"/>
              <w:bottom w:val="nil"/>
              <w:right w:val="nil"/>
            </w:tcBorders>
            <w:shd w:val="clear" w:color="000000" w:fill="F2F2F2"/>
            <w:noWrap/>
            <w:vAlign w:val="bottom"/>
            <w:hideMark/>
          </w:tcPr>
          <w:p w14:paraId="13796E77"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 </w:t>
            </w:r>
          </w:p>
        </w:tc>
      </w:tr>
      <w:tr w:rsidR="007D0FE9" w:rsidRPr="007D0FE9" w14:paraId="3358BA53" w14:textId="77777777" w:rsidTr="00034B5E">
        <w:trPr>
          <w:trHeight w:val="225"/>
        </w:trPr>
        <w:tc>
          <w:tcPr>
            <w:tcW w:w="1479" w:type="pct"/>
            <w:tcBorders>
              <w:top w:val="nil"/>
              <w:left w:val="nil"/>
              <w:bottom w:val="nil"/>
              <w:right w:val="nil"/>
            </w:tcBorders>
            <w:shd w:val="clear" w:color="auto" w:fill="auto"/>
            <w:noWrap/>
            <w:vAlign w:val="bottom"/>
            <w:hideMark/>
          </w:tcPr>
          <w:p w14:paraId="01DFA1B4" w14:textId="110C8876" w:rsidR="007D0FE9" w:rsidRPr="007D0FE9" w:rsidRDefault="00BD4D19" w:rsidP="007D0FE9">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Individual purchases</w:t>
            </w:r>
          </w:p>
        </w:tc>
        <w:tc>
          <w:tcPr>
            <w:tcW w:w="169" w:type="pct"/>
            <w:tcBorders>
              <w:top w:val="nil"/>
              <w:left w:val="nil"/>
              <w:bottom w:val="nil"/>
              <w:right w:val="nil"/>
            </w:tcBorders>
            <w:shd w:val="clear" w:color="auto" w:fill="auto"/>
            <w:noWrap/>
            <w:vAlign w:val="bottom"/>
            <w:hideMark/>
          </w:tcPr>
          <w:p w14:paraId="7B4B279D" w14:textId="77777777" w:rsidR="007D0FE9" w:rsidRPr="007D0FE9" w:rsidRDefault="007D0FE9" w:rsidP="007D0FE9">
            <w:pPr>
              <w:spacing w:after="0" w:line="240" w:lineRule="auto"/>
              <w:ind w:firstLineChars="100" w:firstLine="160"/>
              <w:jc w:val="left"/>
              <w:rPr>
                <w:rFonts w:ascii="Arial" w:hAnsi="Arial" w:cs="Arial"/>
                <w:color w:val="auto"/>
                <w:sz w:val="16"/>
                <w:szCs w:val="16"/>
              </w:rPr>
            </w:pPr>
          </w:p>
        </w:tc>
        <w:tc>
          <w:tcPr>
            <w:tcW w:w="458" w:type="pct"/>
            <w:tcBorders>
              <w:top w:val="nil"/>
              <w:left w:val="nil"/>
              <w:bottom w:val="nil"/>
              <w:right w:val="nil"/>
            </w:tcBorders>
            <w:shd w:val="clear" w:color="auto" w:fill="auto"/>
            <w:noWrap/>
            <w:vAlign w:val="bottom"/>
            <w:hideMark/>
          </w:tcPr>
          <w:p w14:paraId="0D3BBF35"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7,864</w:t>
            </w:r>
          </w:p>
        </w:tc>
        <w:tc>
          <w:tcPr>
            <w:tcW w:w="342" w:type="pct"/>
            <w:tcBorders>
              <w:top w:val="nil"/>
              <w:left w:val="nil"/>
              <w:bottom w:val="nil"/>
              <w:right w:val="nil"/>
            </w:tcBorders>
            <w:shd w:val="clear" w:color="auto" w:fill="auto"/>
            <w:noWrap/>
            <w:vAlign w:val="bottom"/>
            <w:hideMark/>
          </w:tcPr>
          <w:p w14:paraId="48230089"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6.6</w:t>
            </w:r>
          </w:p>
        </w:tc>
        <w:tc>
          <w:tcPr>
            <w:tcW w:w="458" w:type="pct"/>
            <w:tcBorders>
              <w:top w:val="nil"/>
              <w:left w:val="nil"/>
              <w:bottom w:val="nil"/>
              <w:right w:val="nil"/>
            </w:tcBorders>
            <w:shd w:val="clear" w:color="auto" w:fill="auto"/>
            <w:noWrap/>
            <w:vAlign w:val="bottom"/>
            <w:hideMark/>
          </w:tcPr>
          <w:p w14:paraId="01D86F06"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5,494</w:t>
            </w:r>
          </w:p>
        </w:tc>
        <w:tc>
          <w:tcPr>
            <w:tcW w:w="342" w:type="pct"/>
            <w:tcBorders>
              <w:top w:val="nil"/>
              <w:left w:val="nil"/>
              <w:bottom w:val="nil"/>
              <w:right w:val="nil"/>
            </w:tcBorders>
            <w:shd w:val="clear" w:color="auto" w:fill="auto"/>
            <w:noWrap/>
            <w:vAlign w:val="bottom"/>
            <w:hideMark/>
          </w:tcPr>
          <w:p w14:paraId="6727F831"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4.8</w:t>
            </w:r>
          </w:p>
        </w:tc>
        <w:tc>
          <w:tcPr>
            <w:tcW w:w="516" w:type="pct"/>
            <w:tcBorders>
              <w:top w:val="nil"/>
              <w:left w:val="nil"/>
              <w:bottom w:val="nil"/>
              <w:right w:val="nil"/>
            </w:tcBorders>
            <w:shd w:val="clear" w:color="auto" w:fill="auto"/>
            <w:noWrap/>
            <w:vAlign w:val="bottom"/>
            <w:hideMark/>
          </w:tcPr>
          <w:p w14:paraId="036966CB"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xml:space="preserve">   3,888 </w:t>
            </w:r>
          </w:p>
        </w:tc>
        <w:tc>
          <w:tcPr>
            <w:tcW w:w="342" w:type="pct"/>
            <w:tcBorders>
              <w:top w:val="nil"/>
              <w:left w:val="nil"/>
              <w:bottom w:val="nil"/>
              <w:right w:val="nil"/>
            </w:tcBorders>
            <w:shd w:val="clear" w:color="auto" w:fill="auto"/>
            <w:noWrap/>
            <w:vAlign w:val="bottom"/>
            <w:hideMark/>
          </w:tcPr>
          <w:p w14:paraId="7D992EF1" w14:textId="77777777" w:rsidR="007D0FE9" w:rsidRPr="007D0FE9" w:rsidRDefault="007D0FE9" w:rsidP="007D0FE9">
            <w:pPr>
              <w:spacing w:after="0" w:line="240" w:lineRule="auto"/>
              <w:jc w:val="right"/>
              <w:rPr>
                <w:rFonts w:ascii="Arial" w:hAnsi="Arial" w:cs="Arial"/>
                <w:sz w:val="16"/>
                <w:szCs w:val="16"/>
              </w:rPr>
            </w:pPr>
            <w:r w:rsidRPr="007D0FE9">
              <w:rPr>
                <w:rFonts w:ascii="Arial" w:hAnsi="Arial" w:cs="Arial"/>
                <w:sz w:val="16"/>
                <w:szCs w:val="16"/>
              </w:rPr>
              <w:t>3.1</w:t>
            </w:r>
          </w:p>
        </w:tc>
        <w:tc>
          <w:tcPr>
            <w:tcW w:w="532" w:type="pct"/>
            <w:tcBorders>
              <w:top w:val="nil"/>
              <w:left w:val="nil"/>
              <w:bottom w:val="nil"/>
              <w:right w:val="nil"/>
            </w:tcBorders>
            <w:shd w:val="clear" w:color="000000" w:fill="F2F2F2"/>
            <w:noWrap/>
            <w:vAlign w:val="bottom"/>
            <w:hideMark/>
          </w:tcPr>
          <w:p w14:paraId="78AAD267"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3,726</w:t>
            </w:r>
          </w:p>
        </w:tc>
        <w:tc>
          <w:tcPr>
            <w:tcW w:w="362" w:type="pct"/>
            <w:tcBorders>
              <w:top w:val="nil"/>
              <w:left w:val="nil"/>
              <w:bottom w:val="nil"/>
              <w:right w:val="nil"/>
            </w:tcBorders>
            <w:shd w:val="clear" w:color="000000" w:fill="F2F2F2"/>
            <w:noWrap/>
            <w:vAlign w:val="bottom"/>
            <w:hideMark/>
          </w:tcPr>
          <w:p w14:paraId="4C56A730"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3.2</w:t>
            </w:r>
          </w:p>
        </w:tc>
      </w:tr>
      <w:tr w:rsidR="007D0FE9" w:rsidRPr="007D0FE9" w14:paraId="2BEA6D6A" w14:textId="77777777" w:rsidTr="00034B5E">
        <w:trPr>
          <w:trHeight w:val="225"/>
        </w:trPr>
        <w:tc>
          <w:tcPr>
            <w:tcW w:w="1479" w:type="pct"/>
            <w:tcBorders>
              <w:top w:val="nil"/>
              <w:left w:val="nil"/>
              <w:bottom w:val="nil"/>
              <w:right w:val="nil"/>
            </w:tcBorders>
            <w:shd w:val="clear" w:color="auto" w:fill="auto"/>
            <w:noWrap/>
            <w:vAlign w:val="bottom"/>
            <w:hideMark/>
          </w:tcPr>
          <w:p w14:paraId="6DF0CC7B" w14:textId="148F30E4" w:rsidR="007D0FE9" w:rsidRPr="007D0FE9" w:rsidRDefault="00BD4D19" w:rsidP="007D0FE9">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Single purchase EC</w:t>
            </w:r>
          </w:p>
        </w:tc>
        <w:tc>
          <w:tcPr>
            <w:tcW w:w="169" w:type="pct"/>
            <w:tcBorders>
              <w:top w:val="nil"/>
              <w:left w:val="nil"/>
              <w:bottom w:val="nil"/>
              <w:right w:val="nil"/>
            </w:tcBorders>
            <w:shd w:val="clear" w:color="auto" w:fill="auto"/>
            <w:noWrap/>
            <w:vAlign w:val="bottom"/>
            <w:hideMark/>
          </w:tcPr>
          <w:p w14:paraId="49E16BB7" w14:textId="77777777" w:rsidR="007D0FE9" w:rsidRPr="007D0FE9" w:rsidRDefault="007D0FE9" w:rsidP="007D0FE9">
            <w:pPr>
              <w:spacing w:after="0" w:line="240" w:lineRule="auto"/>
              <w:ind w:firstLineChars="100" w:firstLine="160"/>
              <w:jc w:val="left"/>
              <w:rPr>
                <w:rFonts w:ascii="Arial" w:hAnsi="Arial" w:cs="Arial"/>
                <w:color w:val="auto"/>
                <w:sz w:val="16"/>
                <w:szCs w:val="16"/>
              </w:rPr>
            </w:pPr>
          </w:p>
        </w:tc>
        <w:tc>
          <w:tcPr>
            <w:tcW w:w="458" w:type="pct"/>
            <w:tcBorders>
              <w:top w:val="nil"/>
              <w:left w:val="nil"/>
              <w:bottom w:val="nil"/>
              <w:right w:val="nil"/>
            </w:tcBorders>
            <w:shd w:val="clear" w:color="auto" w:fill="auto"/>
            <w:noWrap/>
            <w:vAlign w:val="bottom"/>
            <w:hideMark/>
          </w:tcPr>
          <w:p w14:paraId="67EE2E02" w14:textId="77777777" w:rsidR="007D0FE9" w:rsidRPr="007D0FE9" w:rsidRDefault="007D0FE9" w:rsidP="007D0FE9">
            <w:pPr>
              <w:spacing w:after="0" w:line="240" w:lineRule="auto"/>
              <w:jc w:val="right"/>
              <w:rPr>
                <w:rFonts w:ascii="Arial" w:hAnsi="Arial" w:cs="Arial"/>
                <w:color w:val="auto"/>
                <w:sz w:val="16"/>
                <w:szCs w:val="16"/>
              </w:rPr>
            </w:pPr>
            <w:proofErr w:type="spellStart"/>
            <w:r w:rsidRPr="007D0FE9">
              <w:rPr>
                <w:rFonts w:ascii="Arial" w:hAnsi="Arial" w:cs="Arial"/>
                <w:color w:val="auto"/>
                <w:sz w:val="16"/>
                <w:szCs w:val="16"/>
              </w:rPr>
              <w:t>na</w:t>
            </w:r>
            <w:proofErr w:type="spellEnd"/>
          </w:p>
        </w:tc>
        <w:tc>
          <w:tcPr>
            <w:tcW w:w="342" w:type="pct"/>
            <w:tcBorders>
              <w:top w:val="nil"/>
              <w:left w:val="nil"/>
              <w:bottom w:val="nil"/>
              <w:right w:val="nil"/>
            </w:tcBorders>
            <w:shd w:val="clear" w:color="auto" w:fill="auto"/>
            <w:noWrap/>
            <w:vAlign w:val="bottom"/>
            <w:hideMark/>
          </w:tcPr>
          <w:p w14:paraId="3767FD76"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0.0</w:t>
            </w:r>
          </w:p>
        </w:tc>
        <w:tc>
          <w:tcPr>
            <w:tcW w:w="458" w:type="pct"/>
            <w:tcBorders>
              <w:top w:val="nil"/>
              <w:left w:val="nil"/>
              <w:bottom w:val="nil"/>
              <w:right w:val="nil"/>
            </w:tcBorders>
            <w:shd w:val="clear" w:color="auto" w:fill="auto"/>
            <w:noWrap/>
            <w:vAlign w:val="bottom"/>
            <w:hideMark/>
          </w:tcPr>
          <w:p w14:paraId="2B735F93"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166</w:t>
            </w:r>
          </w:p>
        </w:tc>
        <w:tc>
          <w:tcPr>
            <w:tcW w:w="342" w:type="pct"/>
            <w:tcBorders>
              <w:top w:val="nil"/>
              <w:left w:val="nil"/>
              <w:bottom w:val="nil"/>
              <w:right w:val="nil"/>
            </w:tcBorders>
            <w:shd w:val="clear" w:color="auto" w:fill="auto"/>
            <w:noWrap/>
            <w:vAlign w:val="bottom"/>
            <w:hideMark/>
          </w:tcPr>
          <w:p w14:paraId="04265DBA"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0.1</w:t>
            </w:r>
          </w:p>
        </w:tc>
        <w:tc>
          <w:tcPr>
            <w:tcW w:w="516" w:type="pct"/>
            <w:tcBorders>
              <w:top w:val="nil"/>
              <w:left w:val="nil"/>
              <w:bottom w:val="nil"/>
              <w:right w:val="nil"/>
            </w:tcBorders>
            <w:shd w:val="clear" w:color="auto" w:fill="auto"/>
            <w:noWrap/>
            <w:vAlign w:val="bottom"/>
            <w:hideMark/>
          </w:tcPr>
          <w:p w14:paraId="4EE65B72"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xml:space="preserve">         60 </w:t>
            </w:r>
          </w:p>
        </w:tc>
        <w:tc>
          <w:tcPr>
            <w:tcW w:w="342" w:type="pct"/>
            <w:tcBorders>
              <w:top w:val="nil"/>
              <w:left w:val="nil"/>
              <w:bottom w:val="nil"/>
              <w:right w:val="nil"/>
            </w:tcBorders>
            <w:shd w:val="clear" w:color="auto" w:fill="auto"/>
            <w:noWrap/>
            <w:vAlign w:val="bottom"/>
            <w:hideMark/>
          </w:tcPr>
          <w:p w14:paraId="764F0B10" w14:textId="77777777" w:rsidR="007D0FE9" w:rsidRPr="007D0FE9" w:rsidRDefault="007D0FE9" w:rsidP="007D0FE9">
            <w:pPr>
              <w:spacing w:after="0" w:line="240" w:lineRule="auto"/>
              <w:jc w:val="right"/>
              <w:rPr>
                <w:rFonts w:ascii="Arial" w:hAnsi="Arial" w:cs="Arial"/>
                <w:sz w:val="16"/>
                <w:szCs w:val="16"/>
              </w:rPr>
            </w:pPr>
            <w:r w:rsidRPr="007D0FE9">
              <w:rPr>
                <w:rFonts w:ascii="Arial" w:hAnsi="Arial" w:cs="Arial"/>
                <w:sz w:val="16"/>
                <w:szCs w:val="16"/>
              </w:rPr>
              <w:t>0.1</w:t>
            </w:r>
          </w:p>
        </w:tc>
        <w:tc>
          <w:tcPr>
            <w:tcW w:w="532" w:type="pct"/>
            <w:tcBorders>
              <w:top w:val="nil"/>
              <w:left w:val="nil"/>
              <w:bottom w:val="nil"/>
              <w:right w:val="nil"/>
            </w:tcBorders>
            <w:shd w:val="clear" w:color="000000" w:fill="F2F2F2"/>
            <w:noWrap/>
            <w:vAlign w:val="bottom"/>
            <w:hideMark/>
          </w:tcPr>
          <w:p w14:paraId="51685F2B"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135</w:t>
            </w:r>
          </w:p>
        </w:tc>
        <w:tc>
          <w:tcPr>
            <w:tcW w:w="362" w:type="pct"/>
            <w:tcBorders>
              <w:top w:val="nil"/>
              <w:left w:val="nil"/>
              <w:bottom w:val="nil"/>
              <w:right w:val="nil"/>
            </w:tcBorders>
            <w:shd w:val="clear" w:color="000000" w:fill="F2F2F2"/>
            <w:noWrap/>
            <w:vAlign w:val="bottom"/>
            <w:hideMark/>
          </w:tcPr>
          <w:p w14:paraId="2C17E64A"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0.1</w:t>
            </w:r>
          </w:p>
        </w:tc>
      </w:tr>
      <w:tr w:rsidR="007D0FE9" w:rsidRPr="007D0FE9" w14:paraId="58D2B5DC" w14:textId="77777777" w:rsidTr="00581E71">
        <w:trPr>
          <w:trHeight w:val="225"/>
        </w:trPr>
        <w:tc>
          <w:tcPr>
            <w:tcW w:w="1479" w:type="pct"/>
            <w:tcBorders>
              <w:top w:val="nil"/>
              <w:left w:val="nil"/>
              <w:bottom w:val="nil"/>
              <w:right w:val="nil"/>
            </w:tcBorders>
            <w:shd w:val="clear" w:color="auto" w:fill="auto"/>
            <w:noWrap/>
            <w:vAlign w:val="bottom"/>
            <w:hideMark/>
          </w:tcPr>
          <w:p w14:paraId="5B744EC0" w14:textId="1D4E5CB9" w:rsidR="007D0FE9" w:rsidRPr="007D0FE9" w:rsidRDefault="00BD4D19" w:rsidP="007D0FE9">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New dwelling EC</w:t>
            </w:r>
          </w:p>
        </w:tc>
        <w:tc>
          <w:tcPr>
            <w:tcW w:w="169" w:type="pct"/>
            <w:tcBorders>
              <w:top w:val="nil"/>
              <w:left w:val="nil"/>
              <w:bottom w:val="nil"/>
              <w:right w:val="nil"/>
            </w:tcBorders>
            <w:shd w:val="clear" w:color="auto" w:fill="auto"/>
            <w:noWrap/>
            <w:vAlign w:val="bottom"/>
            <w:hideMark/>
          </w:tcPr>
          <w:p w14:paraId="17FE1463" w14:textId="77777777" w:rsidR="007D0FE9" w:rsidRPr="007D0FE9" w:rsidRDefault="007D0FE9" w:rsidP="007D0FE9">
            <w:pPr>
              <w:spacing w:after="0" w:line="240" w:lineRule="auto"/>
              <w:ind w:firstLineChars="100" w:firstLine="160"/>
              <w:jc w:val="left"/>
              <w:rPr>
                <w:rFonts w:ascii="Arial" w:hAnsi="Arial" w:cs="Arial"/>
                <w:color w:val="auto"/>
                <w:sz w:val="16"/>
                <w:szCs w:val="16"/>
              </w:rPr>
            </w:pPr>
          </w:p>
        </w:tc>
        <w:tc>
          <w:tcPr>
            <w:tcW w:w="458" w:type="pct"/>
            <w:tcBorders>
              <w:top w:val="nil"/>
              <w:left w:val="nil"/>
              <w:bottom w:val="nil"/>
              <w:right w:val="nil"/>
            </w:tcBorders>
            <w:shd w:val="clear" w:color="auto" w:fill="auto"/>
            <w:noWrap/>
            <w:vAlign w:val="bottom"/>
            <w:hideMark/>
          </w:tcPr>
          <w:p w14:paraId="0960DE61"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46</w:t>
            </w:r>
          </w:p>
        </w:tc>
        <w:tc>
          <w:tcPr>
            <w:tcW w:w="342" w:type="pct"/>
            <w:tcBorders>
              <w:top w:val="nil"/>
              <w:left w:val="nil"/>
              <w:bottom w:val="nil"/>
              <w:right w:val="nil"/>
            </w:tcBorders>
            <w:shd w:val="clear" w:color="auto" w:fill="auto"/>
            <w:noWrap/>
            <w:vAlign w:val="bottom"/>
            <w:hideMark/>
          </w:tcPr>
          <w:p w14:paraId="643FDC7E"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14.1</w:t>
            </w:r>
          </w:p>
        </w:tc>
        <w:tc>
          <w:tcPr>
            <w:tcW w:w="458" w:type="pct"/>
            <w:tcBorders>
              <w:top w:val="nil"/>
              <w:left w:val="nil"/>
              <w:bottom w:val="nil"/>
              <w:right w:val="nil"/>
            </w:tcBorders>
            <w:shd w:val="clear" w:color="auto" w:fill="auto"/>
            <w:noWrap/>
            <w:vAlign w:val="bottom"/>
            <w:hideMark/>
          </w:tcPr>
          <w:p w14:paraId="00FAC2E4"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24</w:t>
            </w:r>
          </w:p>
        </w:tc>
        <w:tc>
          <w:tcPr>
            <w:tcW w:w="342" w:type="pct"/>
            <w:tcBorders>
              <w:top w:val="nil"/>
              <w:left w:val="nil"/>
              <w:bottom w:val="nil"/>
              <w:right w:val="nil"/>
            </w:tcBorders>
            <w:shd w:val="clear" w:color="auto" w:fill="auto"/>
            <w:noWrap/>
            <w:vAlign w:val="bottom"/>
            <w:hideMark/>
          </w:tcPr>
          <w:p w14:paraId="2F1354A2"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2.7</w:t>
            </w:r>
          </w:p>
        </w:tc>
        <w:tc>
          <w:tcPr>
            <w:tcW w:w="516" w:type="pct"/>
            <w:tcBorders>
              <w:top w:val="nil"/>
              <w:left w:val="nil"/>
              <w:bottom w:val="nil"/>
              <w:right w:val="nil"/>
            </w:tcBorders>
            <w:shd w:val="clear" w:color="auto" w:fill="auto"/>
            <w:noWrap/>
            <w:vAlign w:val="bottom"/>
            <w:hideMark/>
          </w:tcPr>
          <w:p w14:paraId="13A2A059"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xml:space="preserve">         16 </w:t>
            </w:r>
          </w:p>
        </w:tc>
        <w:tc>
          <w:tcPr>
            <w:tcW w:w="342" w:type="pct"/>
            <w:tcBorders>
              <w:top w:val="nil"/>
              <w:left w:val="nil"/>
              <w:right w:val="nil"/>
            </w:tcBorders>
            <w:shd w:val="clear" w:color="auto" w:fill="auto"/>
            <w:noWrap/>
            <w:vAlign w:val="bottom"/>
            <w:hideMark/>
          </w:tcPr>
          <w:p w14:paraId="60EE3EF9" w14:textId="77777777" w:rsidR="007D0FE9" w:rsidRPr="007D0FE9" w:rsidRDefault="007D0FE9" w:rsidP="007D0FE9">
            <w:pPr>
              <w:spacing w:after="0" w:line="240" w:lineRule="auto"/>
              <w:jc w:val="right"/>
              <w:rPr>
                <w:rFonts w:ascii="Arial" w:hAnsi="Arial" w:cs="Arial"/>
                <w:sz w:val="16"/>
                <w:szCs w:val="16"/>
              </w:rPr>
            </w:pPr>
            <w:r w:rsidRPr="007D0FE9">
              <w:rPr>
                <w:rFonts w:ascii="Arial" w:hAnsi="Arial" w:cs="Arial"/>
                <w:sz w:val="16"/>
                <w:szCs w:val="16"/>
              </w:rPr>
              <w:t>1.7</w:t>
            </w:r>
          </w:p>
        </w:tc>
        <w:tc>
          <w:tcPr>
            <w:tcW w:w="532" w:type="pct"/>
            <w:tcBorders>
              <w:top w:val="nil"/>
              <w:left w:val="nil"/>
              <w:right w:val="nil"/>
            </w:tcBorders>
            <w:shd w:val="clear" w:color="000000" w:fill="F2F2F2"/>
            <w:noWrap/>
            <w:vAlign w:val="bottom"/>
            <w:hideMark/>
          </w:tcPr>
          <w:p w14:paraId="2EF2C756"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16</w:t>
            </w:r>
          </w:p>
        </w:tc>
        <w:tc>
          <w:tcPr>
            <w:tcW w:w="362" w:type="pct"/>
            <w:tcBorders>
              <w:top w:val="nil"/>
              <w:left w:val="nil"/>
              <w:right w:val="nil"/>
            </w:tcBorders>
            <w:shd w:val="clear" w:color="000000" w:fill="F2F2F2"/>
            <w:noWrap/>
            <w:vAlign w:val="bottom"/>
            <w:hideMark/>
          </w:tcPr>
          <w:p w14:paraId="32D60D8D"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1.6</w:t>
            </w:r>
          </w:p>
        </w:tc>
      </w:tr>
      <w:tr w:rsidR="007D0FE9" w:rsidRPr="007D0FE9" w14:paraId="15F0A948" w14:textId="77777777" w:rsidTr="00581E71">
        <w:trPr>
          <w:trHeight w:val="225"/>
        </w:trPr>
        <w:tc>
          <w:tcPr>
            <w:tcW w:w="1479" w:type="pct"/>
            <w:tcBorders>
              <w:top w:val="nil"/>
              <w:left w:val="nil"/>
              <w:bottom w:val="nil"/>
              <w:right w:val="nil"/>
            </w:tcBorders>
            <w:shd w:val="clear" w:color="auto" w:fill="auto"/>
            <w:noWrap/>
            <w:vAlign w:val="bottom"/>
            <w:hideMark/>
          </w:tcPr>
          <w:p w14:paraId="26979862" w14:textId="7B2ACDE7" w:rsidR="007D0FE9" w:rsidRPr="007D0FE9" w:rsidRDefault="00BD4D19" w:rsidP="007D0FE9">
            <w:pPr>
              <w:spacing w:after="0" w:line="240" w:lineRule="auto"/>
              <w:ind w:firstLineChars="100" w:firstLine="160"/>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Near new dwelling EC</w:t>
            </w:r>
          </w:p>
        </w:tc>
        <w:tc>
          <w:tcPr>
            <w:tcW w:w="169" w:type="pct"/>
            <w:tcBorders>
              <w:top w:val="nil"/>
              <w:left w:val="nil"/>
              <w:bottom w:val="nil"/>
              <w:right w:val="nil"/>
            </w:tcBorders>
            <w:shd w:val="clear" w:color="auto" w:fill="auto"/>
            <w:noWrap/>
            <w:vAlign w:val="bottom"/>
            <w:hideMark/>
          </w:tcPr>
          <w:p w14:paraId="20BDAAD1" w14:textId="77777777" w:rsidR="007D0FE9" w:rsidRPr="007D0FE9" w:rsidRDefault="007D0FE9" w:rsidP="007D0FE9">
            <w:pPr>
              <w:spacing w:after="0" w:line="240" w:lineRule="auto"/>
              <w:ind w:firstLineChars="100" w:firstLine="160"/>
              <w:jc w:val="left"/>
              <w:rPr>
                <w:rFonts w:ascii="Arial" w:hAnsi="Arial" w:cs="Arial"/>
                <w:color w:val="auto"/>
                <w:sz w:val="16"/>
                <w:szCs w:val="16"/>
              </w:rPr>
            </w:pPr>
          </w:p>
        </w:tc>
        <w:tc>
          <w:tcPr>
            <w:tcW w:w="458" w:type="pct"/>
            <w:tcBorders>
              <w:top w:val="nil"/>
              <w:left w:val="nil"/>
              <w:bottom w:val="single" w:sz="4" w:space="0" w:color="auto"/>
              <w:right w:val="nil"/>
            </w:tcBorders>
            <w:shd w:val="clear" w:color="auto" w:fill="auto"/>
            <w:noWrap/>
            <w:vAlign w:val="bottom"/>
            <w:hideMark/>
          </w:tcPr>
          <w:p w14:paraId="274EC4C8" w14:textId="77777777" w:rsidR="007D0FE9" w:rsidRPr="007D0FE9" w:rsidRDefault="007D0FE9" w:rsidP="007D0FE9">
            <w:pPr>
              <w:spacing w:after="0" w:line="240" w:lineRule="auto"/>
              <w:jc w:val="right"/>
              <w:rPr>
                <w:rFonts w:ascii="Arial" w:hAnsi="Arial" w:cs="Arial"/>
                <w:color w:val="auto"/>
                <w:sz w:val="16"/>
                <w:szCs w:val="16"/>
              </w:rPr>
            </w:pPr>
            <w:proofErr w:type="spellStart"/>
            <w:r w:rsidRPr="007D0FE9">
              <w:rPr>
                <w:rFonts w:ascii="Arial" w:hAnsi="Arial" w:cs="Arial"/>
                <w:color w:val="auto"/>
                <w:sz w:val="16"/>
                <w:szCs w:val="16"/>
              </w:rPr>
              <w:t>na</w:t>
            </w:r>
            <w:proofErr w:type="spellEnd"/>
          </w:p>
        </w:tc>
        <w:tc>
          <w:tcPr>
            <w:tcW w:w="342" w:type="pct"/>
            <w:tcBorders>
              <w:top w:val="nil"/>
              <w:left w:val="nil"/>
              <w:bottom w:val="single" w:sz="4" w:space="0" w:color="auto"/>
              <w:right w:val="nil"/>
            </w:tcBorders>
            <w:shd w:val="clear" w:color="auto" w:fill="auto"/>
            <w:noWrap/>
            <w:vAlign w:val="bottom"/>
            <w:hideMark/>
          </w:tcPr>
          <w:p w14:paraId="13DFF09F"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0.0</w:t>
            </w:r>
          </w:p>
        </w:tc>
        <w:tc>
          <w:tcPr>
            <w:tcW w:w="458" w:type="pct"/>
            <w:tcBorders>
              <w:top w:val="nil"/>
              <w:left w:val="nil"/>
              <w:bottom w:val="single" w:sz="4" w:space="0" w:color="auto"/>
              <w:right w:val="nil"/>
            </w:tcBorders>
            <w:shd w:val="clear" w:color="auto" w:fill="auto"/>
            <w:noWrap/>
            <w:vAlign w:val="bottom"/>
            <w:hideMark/>
          </w:tcPr>
          <w:p w14:paraId="111EAD93"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10</w:t>
            </w:r>
          </w:p>
        </w:tc>
        <w:tc>
          <w:tcPr>
            <w:tcW w:w="342" w:type="pct"/>
            <w:tcBorders>
              <w:top w:val="nil"/>
              <w:left w:val="nil"/>
              <w:bottom w:val="single" w:sz="4" w:space="0" w:color="auto"/>
              <w:right w:val="nil"/>
            </w:tcBorders>
            <w:shd w:val="clear" w:color="auto" w:fill="auto"/>
            <w:noWrap/>
            <w:vAlign w:val="bottom"/>
            <w:hideMark/>
          </w:tcPr>
          <w:p w14:paraId="60F5A183"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0.0</w:t>
            </w:r>
          </w:p>
        </w:tc>
        <w:tc>
          <w:tcPr>
            <w:tcW w:w="516" w:type="pct"/>
            <w:tcBorders>
              <w:top w:val="nil"/>
              <w:left w:val="nil"/>
              <w:bottom w:val="single" w:sz="4" w:space="0" w:color="auto"/>
              <w:right w:val="nil"/>
            </w:tcBorders>
            <w:shd w:val="clear" w:color="auto" w:fill="auto"/>
            <w:noWrap/>
            <w:vAlign w:val="bottom"/>
            <w:hideMark/>
          </w:tcPr>
          <w:p w14:paraId="4A4218DF"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xml:space="preserve">         22 </w:t>
            </w:r>
          </w:p>
        </w:tc>
        <w:tc>
          <w:tcPr>
            <w:tcW w:w="342" w:type="pct"/>
            <w:tcBorders>
              <w:top w:val="nil"/>
              <w:left w:val="nil"/>
              <w:bottom w:val="single" w:sz="4" w:space="0" w:color="auto"/>
              <w:right w:val="nil"/>
            </w:tcBorders>
            <w:shd w:val="clear" w:color="auto" w:fill="auto"/>
            <w:noWrap/>
            <w:vAlign w:val="bottom"/>
            <w:hideMark/>
          </w:tcPr>
          <w:p w14:paraId="64C10DA2" w14:textId="77777777" w:rsidR="007D0FE9" w:rsidRPr="007D0FE9" w:rsidRDefault="007D0FE9" w:rsidP="007D0FE9">
            <w:pPr>
              <w:spacing w:after="0" w:line="240" w:lineRule="auto"/>
              <w:jc w:val="right"/>
              <w:rPr>
                <w:rFonts w:ascii="Arial" w:hAnsi="Arial" w:cs="Arial"/>
                <w:sz w:val="16"/>
                <w:szCs w:val="16"/>
              </w:rPr>
            </w:pPr>
            <w:r w:rsidRPr="007D0FE9">
              <w:rPr>
                <w:rFonts w:ascii="Arial" w:hAnsi="Arial" w:cs="Arial"/>
                <w:sz w:val="16"/>
                <w:szCs w:val="16"/>
              </w:rPr>
              <w:t>0.0</w:t>
            </w:r>
          </w:p>
        </w:tc>
        <w:tc>
          <w:tcPr>
            <w:tcW w:w="532" w:type="pct"/>
            <w:tcBorders>
              <w:top w:val="nil"/>
              <w:left w:val="nil"/>
              <w:bottom w:val="single" w:sz="4" w:space="0" w:color="auto"/>
              <w:right w:val="nil"/>
            </w:tcBorders>
            <w:shd w:val="clear" w:color="000000" w:fill="F2F2F2"/>
            <w:noWrap/>
            <w:vAlign w:val="bottom"/>
            <w:hideMark/>
          </w:tcPr>
          <w:p w14:paraId="5D34EBE6"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22</w:t>
            </w:r>
          </w:p>
        </w:tc>
        <w:tc>
          <w:tcPr>
            <w:tcW w:w="362" w:type="pct"/>
            <w:tcBorders>
              <w:top w:val="nil"/>
              <w:left w:val="nil"/>
              <w:bottom w:val="single" w:sz="4" w:space="0" w:color="auto"/>
              <w:right w:val="nil"/>
            </w:tcBorders>
            <w:shd w:val="clear" w:color="000000" w:fill="F2F2F2"/>
            <w:noWrap/>
            <w:vAlign w:val="bottom"/>
            <w:hideMark/>
          </w:tcPr>
          <w:p w14:paraId="524AAD8C" w14:textId="4F49E0A0" w:rsidR="007D0FE9" w:rsidRPr="00062DAF" w:rsidRDefault="00BD4D19" w:rsidP="007D0FE9">
            <w:pPr>
              <w:spacing w:after="0" w:line="240" w:lineRule="auto"/>
              <w:jc w:val="right"/>
              <w:rPr>
                <w:rFonts w:ascii="Arial" w:hAnsi="Arial" w:cs="Arial"/>
                <w:color w:val="auto"/>
                <w:sz w:val="16"/>
                <w:szCs w:val="16"/>
              </w:rPr>
            </w:pPr>
            <w:r>
              <w:rPr>
                <w:rFonts w:ascii="Arial" w:hAnsi="Arial" w:cs="Arial"/>
                <w:color w:val="auto"/>
                <w:sz w:val="16"/>
                <w:szCs w:val="16"/>
              </w:rPr>
              <w:noBreakHyphen/>
            </w:r>
          </w:p>
        </w:tc>
      </w:tr>
      <w:tr w:rsidR="007D0FE9" w:rsidRPr="007D0FE9" w14:paraId="79C2366C" w14:textId="77777777" w:rsidTr="00581E71">
        <w:trPr>
          <w:trHeight w:val="225"/>
        </w:trPr>
        <w:tc>
          <w:tcPr>
            <w:tcW w:w="1479" w:type="pct"/>
            <w:tcBorders>
              <w:top w:val="nil"/>
              <w:left w:val="nil"/>
              <w:bottom w:val="nil"/>
              <w:right w:val="nil"/>
            </w:tcBorders>
            <w:shd w:val="clear" w:color="auto" w:fill="auto"/>
            <w:noWrap/>
            <w:vAlign w:val="bottom"/>
            <w:hideMark/>
          </w:tcPr>
          <w:p w14:paraId="4C9AE554" w14:textId="2F43673E" w:rsidR="007D0FE9" w:rsidRPr="007D0FE9" w:rsidRDefault="007D0FE9" w:rsidP="007D0FE9">
            <w:pPr>
              <w:spacing w:after="0" w:line="240" w:lineRule="auto"/>
              <w:jc w:val="left"/>
              <w:rPr>
                <w:rFonts w:ascii="Arial" w:hAnsi="Arial" w:cs="Arial"/>
                <w:i/>
                <w:iCs/>
                <w:color w:val="auto"/>
                <w:sz w:val="16"/>
                <w:szCs w:val="16"/>
              </w:rPr>
            </w:pPr>
            <w:r w:rsidRPr="007D0FE9">
              <w:rPr>
                <w:rFonts w:ascii="Arial" w:hAnsi="Arial" w:cs="Arial"/>
                <w:i/>
                <w:iCs/>
                <w:color w:val="auto"/>
                <w:sz w:val="16"/>
                <w:szCs w:val="16"/>
              </w:rPr>
              <w:t>Sub</w:t>
            </w:r>
            <w:r w:rsidR="00BD4D19">
              <w:rPr>
                <w:rFonts w:ascii="Arial" w:hAnsi="Arial" w:cs="Arial"/>
                <w:i/>
                <w:iCs/>
                <w:color w:val="auto"/>
                <w:sz w:val="16"/>
                <w:szCs w:val="16"/>
              </w:rPr>
              <w:noBreakHyphen/>
            </w:r>
            <w:r w:rsidRPr="007D0FE9">
              <w:rPr>
                <w:rFonts w:ascii="Arial" w:hAnsi="Arial" w:cs="Arial"/>
                <w:i/>
                <w:iCs/>
                <w:color w:val="auto"/>
                <w:sz w:val="16"/>
                <w:szCs w:val="16"/>
              </w:rPr>
              <w:t xml:space="preserve">total </w:t>
            </w:r>
            <w:r w:rsidR="00BD4D19">
              <w:rPr>
                <w:rFonts w:ascii="Arial" w:hAnsi="Arial" w:cs="Arial"/>
                <w:i/>
                <w:iCs/>
                <w:color w:val="auto"/>
                <w:sz w:val="16"/>
                <w:szCs w:val="16"/>
              </w:rPr>
              <w:t>‘</w:t>
            </w:r>
            <w:r w:rsidRPr="007D0FE9">
              <w:rPr>
                <w:rFonts w:ascii="Arial" w:hAnsi="Arial" w:cs="Arial"/>
                <w:i/>
                <w:iCs/>
                <w:color w:val="auto"/>
                <w:sz w:val="16"/>
                <w:szCs w:val="16"/>
              </w:rPr>
              <w:t>New dwellings</w:t>
            </w:r>
            <w:r w:rsidR="00BD4D19">
              <w:rPr>
                <w:rFonts w:ascii="Arial" w:hAnsi="Arial" w:cs="Arial"/>
                <w:i/>
                <w:iCs/>
                <w:color w:val="auto"/>
                <w:sz w:val="16"/>
                <w:szCs w:val="16"/>
              </w:rPr>
              <w:t>’</w:t>
            </w:r>
          </w:p>
        </w:tc>
        <w:tc>
          <w:tcPr>
            <w:tcW w:w="169" w:type="pct"/>
            <w:tcBorders>
              <w:top w:val="nil"/>
              <w:left w:val="nil"/>
              <w:bottom w:val="nil"/>
              <w:right w:val="nil"/>
            </w:tcBorders>
            <w:shd w:val="clear" w:color="auto" w:fill="auto"/>
            <w:noWrap/>
            <w:vAlign w:val="bottom"/>
            <w:hideMark/>
          </w:tcPr>
          <w:p w14:paraId="6D5CADDD" w14:textId="77777777" w:rsidR="007D0FE9" w:rsidRPr="007D0FE9" w:rsidRDefault="007D0FE9" w:rsidP="007D0FE9">
            <w:pPr>
              <w:spacing w:after="0" w:line="240" w:lineRule="auto"/>
              <w:jc w:val="left"/>
              <w:rPr>
                <w:rFonts w:ascii="Arial" w:hAnsi="Arial" w:cs="Arial"/>
                <w:i/>
                <w:iCs/>
                <w:color w:val="auto"/>
                <w:sz w:val="16"/>
                <w:szCs w:val="16"/>
              </w:rPr>
            </w:pPr>
          </w:p>
        </w:tc>
        <w:tc>
          <w:tcPr>
            <w:tcW w:w="458" w:type="pct"/>
            <w:tcBorders>
              <w:top w:val="nil"/>
              <w:left w:val="nil"/>
              <w:bottom w:val="nil"/>
              <w:right w:val="nil"/>
            </w:tcBorders>
            <w:shd w:val="clear" w:color="000000" w:fill="FFFFFF"/>
            <w:noWrap/>
            <w:vAlign w:val="bottom"/>
            <w:hideMark/>
          </w:tcPr>
          <w:p w14:paraId="1786FC23"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7,910</w:t>
            </w:r>
          </w:p>
        </w:tc>
        <w:tc>
          <w:tcPr>
            <w:tcW w:w="342" w:type="pct"/>
            <w:tcBorders>
              <w:top w:val="nil"/>
              <w:left w:val="nil"/>
              <w:bottom w:val="nil"/>
              <w:right w:val="nil"/>
            </w:tcBorders>
            <w:shd w:val="clear" w:color="auto" w:fill="auto"/>
            <w:noWrap/>
            <w:vAlign w:val="bottom"/>
            <w:hideMark/>
          </w:tcPr>
          <w:p w14:paraId="30838024"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20.7</w:t>
            </w:r>
          </w:p>
        </w:tc>
        <w:tc>
          <w:tcPr>
            <w:tcW w:w="458" w:type="pct"/>
            <w:tcBorders>
              <w:top w:val="nil"/>
              <w:left w:val="nil"/>
              <w:bottom w:val="nil"/>
              <w:right w:val="nil"/>
            </w:tcBorders>
            <w:shd w:val="clear" w:color="auto" w:fill="auto"/>
            <w:noWrap/>
            <w:vAlign w:val="bottom"/>
            <w:hideMark/>
          </w:tcPr>
          <w:p w14:paraId="3FD7AC1C"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5,694</w:t>
            </w:r>
          </w:p>
        </w:tc>
        <w:tc>
          <w:tcPr>
            <w:tcW w:w="342" w:type="pct"/>
            <w:tcBorders>
              <w:top w:val="nil"/>
              <w:left w:val="nil"/>
              <w:bottom w:val="nil"/>
              <w:right w:val="nil"/>
            </w:tcBorders>
            <w:shd w:val="clear" w:color="auto" w:fill="auto"/>
            <w:noWrap/>
            <w:vAlign w:val="bottom"/>
            <w:hideMark/>
          </w:tcPr>
          <w:p w14:paraId="4FF28F81"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7.7</w:t>
            </w:r>
          </w:p>
        </w:tc>
        <w:tc>
          <w:tcPr>
            <w:tcW w:w="516" w:type="pct"/>
            <w:tcBorders>
              <w:top w:val="nil"/>
              <w:left w:val="nil"/>
              <w:bottom w:val="nil"/>
              <w:right w:val="nil"/>
            </w:tcBorders>
            <w:shd w:val="clear" w:color="auto" w:fill="auto"/>
            <w:noWrap/>
            <w:vAlign w:val="bottom"/>
            <w:hideMark/>
          </w:tcPr>
          <w:p w14:paraId="27781FD5" w14:textId="77777777" w:rsidR="007D0FE9" w:rsidRPr="00453670" w:rsidRDefault="007D0FE9" w:rsidP="007D0FE9">
            <w:pPr>
              <w:spacing w:after="0" w:line="240" w:lineRule="auto"/>
              <w:jc w:val="left"/>
              <w:rPr>
                <w:rFonts w:ascii="Arial" w:hAnsi="Arial" w:cs="Arial"/>
                <w:i/>
                <w:iCs/>
                <w:sz w:val="16"/>
                <w:szCs w:val="16"/>
              </w:rPr>
            </w:pPr>
            <w:r w:rsidRPr="00453670">
              <w:rPr>
                <w:rFonts w:ascii="Arial" w:hAnsi="Arial" w:cs="Arial"/>
                <w:i/>
                <w:iCs/>
                <w:sz w:val="16"/>
                <w:szCs w:val="16"/>
              </w:rPr>
              <w:t xml:space="preserve">   3,986 </w:t>
            </w:r>
          </w:p>
        </w:tc>
        <w:tc>
          <w:tcPr>
            <w:tcW w:w="342" w:type="pct"/>
            <w:tcBorders>
              <w:top w:val="single" w:sz="4" w:space="0" w:color="auto"/>
              <w:left w:val="nil"/>
              <w:bottom w:val="nil"/>
              <w:right w:val="nil"/>
            </w:tcBorders>
            <w:shd w:val="clear" w:color="auto" w:fill="auto"/>
            <w:noWrap/>
            <w:vAlign w:val="bottom"/>
            <w:hideMark/>
          </w:tcPr>
          <w:p w14:paraId="4669EB4C" w14:textId="77777777" w:rsidR="007D0FE9" w:rsidRPr="00453670" w:rsidRDefault="007D0FE9" w:rsidP="007D0FE9">
            <w:pPr>
              <w:spacing w:after="0" w:line="240" w:lineRule="auto"/>
              <w:jc w:val="right"/>
              <w:rPr>
                <w:rFonts w:ascii="Arial" w:hAnsi="Arial" w:cs="Arial"/>
                <w:i/>
                <w:iCs/>
                <w:sz w:val="16"/>
                <w:szCs w:val="16"/>
              </w:rPr>
            </w:pPr>
            <w:r w:rsidRPr="00453670">
              <w:rPr>
                <w:rFonts w:ascii="Arial" w:hAnsi="Arial" w:cs="Arial"/>
                <w:i/>
                <w:iCs/>
                <w:sz w:val="16"/>
                <w:szCs w:val="16"/>
              </w:rPr>
              <w:t>4.8</w:t>
            </w:r>
          </w:p>
        </w:tc>
        <w:tc>
          <w:tcPr>
            <w:tcW w:w="532" w:type="pct"/>
            <w:tcBorders>
              <w:top w:val="single" w:sz="4" w:space="0" w:color="auto"/>
              <w:left w:val="nil"/>
              <w:bottom w:val="nil"/>
              <w:right w:val="nil"/>
            </w:tcBorders>
            <w:shd w:val="clear" w:color="000000" w:fill="F2F2F2"/>
            <w:noWrap/>
            <w:vAlign w:val="bottom"/>
            <w:hideMark/>
          </w:tcPr>
          <w:p w14:paraId="68748FEF"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3,899</w:t>
            </w:r>
          </w:p>
        </w:tc>
        <w:tc>
          <w:tcPr>
            <w:tcW w:w="362" w:type="pct"/>
            <w:tcBorders>
              <w:top w:val="single" w:sz="4" w:space="0" w:color="auto"/>
              <w:left w:val="nil"/>
              <w:bottom w:val="nil"/>
              <w:right w:val="nil"/>
            </w:tcBorders>
            <w:shd w:val="clear" w:color="000000" w:fill="F2F2F2"/>
            <w:noWrap/>
            <w:vAlign w:val="bottom"/>
            <w:hideMark/>
          </w:tcPr>
          <w:p w14:paraId="5AC2AF0C"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4.9</w:t>
            </w:r>
          </w:p>
        </w:tc>
      </w:tr>
      <w:tr w:rsidR="007D0FE9" w:rsidRPr="007D0FE9" w14:paraId="72B972D4" w14:textId="77777777" w:rsidTr="00034B5E">
        <w:trPr>
          <w:trHeight w:val="225"/>
        </w:trPr>
        <w:tc>
          <w:tcPr>
            <w:tcW w:w="1479" w:type="pct"/>
            <w:tcBorders>
              <w:top w:val="nil"/>
              <w:left w:val="nil"/>
              <w:bottom w:val="nil"/>
              <w:right w:val="nil"/>
            </w:tcBorders>
            <w:shd w:val="clear" w:color="auto" w:fill="auto"/>
            <w:noWrap/>
            <w:vAlign w:val="bottom"/>
            <w:hideMark/>
          </w:tcPr>
          <w:p w14:paraId="2AAECFFC" w14:textId="628F17CF" w:rsidR="007D0FE9" w:rsidRPr="007D0FE9" w:rsidRDefault="00BD4D19" w:rsidP="007D0FE9">
            <w:pPr>
              <w:spacing w:after="0" w:line="240" w:lineRule="auto"/>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Redevelopment</w:t>
            </w:r>
          </w:p>
        </w:tc>
        <w:tc>
          <w:tcPr>
            <w:tcW w:w="169" w:type="pct"/>
            <w:tcBorders>
              <w:top w:val="nil"/>
              <w:left w:val="nil"/>
              <w:bottom w:val="nil"/>
              <w:right w:val="nil"/>
            </w:tcBorders>
            <w:shd w:val="clear" w:color="auto" w:fill="auto"/>
            <w:noWrap/>
            <w:vAlign w:val="bottom"/>
            <w:hideMark/>
          </w:tcPr>
          <w:p w14:paraId="0F6DCF0A" w14:textId="77777777" w:rsidR="007D0FE9" w:rsidRPr="007D0FE9" w:rsidRDefault="007D0FE9" w:rsidP="007D0FE9">
            <w:pPr>
              <w:spacing w:after="0" w:line="240" w:lineRule="auto"/>
              <w:jc w:val="left"/>
              <w:rPr>
                <w:rFonts w:ascii="Arial" w:hAnsi="Arial" w:cs="Arial"/>
                <w:color w:val="auto"/>
                <w:sz w:val="16"/>
                <w:szCs w:val="16"/>
              </w:rPr>
            </w:pPr>
          </w:p>
        </w:tc>
        <w:tc>
          <w:tcPr>
            <w:tcW w:w="458" w:type="pct"/>
            <w:tcBorders>
              <w:top w:val="nil"/>
              <w:left w:val="nil"/>
              <w:bottom w:val="nil"/>
              <w:right w:val="nil"/>
            </w:tcBorders>
            <w:shd w:val="clear" w:color="auto" w:fill="auto"/>
            <w:noWrap/>
            <w:vAlign w:val="bottom"/>
            <w:hideMark/>
          </w:tcPr>
          <w:p w14:paraId="02AC79F8"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335</w:t>
            </w:r>
          </w:p>
        </w:tc>
        <w:tc>
          <w:tcPr>
            <w:tcW w:w="342" w:type="pct"/>
            <w:tcBorders>
              <w:top w:val="nil"/>
              <w:left w:val="nil"/>
              <w:bottom w:val="nil"/>
              <w:right w:val="nil"/>
            </w:tcBorders>
            <w:shd w:val="clear" w:color="auto" w:fill="auto"/>
            <w:noWrap/>
            <w:vAlign w:val="bottom"/>
            <w:hideMark/>
          </w:tcPr>
          <w:p w14:paraId="2DCFCF93"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0.9</w:t>
            </w:r>
          </w:p>
        </w:tc>
        <w:tc>
          <w:tcPr>
            <w:tcW w:w="458" w:type="pct"/>
            <w:tcBorders>
              <w:top w:val="nil"/>
              <w:left w:val="nil"/>
              <w:bottom w:val="nil"/>
              <w:right w:val="nil"/>
            </w:tcBorders>
            <w:shd w:val="clear" w:color="auto" w:fill="auto"/>
            <w:noWrap/>
            <w:vAlign w:val="bottom"/>
            <w:hideMark/>
          </w:tcPr>
          <w:p w14:paraId="185B01E4"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315</w:t>
            </w:r>
          </w:p>
        </w:tc>
        <w:tc>
          <w:tcPr>
            <w:tcW w:w="342" w:type="pct"/>
            <w:tcBorders>
              <w:top w:val="nil"/>
              <w:left w:val="nil"/>
              <w:bottom w:val="nil"/>
              <w:right w:val="nil"/>
            </w:tcBorders>
            <w:shd w:val="clear" w:color="auto" w:fill="auto"/>
            <w:noWrap/>
            <w:vAlign w:val="bottom"/>
            <w:hideMark/>
          </w:tcPr>
          <w:p w14:paraId="766436E1"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0.8</w:t>
            </w:r>
          </w:p>
        </w:tc>
        <w:tc>
          <w:tcPr>
            <w:tcW w:w="516" w:type="pct"/>
            <w:tcBorders>
              <w:top w:val="nil"/>
              <w:left w:val="nil"/>
              <w:bottom w:val="nil"/>
              <w:right w:val="nil"/>
            </w:tcBorders>
            <w:shd w:val="clear" w:color="auto" w:fill="auto"/>
            <w:noWrap/>
            <w:vAlign w:val="bottom"/>
            <w:hideMark/>
          </w:tcPr>
          <w:p w14:paraId="7D9A58A2"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xml:space="preserve">       262 </w:t>
            </w:r>
          </w:p>
        </w:tc>
        <w:tc>
          <w:tcPr>
            <w:tcW w:w="342" w:type="pct"/>
            <w:tcBorders>
              <w:top w:val="nil"/>
              <w:left w:val="nil"/>
              <w:bottom w:val="nil"/>
              <w:right w:val="nil"/>
            </w:tcBorders>
            <w:shd w:val="clear" w:color="auto" w:fill="auto"/>
            <w:noWrap/>
            <w:vAlign w:val="bottom"/>
            <w:hideMark/>
          </w:tcPr>
          <w:p w14:paraId="25474BA5" w14:textId="77777777" w:rsidR="007D0FE9" w:rsidRPr="007D0FE9" w:rsidRDefault="007D0FE9" w:rsidP="007D0FE9">
            <w:pPr>
              <w:spacing w:after="0" w:line="240" w:lineRule="auto"/>
              <w:jc w:val="right"/>
              <w:rPr>
                <w:rFonts w:ascii="Arial" w:hAnsi="Arial" w:cs="Arial"/>
                <w:sz w:val="16"/>
                <w:szCs w:val="16"/>
              </w:rPr>
            </w:pPr>
            <w:r w:rsidRPr="007D0FE9">
              <w:rPr>
                <w:rFonts w:ascii="Arial" w:hAnsi="Arial" w:cs="Arial"/>
                <w:sz w:val="16"/>
                <w:szCs w:val="16"/>
              </w:rPr>
              <w:t>0.5</w:t>
            </w:r>
          </w:p>
        </w:tc>
        <w:tc>
          <w:tcPr>
            <w:tcW w:w="532" w:type="pct"/>
            <w:tcBorders>
              <w:top w:val="nil"/>
              <w:left w:val="nil"/>
              <w:bottom w:val="nil"/>
              <w:right w:val="nil"/>
            </w:tcBorders>
            <w:shd w:val="clear" w:color="000000" w:fill="F2F2F2"/>
            <w:noWrap/>
            <w:vAlign w:val="bottom"/>
            <w:hideMark/>
          </w:tcPr>
          <w:p w14:paraId="3B2DB81B"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149</w:t>
            </w:r>
          </w:p>
        </w:tc>
        <w:tc>
          <w:tcPr>
            <w:tcW w:w="362" w:type="pct"/>
            <w:tcBorders>
              <w:top w:val="nil"/>
              <w:left w:val="nil"/>
              <w:bottom w:val="nil"/>
              <w:right w:val="nil"/>
            </w:tcBorders>
            <w:shd w:val="clear" w:color="000000" w:fill="F2F2F2"/>
            <w:noWrap/>
            <w:vAlign w:val="bottom"/>
            <w:hideMark/>
          </w:tcPr>
          <w:p w14:paraId="63FCC25E"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0.3</w:t>
            </w:r>
          </w:p>
        </w:tc>
      </w:tr>
      <w:tr w:rsidR="007D0FE9" w:rsidRPr="007D0FE9" w14:paraId="1528B7C3" w14:textId="77777777" w:rsidTr="00034B5E">
        <w:trPr>
          <w:trHeight w:val="225"/>
        </w:trPr>
        <w:tc>
          <w:tcPr>
            <w:tcW w:w="1479" w:type="pct"/>
            <w:tcBorders>
              <w:top w:val="nil"/>
              <w:left w:val="nil"/>
              <w:bottom w:val="nil"/>
              <w:right w:val="nil"/>
            </w:tcBorders>
            <w:shd w:val="clear" w:color="auto" w:fill="auto"/>
            <w:noWrap/>
            <w:vAlign w:val="bottom"/>
            <w:hideMark/>
          </w:tcPr>
          <w:p w14:paraId="4F771152" w14:textId="307454E1" w:rsidR="007D0FE9" w:rsidRPr="007D0FE9" w:rsidRDefault="00BD4D19" w:rsidP="007D0FE9">
            <w:pPr>
              <w:spacing w:after="0" w:line="240" w:lineRule="auto"/>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Exemption certificate</w:t>
            </w:r>
          </w:p>
        </w:tc>
        <w:tc>
          <w:tcPr>
            <w:tcW w:w="169" w:type="pct"/>
            <w:tcBorders>
              <w:top w:val="nil"/>
              <w:left w:val="nil"/>
              <w:bottom w:val="nil"/>
              <w:right w:val="nil"/>
            </w:tcBorders>
            <w:shd w:val="clear" w:color="auto" w:fill="auto"/>
            <w:noWrap/>
            <w:vAlign w:val="bottom"/>
            <w:hideMark/>
          </w:tcPr>
          <w:p w14:paraId="25E05C9E" w14:textId="77777777" w:rsidR="007D0FE9" w:rsidRPr="007D0FE9" w:rsidRDefault="007D0FE9" w:rsidP="007D0FE9">
            <w:pPr>
              <w:spacing w:after="0" w:line="240" w:lineRule="auto"/>
              <w:jc w:val="left"/>
              <w:rPr>
                <w:rFonts w:ascii="Arial" w:hAnsi="Arial" w:cs="Arial"/>
                <w:color w:val="auto"/>
                <w:sz w:val="16"/>
                <w:szCs w:val="16"/>
              </w:rPr>
            </w:pPr>
          </w:p>
        </w:tc>
        <w:tc>
          <w:tcPr>
            <w:tcW w:w="458" w:type="pct"/>
            <w:tcBorders>
              <w:top w:val="nil"/>
              <w:left w:val="nil"/>
              <w:bottom w:val="single" w:sz="4" w:space="0" w:color="auto"/>
              <w:right w:val="nil"/>
            </w:tcBorders>
            <w:shd w:val="clear" w:color="auto" w:fill="auto"/>
            <w:noWrap/>
            <w:vAlign w:val="bottom"/>
            <w:hideMark/>
          </w:tcPr>
          <w:p w14:paraId="2B4DED78"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34</w:t>
            </w:r>
          </w:p>
        </w:tc>
        <w:tc>
          <w:tcPr>
            <w:tcW w:w="342" w:type="pct"/>
            <w:tcBorders>
              <w:top w:val="nil"/>
              <w:left w:val="nil"/>
              <w:bottom w:val="single" w:sz="4" w:space="0" w:color="auto"/>
              <w:right w:val="nil"/>
            </w:tcBorders>
            <w:shd w:val="clear" w:color="auto" w:fill="auto"/>
            <w:noWrap/>
            <w:vAlign w:val="bottom"/>
            <w:hideMark/>
          </w:tcPr>
          <w:p w14:paraId="679BE6CA"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4.3</w:t>
            </w:r>
          </w:p>
        </w:tc>
        <w:tc>
          <w:tcPr>
            <w:tcW w:w="458" w:type="pct"/>
            <w:tcBorders>
              <w:top w:val="nil"/>
              <w:left w:val="nil"/>
              <w:bottom w:val="single" w:sz="4" w:space="0" w:color="auto"/>
              <w:right w:val="nil"/>
            </w:tcBorders>
            <w:shd w:val="clear" w:color="auto" w:fill="auto"/>
            <w:noWrap/>
            <w:vAlign w:val="bottom"/>
            <w:hideMark/>
          </w:tcPr>
          <w:p w14:paraId="62F1B72F"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13</w:t>
            </w:r>
          </w:p>
        </w:tc>
        <w:tc>
          <w:tcPr>
            <w:tcW w:w="342" w:type="pct"/>
            <w:tcBorders>
              <w:top w:val="nil"/>
              <w:left w:val="nil"/>
              <w:bottom w:val="single" w:sz="4" w:space="0" w:color="auto"/>
              <w:right w:val="nil"/>
            </w:tcBorders>
            <w:shd w:val="clear" w:color="auto" w:fill="auto"/>
            <w:noWrap/>
            <w:vAlign w:val="bottom"/>
            <w:hideMark/>
          </w:tcPr>
          <w:p w14:paraId="6E0D842D"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0.8</w:t>
            </w:r>
          </w:p>
        </w:tc>
        <w:tc>
          <w:tcPr>
            <w:tcW w:w="516" w:type="pct"/>
            <w:tcBorders>
              <w:top w:val="nil"/>
              <w:left w:val="nil"/>
              <w:bottom w:val="single" w:sz="4" w:space="0" w:color="auto"/>
              <w:right w:val="nil"/>
            </w:tcBorders>
            <w:shd w:val="clear" w:color="auto" w:fill="auto"/>
            <w:noWrap/>
            <w:vAlign w:val="bottom"/>
            <w:hideMark/>
          </w:tcPr>
          <w:p w14:paraId="1794A717" w14:textId="77777777" w:rsidR="007D0FE9" w:rsidRPr="007D0FE9" w:rsidRDefault="007D0FE9" w:rsidP="007D0FE9">
            <w:pPr>
              <w:spacing w:after="0" w:line="240" w:lineRule="auto"/>
              <w:jc w:val="left"/>
              <w:rPr>
                <w:rFonts w:ascii="Arial" w:hAnsi="Arial" w:cs="Arial"/>
                <w:sz w:val="16"/>
                <w:szCs w:val="16"/>
              </w:rPr>
            </w:pPr>
            <w:r w:rsidRPr="007D0FE9">
              <w:rPr>
                <w:rFonts w:ascii="Arial" w:hAnsi="Arial" w:cs="Arial"/>
                <w:sz w:val="16"/>
                <w:szCs w:val="16"/>
              </w:rPr>
              <w:t xml:space="preserve">         40 </w:t>
            </w:r>
          </w:p>
        </w:tc>
        <w:tc>
          <w:tcPr>
            <w:tcW w:w="342" w:type="pct"/>
            <w:tcBorders>
              <w:top w:val="nil"/>
              <w:left w:val="nil"/>
              <w:bottom w:val="single" w:sz="4" w:space="0" w:color="auto"/>
              <w:right w:val="nil"/>
            </w:tcBorders>
            <w:shd w:val="clear" w:color="auto" w:fill="auto"/>
            <w:noWrap/>
            <w:vAlign w:val="bottom"/>
            <w:hideMark/>
          </w:tcPr>
          <w:p w14:paraId="3CDAD0D5" w14:textId="77777777" w:rsidR="007D0FE9" w:rsidRPr="007D0FE9" w:rsidRDefault="007D0FE9" w:rsidP="007D0FE9">
            <w:pPr>
              <w:spacing w:after="0" w:line="240" w:lineRule="auto"/>
              <w:jc w:val="right"/>
              <w:rPr>
                <w:rFonts w:ascii="Arial" w:hAnsi="Arial" w:cs="Arial"/>
                <w:sz w:val="16"/>
                <w:szCs w:val="16"/>
              </w:rPr>
            </w:pPr>
            <w:r w:rsidRPr="007D0FE9">
              <w:rPr>
                <w:rFonts w:ascii="Arial" w:hAnsi="Arial" w:cs="Arial"/>
                <w:sz w:val="16"/>
                <w:szCs w:val="16"/>
              </w:rPr>
              <w:t>6.8</w:t>
            </w:r>
          </w:p>
        </w:tc>
        <w:tc>
          <w:tcPr>
            <w:tcW w:w="532" w:type="pct"/>
            <w:tcBorders>
              <w:top w:val="nil"/>
              <w:left w:val="nil"/>
              <w:bottom w:val="nil"/>
              <w:right w:val="nil"/>
            </w:tcBorders>
            <w:shd w:val="clear" w:color="000000" w:fill="F2F2F2"/>
            <w:noWrap/>
            <w:vAlign w:val="bottom"/>
            <w:hideMark/>
          </w:tcPr>
          <w:p w14:paraId="318A4D0D"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34</w:t>
            </w:r>
          </w:p>
        </w:tc>
        <w:tc>
          <w:tcPr>
            <w:tcW w:w="362" w:type="pct"/>
            <w:tcBorders>
              <w:top w:val="nil"/>
              <w:left w:val="nil"/>
              <w:bottom w:val="nil"/>
              <w:right w:val="nil"/>
            </w:tcBorders>
            <w:shd w:val="clear" w:color="000000" w:fill="F2F2F2"/>
            <w:noWrap/>
            <w:vAlign w:val="bottom"/>
            <w:hideMark/>
          </w:tcPr>
          <w:p w14:paraId="21BAC51D" w14:textId="77777777" w:rsidR="007D0FE9" w:rsidRPr="00062DAF" w:rsidRDefault="007D0FE9" w:rsidP="007D0FE9">
            <w:pPr>
              <w:spacing w:after="0" w:line="240" w:lineRule="auto"/>
              <w:jc w:val="right"/>
              <w:rPr>
                <w:rFonts w:ascii="Arial" w:hAnsi="Arial" w:cs="Arial"/>
                <w:color w:val="auto"/>
                <w:sz w:val="16"/>
                <w:szCs w:val="16"/>
              </w:rPr>
            </w:pPr>
            <w:r w:rsidRPr="00062DAF">
              <w:rPr>
                <w:rFonts w:ascii="Arial" w:hAnsi="Arial" w:cs="Arial"/>
                <w:color w:val="auto"/>
                <w:sz w:val="16"/>
                <w:szCs w:val="16"/>
              </w:rPr>
              <w:t>6.3</w:t>
            </w:r>
          </w:p>
        </w:tc>
      </w:tr>
      <w:tr w:rsidR="007D0FE9" w:rsidRPr="007D0FE9" w14:paraId="3251E0F9" w14:textId="77777777" w:rsidTr="00034B5E">
        <w:trPr>
          <w:trHeight w:val="225"/>
        </w:trPr>
        <w:tc>
          <w:tcPr>
            <w:tcW w:w="1479" w:type="pct"/>
            <w:tcBorders>
              <w:top w:val="nil"/>
              <w:left w:val="nil"/>
              <w:bottom w:val="nil"/>
              <w:right w:val="nil"/>
            </w:tcBorders>
            <w:shd w:val="clear" w:color="auto" w:fill="auto"/>
            <w:noWrap/>
            <w:vAlign w:val="bottom"/>
            <w:hideMark/>
          </w:tcPr>
          <w:p w14:paraId="561E7F97" w14:textId="72F3FEF5" w:rsidR="007D0FE9" w:rsidRPr="007D0FE9" w:rsidRDefault="007D0FE9" w:rsidP="007D0FE9">
            <w:pPr>
              <w:spacing w:after="0" w:line="240" w:lineRule="auto"/>
              <w:jc w:val="left"/>
              <w:rPr>
                <w:rFonts w:ascii="Arial" w:hAnsi="Arial" w:cs="Arial"/>
                <w:i/>
                <w:iCs/>
                <w:color w:val="auto"/>
                <w:sz w:val="16"/>
                <w:szCs w:val="16"/>
              </w:rPr>
            </w:pPr>
            <w:r w:rsidRPr="007D0FE9">
              <w:rPr>
                <w:rFonts w:ascii="Arial" w:hAnsi="Arial" w:cs="Arial"/>
                <w:i/>
                <w:iCs/>
                <w:color w:val="auto"/>
                <w:sz w:val="16"/>
                <w:szCs w:val="16"/>
              </w:rPr>
              <w:t>Sub</w:t>
            </w:r>
            <w:r w:rsidR="00BD4D19">
              <w:rPr>
                <w:rFonts w:ascii="Arial" w:hAnsi="Arial" w:cs="Arial"/>
                <w:i/>
                <w:iCs/>
                <w:color w:val="auto"/>
                <w:sz w:val="16"/>
                <w:szCs w:val="16"/>
              </w:rPr>
              <w:noBreakHyphen/>
            </w:r>
            <w:r w:rsidRPr="007D0FE9">
              <w:rPr>
                <w:rFonts w:ascii="Arial" w:hAnsi="Arial" w:cs="Arial"/>
                <w:i/>
                <w:iCs/>
                <w:color w:val="auto"/>
                <w:sz w:val="16"/>
                <w:szCs w:val="16"/>
              </w:rPr>
              <w:t xml:space="preserve">total </w:t>
            </w:r>
            <w:r w:rsidR="00BD4D19">
              <w:rPr>
                <w:rFonts w:ascii="Arial" w:hAnsi="Arial" w:cs="Arial"/>
                <w:i/>
                <w:iCs/>
                <w:color w:val="auto"/>
                <w:sz w:val="16"/>
                <w:szCs w:val="16"/>
              </w:rPr>
              <w:t>‘</w:t>
            </w:r>
            <w:r w:rsidRPr="007D0FE9">
              <w:rPr>
                <w:rFonts w:ascii="Arial" w:hAnsi="Arial" w:cs="Arial"/>
                <w:i/>
                <w:iCs/>
                <w:color w:val="auto"/>
                <w:sz w:val="16"/>
                <w:szCs w:val="16"/>
              </w:rPr>
              <w:t>For development</w:t>
            </w:r>
            <w:r w:rsidR="00BD4D19">
              <w:rPr>
                <w:rFonts w:ascii="Arial" w:hAnsi="Arial" w:cs="Arial"/>
                <w:i/>
                <w:iCs/>
                <w:color w:val="auto"/>
                <w:sz w:val="16"/>
                <w:szCs w:val="16"/>
              </w:rPr>
              <w:t>’</w:t>
            </w:r>
          </w:p>
        </w:tc>
        <w:tc>
          <w:tcPr>
            <w:tcW w:w="169" w:type="pct"/>
            <w:tcBorders>
              <w:top w:val="nil"/>
              <w:left w:val="nil"/>
              <w:bottom w:val="nil"/>
              <w:right w:val="nil"/>
            </w:tcBorders>
            <w:shd w:val="clear" w:color="auto" w:fill="auto"/>
            <w:noWrap/>
            <w:vAlign w:val="bottom"/>
            <w:hideMark/>
          </w:tcPr>
          <w:p w14:paraId="6B11B632" w14:textId="77777777" w:rsidR="007D0FE9" w:rsidRPr="007D0FE9" w:rsidRDefault="007D0FE9" w:rsidP="007D0FE9">
            <w:pPr>
              <w:spacing w:after="0" w:line="240" w:lineRule="auto"/>
              <w:jc w:val="left"/>
              <w:rPr>
                <w:rFonts w:ascii="Arial" w:hAnsi="Arial" w:cs="Arial"/>
                <w:i/>
                <w:iCs/>
                <w:color w:val="auto"/>
                <w:sz w:val="16"/>
                <w:szCs w:val="16"/>
              </w:rPr>
            </w:pPr>
          </w:p>
        </w:tc>
        <w:tc>
          <w:tcPr>
            <w:tcW w:w="458" w:type="pct"/>
            <w:tcBorders>
              <w:top w:val="nil"/>
              <w:left w:val="nil"/>
              <w:bottom w:val="single" w:sz="4" w:space="0" w:color="auto"/>
              <w:right w:val="nil"/>
            </w:tcBorders>
            <w:shd w:val="clear" w:color="000000" w:fill="FFFFFF"/>
            <w:noWrap/>
            <w:vAlign w:val="bottom"/>
            <w:hideMark/>
          </w:tcPr>
          <w:p w14:paraId="21877D0C"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11,190</w:t>
            </w:r>
          </w:p>
        </w:tc>
        <w:tc>
          <w:tcPr>
            <w:tcW w:w="342" w:type="pct"/>
            <w:tcBorders>
              <w:top w:val="nil"/>
              <w:left w:val="nil"/>
              <w:bottom w:val="single" w:sz="4" w:space="0" w:color="auto"/>
              <w:right w:val="nil"/>
            </w:tcBorders>
            <w:shd w:val="clear" w:color="auto" w:fill="auto"/>
            <w:noWrap/>
            <w:vAlign w:val="bottom"/>
            <w:hideMark/>
          </w:tcPr>
          <w:p w14:paraId="65D509F4"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27.1</w:t>
            </w:r>
          </w:p>
        </w:tc>
        <w:tc>
          <w:tcPr>
            <w:tcW w:w="458" w:type="pct"/>
            <w:tcBorders>
              <w:top w:val="nil"/>
              <w:left w:val="nil"/>
              <w:bottom w:val="single" w:sz="4" w:space="0" w:color="auto"/>
              <w:right w:val="nil"/>
            </w:tcBorders>
            <w:shd w:val="clear" w:color="auto" w:fill="auto"/>
            <w:noWrap/>
            <w:vAlign w:val="bottom"/>
            <w:hideMark/>
          </w:tcPr>
          <w:p w14:paraId="38EBB241"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8,421</w:t>
            </w:r>
          </w:p>
        </w:tc>
        <w:tc>
          <w:tcPr>
            <w:tcW w:w="342" w:type="pct"/>
            <w:tcBorders>
              <w:top w:val="nil"/>
              <w:left w:val="nil"/>
              <w:bottom w:val="single" w:sz="4" w:space="0" w:color="auto"/>
              <w:right w:val="nil"/>
            </w:tcBorders>
            <w:shd w:val="clear" w:color="auto" w:fill="auto"/>
            <w:noWrap/>
            <w:vAlign w:val="bottom"/>
            <w:hideMark/>
          </w:tcPr>
          <w:p w14:paraId="45222E92"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10.2</w:t>
            </w:r>
          </w:p>
        </w:tc>
        <w:tc>
          <w:tcPr>
            <w:tcW w:w="516" w:type="pct"/>
            <w:tcBorders>
              <w:top w:val="nil"/>
              <w:left w:val="nil"/>
              <w:bottom w:val="single" w:sz="4" w:space="0" w:color="auto"/>
              <w:right w:val="nil"/>
            </w:tcBorders>
            <w:shd w:val="clear" w:color="auto" w:fill="auto"/>
            <w:noWrap/>
            <w:vAlign w:val="bottom"/>
            <w:hideMark/>
          </w:tcPr>
          <w:p w14:paraId="4B617167" w14:textId="77777777" w:rsidR="007D0FE9" w:rsidRPr="00453670" w:rsidRDefault="007D0FE9" w:rsidP="007D0FE9">
            <w:pPr>
              <w:spacing w:after="0" w:line="240" w:lineRule="auto"/>
              <w:jc w:val="left"/>
              <w:rPr>
                <w:rFonts w:ascii="Arial" w:hAnsi="Arial" w:cs="Arial"/>
                <w:i/>
                <w:iCs/>
                <w:sz w:val="16"/>
                <w:szCs w:val="16"/>
              </w:rPr>
            </w:pPr>
            <w:r w:rsidRPr="00453670">
              <w:rPr>
                <w:rFonts w:ascii="Arial" w:hAnsi="Arial" w:cs="Arial"/>
                <w:i/>
                <w:iCs/>
                <w:sz w:val="16"/>
                <w:szCs w:val="16"/>
              </w:rPr>
              <w:t xml:space="preserve">   6,072 </w:t>
            </w:r>
          </w:p>
        </w:tc>
        <w:tc>
          <w:tcPr>
            <w:tcW w:w="342" w:type="pct"/>
            <w:tcBorders>
              <w:top w:val="nil"/>
              <w:left w:val="nil"/>
              <w:bottom w:val="single" w:sz="4" w:space="0" w:color="auto"/>
              <w:right w:val="nil"/>
            </w:tcBorders>
            <w:shd w:val="clear" w:color="auto" w:fill="auto"/>
            <w:noWrap/>
            <w:vAlign w:val="bottom"/>
            <w:hideMark/>
          </w:tcPr>
          <w:p w14:paraId="74485881" w14:textId="77777777" w:rsidR="007D0FE9" w:rsidRPr="00453670" w:rsidRDefault="007D0FE9" w:rsidP="007D0FE9">
            <w:pPr>
              <w:spacing w:after="0" w:line="240" w:lineRule="auto"/>
              <w:jc w:val="right"/>
              <w:rPr>
                <w:rFonts w:ascii="Arial" w:hAnsi="Arial" w:cs="Arial"/>
                <w:i/>
                <w:iCs/>
                <w:sz w:val="16"/>
                <w:szCs w:val="16"/>
              </w:rPr>
            </w:pPr>
            <w:r w:rsidRPr="00453670">
              <w:rPr>
                <w:rFonts w:ascii="Arial" w:hAnsi="Arial" w:cs="Arial"/>
                <w:i/>
                <w:iCs/>
                <w:sz w:val="16"/>
                <w:szCs w:val="16"/>
              </w:rPr>
              <w:t>12.9</w:t>
            </w:r>
          </w:p>
        </w:tc>
        <w:tc>
          <w:tcPr>
            <w:tcW w:w="532" w:type="pct"/>
            <w:tcBorders>
              <w:top w:val="single" w:sz="4" w:space="0" w:color="auto"/>
              <w:left w:val="nil"/>
              <w:bottom w:val="single" w:sz="4" w:space="0" w:color="auto"/>
              <w:right w:val="nil"/>
            </w:tcBorders>
            <w:shd w:val="clear" w:color="000000" w:fill="F2F2F2"/>
            <w:noWrap/>
            <w:vAlign w:val="bottom"/>
            <w:hideMark/>
          </w:tcPr>
          <w:p w14:paraId="16782FC6"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5,660</w:t>
            </w:r>
          </w:p>
        </w:tc>
        <w:tc>
          <w:tcPr>
            <w:tcW w:w="362" w:type="pct"/>
            <w:tcBorders>
              <w:top w:val="single" w:sz="4" w:space="0" w:color="auto"/>
              <w:left w:val="nil"/>
              <w:bottom w:val="single" w:sz="4" w:space="0" w:color="auto"/>
              <w:right w:val="nil"/>
            </w:tcBorders>
            <w:shd w:val="clear" w:color="000000" w:fill="F2F2F2"/>
            <w:noWrap/>
            <w:vAlign w:val="bottom"/>
            <w:hideMark/>
          </w:tcPr>
          <w:p w14:paraId="1BCD696B" w14:textId="77777777" w:rsidR="007D0FE9" w:rsidRPr="00453670" w:rsidRDefault="007D0FE9" w:rsidP="007D0FE9">
            <w:pPr>
              <w:spacing w:after="0" w:line="240" w:lineRule="auto"/>
              <w:jc w:val="right"/>
              <w:rPr>
                <w:rFonts w:ascii="Arial" w:hAnsi="Arial" w:cs="Arial"/>
                <w:i/>
                <w:iCs/>
                <w:color w:val="auto"/>
                <w:sz w:val="16"/>
                <w:szCs w:val="16"/>
              </w:rPr>
            </w:pPr>
            <w:r w:rsidRPr="00453670">
              <w:rPr>
                <w:rFonts w:ascii="Arial" w:hAnsi="Arial" w:cs="Arial"/>
                <w:i/>
                <w:iCs/>
                <w:color w:val="auto"/>
                <w:sz w:val="16"/>
                <w:szCs w:val="16"/>
              </w:rPr>
              <w:t>12.1</w:t>
            </w:r>
          </w:p>
        </w:tc>
      </w:tr>
      <w:tr w:rsidR="007D0FE9" w:rsidRPr="007D0FE9" w14:paraId="0D92B433" w14:textId="77777777" w:rsidTr="00581E71">
        <w:trPr>
          <w:trHeight w:val="430"/>
        </w:trPr>
        <w:tc>
          <w:tcPr>
            <w:tcW w:w="1479" w:type="pct"/>
            <w:tcBorders>
              <w:top w:val="nil"/>
              <w:left w:val="nil"/>
              <w:bottom w:val="nil"/>
              <w:right w:val="nil"/>
            </w:tcBorders>
            <w:shd w:val="clear" w:color="auto" w:fill="auto"/>
            <w:vAlign w:val="bottom"/>
            <w:hideMark/>
          </w:tcPr>
          <w:p w14:paraId="0A3085A7" w14:textId="77777777" w:rsidR="007D0FE9" w:rsidRPr="007D0FE9" w:rsidRDefault="007D0FE9" w:rsidP="007D0FE9">
            <w:pPr>
              <w:spacing w:after="0" w:line="240" w:lineRule="auto"/>
              <w:jc w:val="left"/>
              <w:rPr>
                <w:rFonts w:ascii="Arial" w:hAnsi="Arial" w:cs="Arial"/>
                <w:color w:val="auto"/>
                <w:sz w:val="16"/>
                <w:szCs w:val="16"/>
              </w:rPr>
            </w:pPr>
            <w:r w:rsidRPr="007D0FE9">
              <w:rPr>
                <w:rFonts w:ascii="Arial" w:hAnsi="Arial" w:cs="Arial"/>
                <w:color w:val="auto"/>
                <w:sz w:val="16"/>
                <w:szCs w:val="16"/>
              </w:rPr>
              <w:t>Combination exemption certificates</w:t>
            </w:r>
          </w:p>
        </w:tc>
        <w:tc>
          <w:tcPr>
            <w:tcW w:w="169" w:type="pct"/>
            <w:tcBorders>
              <w:top w:val="nil"/>
              <w:left w:val="nil"/>
              <w:bottom w:val="nil"/>
              <w:right w:val="nil"/>
            </w:tcBorders>
            <w:shd w:val="clear" w:color="auto" w:fill="auto"/>
            <w:noWrap/>
            <w:hideMark/>
          </w:tcPr>
          <w:p w14:paraId="02841F4E" w14:textId="77777777" w:rsidR="007D0FE9" w:rsidRPr="007D0FE9" w:rsidRDefault="007D0FE9" w:rsidP="007D0FE9">
            <w:pPr>
              <w:spacing w:after="0" w:line="240" w:lineRule="auto"/>
              <w:jc w:val="left"/>
              <w:rPr>
                <w:rFonts w:ascii="Arial" w:hAnsi="Arial" w:cs="Arial"/>
                <w:color w:val="auto"/>
                <w:sz w:val="16"/>
                <w:szCs w:val="16"/>
              </w:rPr>
            </w:pPr>
          </w:p>
        </w:tc>
        <w:tc>
          <w:tcPr>
            <w:tcW w:w="458" w:type="pct"/>
            <w:tcBorders>
              <w:top w:val="nil"/>
              <w:left w:val="nil"/>
              <w:bottom w:val="nil"/>
              <w:right w:val="nil"/>
            </w:tcBorders>
            <w:shd w:val="clear" w:color="auto" w:fill="auto"/>
            <w:noWrap/>
            <w:hideMark/>
          </w:tcPr>
          <w:p w14:paraId="21B19954"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hideMark/>
          </w:tcPr>
          <w:p w14:paraId="3553E284" w14:textId="77777777" w:rsidR="007D0FE9" w:rsidRPr="007D0FE9" w:rsidRDefault="007D0FE9" w:rsidP="007D0FE9">
            <w:pPr>
              <w:spacing w:after="0" w:line="240" w:lineRule="auto"/>
              <w:jc w:val="right"/>
              <w:rPr>
                <w:rFonts w:ascii="Times New Roman" w:hAnsi="Times New Roman"/>
                <w:color w:val="auto"/>
              </w:rPr>
            </w:pPr>
          </w:p>
        </w:tc>
        <w:tc>
          <w:tcPr>
            <w:tcW w:w="458" w:type="pct"/>
            <w:tcBorders>
              <w:top w:val="nil"/>
              <w:left w:val="nil"/>
              <w:bottom w:val="nil"/>
              <w:right w:val="nil"/>
            </w:tcBorders>
            <w:shd w:val="clear" w:color="auto" w:fill="auto"/>
            <w:noWrap/>
            <w:hideMark/>
          </w:tcPr>
          <w:p w14:paraId="6E25B8DE" w14:textId="77777777" w:rsidR="007D0FE9" w:rsidRPr="007D0FE9" w:rsidRDefault="007D0FE9" w:rsidP="007D0FE9">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hideMark/>
          </w:tcPr>
          <w:p w14:paraId="38321176" w14:textId="77777777" w:rsidR="007D0FE9" w:rsidRPr="007D0FE9" w:rsidRDefault="007D0FE9" w:rsidP="007D0FE9">
            <w:pPr>
              <w:spacing w:after="0" w:line="240" w:lineRule="auto"/>
              <w:jc w:val="right"/>
              <w:rPr>
                <w:rFonts w:ascii="Times New Roman" w:hAnsi="Times New Roman"/>
                <w:color w:val="auto"/>
              </w:rPr>
            </w:pPr>
          </w:p>
        </w:tc>
        <w:tc>
          <w:tcPr>
            <w:tcW w:w="516" w:type="pct"/>
            <w:tcBorders>
              <w:top w:val="nil"/>
              <w:left w:val="nil"/>
              <w:bottom w:val="nil"/>
              <w:right w:val="nil"/>
            </w:tcBorders>
            <w:shd w:val="clear" w:color="auto" w:fill="auto"/>
            <w:noWrap/>
            <w:hideMark/>
          </w:tcPr>
          <w:p w14:paraId="73D4BC99" w14:textId="77777777" w:rsidR="007D0FE9" w:rsidRPr="007D0FE9" w:rsidRDefault="007D0FE9" w:rsidP="002151EB">
            <w:pPr>
              <w:spacing w:after="0" w:line="240" w:lineRule="auto"/>
              <w:jc w:val="right"/>
              <w:rPr>
                <w:rFonts w:ascii="Times New Roman" w:hAnsi="Times New Roman"/>
                <w:color w:val="auto"/>
              </w:rPr>
            </w:pPr>
          </w:p>
        </w:tc>
        <w:tc>
          <w:tcPr>
            <w:tcW w:w="342" w:type="pct"/>
            <w:tcBorders>
              <w:top w:val="nil"/>
              <w:left w:val="nil"/>
              <w:bottom w:val="nil"/>
              <w:right w:val="nil"/>
            </w:tcBorders>
            <w:shd w:val="clear" w:color="auto" w:fill="auto"/>
            <w:noWrap/>
            <w:hideMark/>
          </w:tcPr>
          <w:p w14:paraId="43542687" w14:textId="77777777" w:rsidR="007D0FE9" w:rsidRPr="007D0FE9" w:rsidRDefault="007D0FE9" w:rsidP="002151EB">
            <w:pPr>
              <w:spacing w:after="0" w:line="240" w:lineRule="auto"/>
              <w:jc w:val="right"/>
              <w:rPr>
                <w:rFonts w:ascii="Times New Roman" w:hAnsi="Times New Roman"/>
                <w:color w:val="auto"/>
              </w:rPr>
            </w:pPr>
          </w:p>
        </w:tc>
        <w:tc>
          <w:tcPr>
            <w:tcW w:w="532" w:type="pct"/>
            <w:tcBorders>
              <w:top w:val="nil"/>
              <w:left w:val="nil"/>
              <w:right w:val="nil"/>
            </w:tcBorders>
            <w:shd w:val="clear" w:color="000000" w:fill="F2F2F2"/>
            <w:noWrap/>
            <w:hideMark/>
          </w:tcPr>
          <w:p w14:paraId="0E56E715" w14:textId="77777777" w:rsidR="007D0FE9" w:rsidRPr="007D0FE9" w:rsidRDefault="007D0FE9" w:rsidP="002151EB">
            <w:pPr>
              <w:spacing w:after="0" w:line="240" w:lineRule="auto"/>
              <w:jc w:val="right"/>
              <w:rPr>
                <w:rFonts w:ascii="Arial" w:hAnsi="Arial" w:cs="Arial"/>
                <w:i/>
                <w:iCs/>
                <w:color w:val="FF0000"/>
                <w:sz w:val="16"/>
                <w:szCs w:val="16"/>
              </w:rPr>
            </w:pPr>
            <w:r w:rsidRPr="007D0FE9">
              <w:rPr>
                <w:rFonts w:ascii="Arial" w:hAnsi="Arial" w:cs="Arial"/>
                <w:i/>
                <w:iCs/>
                <w:color w:val="FF0000"/>
                <w:sz w:val="16"/>
                <w:szCs w:val="16"/>
              </w:rPr>
              <w:t> </w:t>
            </w:r>
          </w:p>
        </w:tc>
        <w:tc>
          <w:tcPr>
            <w:tcW w:w="362" w:type="pct"/>
            <w:tcBorders>
              <w:top w:val="nil"/>
              <w:left w:val="nil"/>
              <w:right w:val="nil"/>
            </w:tcBorders>
            <w:shd w:val="clear" w:color="000000" w:fill="F2F2F2"/>
            <w:noWrap/>
            <w:hideMark/>
          </w:tcPr>
          <w:p w14:paraId="36EBC288" w14:textId="77777777" w:rsidR="007D0FE9" w:rsidRPr="00062DAF" w:rsidRDefault="007D0FE9" w:rsidP="002151EB">
            <w:pPr>
              <w:spacing w:after="0" w:line="240" w:lineRule="auto"/>
              <w:jc w:val="right"/>
              <w:rPr>
                <w:rFonts w:ascii="Arial" w:hAnsi="Arial" w:cs="Arial"/>
                <w:i/>
                <w:iCs/>
                <w:color w:val="FF0000"/>
                <w:sz w:val="16"/>
                <w:szCs w:val="16"/>
              </w:rPr>
            </w:pPr>
            <w:r w:rsidRPr="00062DAF">
              <w:rPr>
                <w:rFonts w:ascii="Arial" w:hAnsi="Arial" w:cs="Arial"/>
                <w:i/>
                <w:iCs/>
                <w:color w:val="FF0000"/>
                <w:sz w:val="16"/>
                <w:szCs w:val="16"/>
              </w:rPr>
              <w:t> </w:t>
            </w:r>
          </w:p>
        </w:tc>
      </w:tr>
      <w:tr w:rsidR="007D0FE9" w:rsidRPr="007D0FE9" w14:paraId="397ED004" w14:textId="77777777" w:rsidTr="00581E71">
        <w:trPr>
          <w:trHeight w:val="430"/>
        </w:trPr>
        <w:tc>
          <w:tcPr>
            <w:tcW w:w="1479" w:type="pct"/>
            <w:tcBorders>
              <w:top w:val="nil"/>
              <w:left w:val="nil"/>
              <w:bottom w:val="nil"/>
              <w:right w:val="nil"/>
            </w:tcBorders>
            <w:shd w:val="clear" w:color="auto" w:fill="auto"/>
            <w:vAlign w:val="bottom"/>
            <w:hideMark/>
          </w:tcPr>
          <w:p w14:paraId="5017C55E" w14:textId="3CA4BB9F" w:rsidR="007D0FE9" w:rsidRPr="007D0FE9" w:rsidRDefault="00BD4D19" w:rsidP="007D0FE9">
            <w:pPr>
              <w:spacing w:after="0" w:line="240" w:lineRule="auto"/>
              <w:jc w:val="left"/>
              <w:rPr>
                <w:rFonts w:ascii="Arial" w:hAnsi="Arial" w:cs="Arial"/>
                <w:color w:val="auto"/>
                <w:sz w:val="16"/>
                <w:szCs w:val="16"/>
              </w:rPr>
            </w:pPr>
            <w:r>
              <w:rPr>
                <w:rFonts w:ascii="Arial" w:hAnsi="Arial" w:cs="Arial"/>
                <w:color w:val="auto"/>
                <w:sz w:val="16"/>
                <w:szCs w:val="16"/>
              </w:rPr>
              <w:noBreakHyphen/>
            </w:r>
            <w:r w:rsidR="007D0FE9" w:rsidRPr="007D0FE9">
              <w:rPr>
                <w:rFonts w:ascii="Arial" w:hAnsi="Arial" w:cs="Arial"/>
                <w:color w:val="auto"/>
                <w:sz w:val="16"/>
                <w:szCs w:val="16"/>
              </w:rPr>
              <w:t xml:space="preserve"> established dwelling / vacant land / new dwellings</w:t>
            </w:r>
          </w:p>
        </w:tc>
        <w:tc>
          <w:tcPr>
            <w:tcW w:w="169" w:type="pct"/>
            <w:tcBorders>
              <w:top w:val="nil"/>
              <w:left w:val="nil"/>
              <w:bottom w:val="nil"/>
              <w:right w:val="nil"/>
            </w:tcBorders>
            <w:shd w:val="clear" w:color="auto" w:fill="auto"/>
            <w:hideMark/>
          </w:tcPr>
          <w:p w14:paraId="3AFB93DF" w14:textId="77777777" w:rsidR="007D0FE9" w:rsidRPr="007D0FE9" w:rsidRDefault="007D0FE9" w:rsidP="007D0FE9">
            <w:pPr>
              <w:spacing w:after="0" w:line="240" w:lineRule="auto"/>
              <w:jc w:val="left"/>
              <w:rPr>
                <w:rFonts w:ascii="Arial" w:hAnsi="Arial" w:cs="Arial"/>
                <w:color w:val="auto"/>
                <w:sz w:val="16"/>
                <w:szCs w:val="16"/>
              </w:rPr>
            </w:pPr>
          </w:p>
        </w:tc>
        <w:tc>
          <w:tcPr>
            <w:tcW w:w="458" w:type="pct"/>
            <w:tcBorders>
              <w:top w:val="nil"/>
              <w:left w:val="nil"/>
              <w:bottom w:val="single" w:sz="4" w:space="0" w:color="auto"/>
              <w:right w:val="nil"/>
            </w:tcBorders>
            <w:shd w:val="clear" w:color="auto" w:fill="auto"/>
            <w:noWrap/>
            <w:hideMark/>
          </w:tcPr>
          <w:p w14:paraId="60649AFD" w14:textId="77777777" w:rsidR="007D0FE9" w:rsidRPr="007D0FE9" w:rsidRDefault="007D0FE9" w:rsidP="007D0FE9">
            <w:pPr>
              <w:spacing w:after="0" w:line="240" w:lineRule="auto"/>
              <w:jc w:val="right"/>
              <w:rPr>
                <w:rFonts w:ascii="Arial" w:hAnsi="Arial" w:cs="Arial"/>
                <w:color w:val="auto"/>
                <w:sz w:val="16"/>
                <w:szCs w:val="16"/>
              </w:rPr>
            </w:pPr>
            <w:proofErr w:type="spellStart"/>
            <w:r w:rsidRPr="007D0FE9">
              <w:rPr>
                <w:rFonts w:ascii="Arial" w:hAnsi="Arial" w:cs="Arial"/>
                <w:color w:val="auto"/>
                <w:sz w:val="16"/>
                <w:szCs w:val="16"/>
              </w:rPr>
              <w:t>na</w:t>
            </w:r>
            <w:proofErr w:type="spellEnd"/>
          </w:p>
        </w:tc>
        <w:tc>
          <w:tcPr>
            <w:tcW w:w="342" w:type="pct"/>
            <w:tcBorders>
              <w:top w:val="nil"/>
              <w:left w:val="nil"/>
              <w:bottom w:val="single" w:sz="4" w:space="0" w:color="auto"/>
              <w:right w:val="nil"/>
            </w:tcBorders>
            <w:shd w:val="clear" w:color="auto" w:fill="auto"/>
            <w:hideMark/>
          </w:tcPr>
          <w:p w14:paraId="0E9AD8F8" w14:textId="77777777" w:rsidR="007D0FE9" w:rsidRPr="007D0FE9" w:rsidRDefault="007D0FE9" w:rsidP="007D0FE9">
            <w:pPr>
              <w:spacing w:after="0" w:line="240" w:lineRule="auto"/>
              <w:jc w:val="right"/>
              <w:rPr>
                <w:rFonts w:ascii="Arial" w:hAnsi="Arial" w:cs="Arial"/>
                <w:i/>
                <w:iCs/>
                <w:color w:val="auto"/>
                <w:sz w:val="16"/>
                <w:szCs w:val="16"/>
              </w:rPr>
            </w:pPr>
            <w:proofErr w:type="spellStart"/>
            <w:r w:rsidRPr="007D0FE9">
              <w:rPr>
                <w:rFonts w:ascii="Arial" w:hAnsi="Arial" w:cs="Arial"/>
                <w:i/>
                <w:iCs/>
                <w:color w:val="auto"/>
                <w:sz w:val="16"/>
                <w:szCs w:val="16"/>
              </w:rPr>
              <w:t>na</w:t>
            </w:r>
            <w:proofErr w:type="spellEnd"/>
          </w:p>
        </w:tc>
        <w:tc>
          <w:tcPr>
            <w:tcW w:w="458" w:type="pct"/>
            <w:tcBorders>
              <w:top w:val="nil"/>
              <w:left w:val="nil"/>
              <w:bottom w:val="single" w:sz="4" w:space="0" w:color="auto"/>
              <w:right w:val="nil"/>
            </w:tcBorders>
            <w:shd w:val="clear" w:color="auto" w:fill="auto"/>
            <w:noWrap/>
            <w:hideMark/>
          </w:tcPr>
          <w:p w14:paraId="65825BA3" w14:textId="77777777" w:rsidR="007D0FE9" w:rsidRPr="007D0FE9" w:rsidRDefault="007D0FE9" w:rsidP="007D0FE9">
            <w:pPr>
              <w:spacing w:after="0" w:line="240" w:lineRule="auto"/>
              <w:jc w:val="right"/>
              <w:rPr>
                <w:rFonts w:ascii="Arial" w:hAnsi="Arial" w:cs="Arial"/>
                <w:color w:val="auto"/>
                <w:sz w:val="16"/>
                <w:szCs w:val="16"/>
              </w:rPr>
            </w:pPr>
            <w:proofErr w:type="spellStart"/>
            <w:r w:rsidRPr="007D0FE9">
              <w:rPr>
                <w:rFonts w:ascii="Arial" w:hAnsi="Arial" w:cs="Arial"/>
                <w:color w:val="auto"/>
                <w:sz w:val="16"/>
                <w:szCs w:val="16"/>
              </w:rPr>
              <w:t>na</w:t>
            </w:r>
            <w:proofErr w:type="spellEnd"/>
          </w:p>
        </w:tc>
        <w:tc>
          <w:tcPr>
            <w:tcW w:w="342" w:type="pct"/>
            <w:tcBorders>
              <w:top w:val="nil"/>
              <w:left w:val="nil"/>
              <w:bottom w:val="single" w:sz="4" w:space="0" w:color="auto"/>
              <w:right w:val="nil"/>
            </w:tcBorders>
            <w:shd w:val="clear" w:color="auto" w:fill="auto"/>
            <w:hideMark/>
          </w:tcPr>
          <w:p w14:paraId="5502693C" w14:textId="77777777" w:rsidR="007D0FE9" w:rsidRPr="007D0FE9" w:rsidRDefault="007D0FE9" w:rsidP="007D0FE9">
            <w:pPr>
              <w:spacing w:after="0" w:line="240" w:lineRule="auto"/>
              <w:jc w:val="right"/>
              <w:rPr>
                <w:rFonts w:ascii="Arial" w:hAnsi="Arial" w:cs="Arial"/>
                <w:i/>
                <w:iCs/>
                <w:color w:val="auto"/>
                <w:sz w:val="16"/>
                <w:szCs w:val="16"/>
              </w:rPr>
            </w:pPr>
            <w:proofErr w:type="spellStart"/>
            <w:r w:rsidRPr="007D0FE9">
              <w:rPr>
                <w:rFonts w:ascii="Arial" w:hAnsi="Arial" w:cs="Arial"/>
                <w:i/>
                <w:iCs/>
                <w:color w:val="auto"/>
                <w:sz w:val="16"/>
                <w:szCs w:val="16"/>
              </w:rPr>
              <w:t>na</w:t>
            </w:r>
            <w:proofErr w:type="spellEnd"/>
          </w:p>
        </w:tc>
        <w:tc>
          <w:tcPr>
            <w:tcW w:w="516" w:type="pct"/>
            <w:tcBorders>
              <w:top w:val="nil"/>
              <w:left w:val="nil"/>
              <w:bottom w:val="single" w:sz="4" w:space="0" w:color="auto"/>
              <w:right w:val="nil"/>
            </w:tcBorders>
            <w:shd w:val="clear" w:color="000000" w:fill="FFFFFF"/>
            <w:hideMark/>
          </w:tcPr>
          <w:p w14:paraId="588C07A6"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126</w:t>
            </w:r>
          </w:p>
        </w:tc>
        <w:tc>
          <w:tcPr>
            <w:tcW w:w="342" w:type="pct"/>
            <w:tcBorders>
              <w:top w:val="nil"/>
              <w:left w:val="nil"/>
              <w:bottom w:val="single" w:sz="4" w:space="0" w:color="auto"/>
              <w:right w:val="nil"/>
            </w:tcBorders>
            <w:shd w:val="clear" w:color="000000" w:fill="FFFFFF"/>
            <w:hideMark/>
          </w:tcPr>
          <w:p w14:paraId="0F0E57E1" w14:textId="77777777" w:rsidR="007D0FE9" w:rsidRPr="007D0FE9" w:rsidRDefault="007D0FE9" w:rsidP="007D0FE9">
            <w:pPr>
              <w:spacing w:after="0" w:line="240" w:lineRule="auto"/>
              <w:jc w:val="right"/>
              <w:rPr>
                <w:rFonts w:ascii="Arial" w:hAnsi="Arial" w:cs="Arial"/>
                <w:color w:val="auto"/>
                <w:sz w:val="16"/>
                <w:szCs w:val="16"/>
              </w:rPr>
            </w:pPr>
            <w:r w:rsidRPr="007D0FE9">
              <w:rPr>
                <w:rFonts w:ascii="Arial" w:hAnsi="Arial" w:cs="Arial"/>
                <w:color w:val="auto"/>
                <w:sz w:val="16"/>
                <w:szCs w:val="16"/>
              </w:rPr>
              <w:t>0.1</w:t>
            </w:r>
          </w:p>
        </w:tc>
        <w:tc>
          <w:tcPr>
            <w:tcW w:w="532" w:type="pct"/>
            <w:tcBorders>
              <w:top w:val="nil"/>
              <w:left w:val="nil"/>
              <w:bottom w:val="single" w:sz="4" w:space="0" w:color="auto"/>
              <w:right w:val="nil"/>
            </w:tcBorders>
            <w:shd w:val="clear" w:color="000000" w:fill="F2F2F2"/>
            <w:noWrap/>
            <w:hideMark/>
          </w:tcPr>
          <w:p w14:paraId="344E0DC8" w14:textId="77777777" w:rsidR="007D0FE9" w:rsidRPr="007D0FE9" w:rsidRDefault="007D0FE9" w:rsidP="002151EB">
            <w:pPr>
              <w:spacing w:after="0" w:line="240" w:lineRule="auto"/>
              <w:jc w:val="right"/>
              <w:rPr>
                <w:rFonts w:ascii="Arial" w:hAnsi="Arial" w:cs="Arial"/>
                <w:color w:val="auto"/>
                <w:sz w:val="16"/>
                <w:szCs w:val="16"/>
              </w:rPr>
            </w:pPr>
            <w:r w:rsidRPr="007D0FE9">
              <w:rPr>
                <w:rFonts w:ascii="Arial" w:hAnsi="Arial" w:cs="Arial"/>
                <w:color w:val="auto"/>
                <w:sz w:val="16"/>
                <w:szCs w:val="16"/>
              </w:rPr>
              <w:t>291</w:t>
            </w:r>
          </w:p>
        </w:tc>
        <w:tc>
          <w:tcPr>
            <w:tcW w:w="362" w:type="pct"/>
            <w:tcBorders>
              <w:top w:val="nil"/>
              <w:left w:val="nil"/>
              <w:bottom w:val="single" w:sz="4" w:space="0" w:color="auto"/>
              <w:right w:val="nil"/>
            </w:tcBorders>
            <w:shd w:val="clear" w:color="000000" w:fill="F2F2F2"/>
            <w:noWrap/>
            <w:hideMark/>
          </w:tcPr>
          <w:p w14:paraId="31739097" w14:textId="77777777" w:rsidR="007D0FE9" w:rsidRPr="00062DAF" w:rsidRDefault="007D0FE9" w:rsidP="002151EB">
            <w:pPr>
              <w:spacing w:after="0" w:line="240" w:lineRule="auto"/>
              <w:jc w:val="right"/>
              <w:rPr>
                <w:rFonts w:ascii="Arial" w:hAnsi="Arial" w:cs="Arial"/>
                <w:color w:val="auto"/>
                <w:sz w:val="16"/>
                <w:szCs w:val="16"/>
              </w:rPr>
            </w:pPr>
            <w:r w:rsidRPr="00062DAF">
              <w:rPr>
                <w:rFonts w:ascii="Arial" w:hAnsi="Arial" w:cs="Arial"/>
                <w:color w:val="auto"/>
                <w:sz w:val="16"/>
                <w:szCs w:val="16"/>
              </w:rPr>
              <w:t>0.4</w:t>
            </w:r>
          </w:p>
        </w:tc>
      </w:tr>
      <w:tr w:rsidR="007D0FE9" w:rsidRPr="007D0FE9" w14:paraId="6865829A" w14:textId="77777777" w:rsidTr="00581E71">
        <w:trPr>
          <w:trHeight w:val="225"/>
        </w:trPr>
        <w:tc>
          <w:tcPr>
            <w:tcW w:w="1479" w:type="pct"/>
            <w:tcBorders>
              <w:top w:val="nil"/>
              <w:left w:val="nil"/>
              <w:bottom w:val="single" w:sz="4" w:space="0" w:color="auto"/>
              <w:right w:val="nil"/>
            </w:tcBorders>
            <w:shd w:val="clear" w:color="auto" w:fill="auto"/>
            <w:noWrap/>
            <w:vAlign w:val="bottom"/>
            <w:hideMark/>
          </w:tcPr>
          <w:p w14:paraId="50FEF727" w14:textId="77777777" w:rsidR="007D0FE9" w:rsidRPr="007D0FE9" w:rsidRDefault="007D0FE9" w:rsidP="007D0FE9">
            <w:pPr>
              <w:spacing w:after="0" w:line="240" w:lineRule="auto"/>
              <w:jc w:val="left"/>
              <w:rPr>
                <w:rFonts w:ascii="Arial" w:hAnsi="Arial" w:cs="Arial"/>
                <w:b/>
                <w:bCs/>
                <w:sz w:val="16"/>
                <w:szCs w:val="16"/>
              </w:rPr>
            </w:pPr>
            <w:r w:rsidRPr="007D0FE9">
              <w:rPr>
                <w:rFonts w:ascii="Arial" w:hAnsi="Arial" w:cs="Arial"/>
                <w:b/>
                <w:bCs/>
                <w:sz w:val="16"/>
                <w:szCs w:val="16"/>
              </w:rPr>
              <w:t xml:space="preserve">Total residential </w:t>
            </w:r>
          </w:p>
        </w:tc>
        <w:tc>
          <w:tcPr>
            <w:tcW w:w="169" w:type="pct"/>
            <w:tcBorders>
              <w:top w:val="nil"/>
              <w:left w:val="nil"/>
              <w:bottom w:val="single" w:sz="4" w:space="0" w:color="auto"/>
              <w:right w:val="nil"/>
            </w:tcBorders>
            <w:shd w:val="clear" w:color="auto" w:fill="auto"/>
            <w:noWrap/>
            <w:vAlign w:val="bottom"/>
            <w:hideMark/>
          </w:tcPr>
          <w:p w14:paraId="605C7ADE" w14:textId="77777777" w:rsidR="007D0FE9" w:rsidRPr="007D0FE9" w:rsidRDefault="007D0FE9" w:rsidP="007D0FE9">
            <w:pPr>
              <w:spacing w:after="0" w:line="240" w:lineRule="auto"/>
              <w:jc w:val="right"/>
              <w:rPr>
                <w:rFonts w:ascii="Arial" w:hAnsi="Arial" w:cs="Arial"/>
                <w:b/>
                <w:bCs/>
                <w:sz w:val="16"/>
                <w:szCs w:val="16"/>
              </w:rPr>
            </w:pPr>
            <w:r w:rsidRPr="007D0FE9">
              <w:rPr>
                <w:rFonts w:ascii="Arial" w:hAnsi="Arial" w:cs="Arial"/>
                <w:b/>
                <w:bCs/>
                <w:sz w:val="16"/>
                <w:szCs w:val="16"/>
              </w:rPr>
              <w:t> </w:t>
            </w:r>
          </w:p>
        </w:tc>
        <w:tc>
          <w:tcPr>
            <w:tcW w:w="458" w:type="pct"/>
            <w:tcBorders>
              <w:top w:val="nil"/>
              <w:left w:val="nil"/>
              <w:bottom w:val="single" w:sz="4" w:space="0" w:color="auto"/>
              <w:right w:val="nil"/>
            </w:tcBorders>
            <w:shd w:val="clear" w:color="000000" w:fill="FFFFFF"/>
            <w:noWrap/>
            <w:vAlign w:val="bottom"/>
            <w:hideMark/>
          </w:tcPr>
          <w:p w14:paraId="56E27F79" w14:textId="77777777" w:rsidR="007D0FE9" w:rsidRPr="007D0FE9" w:rsidRDefault="007D0FE9" w:rsidP="007D0FE9">
            <w:pPr>
              <w:spacing w:after="0" w:line="240" w:lineRule="auto"/>
              <w:jc w:val="right"/>
              <w:rPr>
                <w:rFonts w:ascii="Arial" w:hAnsi="Arial" w:cs="Arial"/>
                <w:b/>
                <w:bCs/>
                <w:color w:val="auto"/>
                <w:sz w:val="16"/>
                <w:szCs w:val="16"/>
              </w:rPr>
            </w:pPr>
            <w:r w:rsidRPr="007D0FE9">
              <w:rPr>
                <w:rFonts w:ascii="Arial" w:hAnsi="Arial" w:cs="Arial"/>
                <w:b/>
                <w:bCs/>
                <w:color w:val="auto"/>
                <w:sz w:val="16"/>
                <w:szCs w:val="16"/>
              </w:rPr>
              <w:t>13,198</w:t>
            </w:r>
          </w:p>
        </w:tc>
        <w:tc>
          <w:tcPr>
            <w:tcW w:w="342" w:type="pct"/>
            <w:tcBorders>
              <w:top w:val="nil"/>
              <w:left w:val="nil"/>
              <w:bottom w:val="single" w:sz="4" w:space="0" w:color="auto"/>
              <w:right w:val="nil"/>
            </w:tcBorders>
            <w:shd w:val="clear" w:color="auto" w:fill="auto"/>
            <w:noWrap/>
            <w:vAlign w:val="bottom"/>
            <w:hideMark/>
          </w:tcPr>
          <w:p w14:paraId="4A412337" w14:textId="77777777" w:rsidR="007D0FE9" w:rsidRPr="007D0FE9" w:rsidRDefault="007D0FE9" w:rsidP="007D0FE9">
            <w:pPr>
              <w:spacing w:after="0" w:line="240" w:lineRule="auto"/>
              <w:jc w:val="right"/>
              <w:rPr>
                <w:rFonts w:ascii="Arial" w:hAnsi="Arial" w:cs="Arial"/>
                <w:b/>
                <w:bCs/>
                <w:color w:val="auto"/>
                <w:sz w:val="16"/>
                <w:szCs w:val="16"/>
              </w:rPr>
            </w:pPr>
            <w:r w:rsidRPr="007D0FE9">
              <w:rPr>
                <w:rFonts w:ascii="Arial" w:hAnsi="Arial" w:cs="Arial"/>
                <w:b/>
                <w:bCs/>
                <w:color w:val="auto"/>
                <w:sz w:val="16"/>
                <w:szCs w:val="16"/>
              </w:rPr>
              <w:t>30.0</w:t>
            </w:r>
          </w:p>
        </w:tc>
        <w:tc>
          <w:tcPr>
            <w:tcW w:w="458" w:type="pct"/>
            <w:tcBorders>
              <w:top w:val="nil"/>
              <w:left w:val="nil"/>
              <w:bottom w:val="single" w:sz="4" w:space="0" w:color="auto"/>
              <w:right w:val="nil"/>
            </w:tcBorders>
            <w:shd w:val="clear" w:color="000000" w:fill="FFFFFF"/>
            <w:noWrap/>
            <w:vAlign w:val="bottom"/>
            <w:hideMark/>
          </w:tcPr>
          <w:p w14:paraId="3FF0E227" w14:textId="77777777" w:rsidR="007D0FE9" w:rsidRPr="007D0FE9" w:rsidRDefault="007D0FE9" w:rsidP="007D0FE9">
            <w:pPr>
              <w:spacing w:after="0" w:line="240" w:lineRule="auto"/>
              <w:jc w:val="right"/>
              <w:rPr>
                <w:rFonts w:ascii="Arial" w:hAnsi="Arial" w:cs="Arial"/>
                <w:b/>
                <w:bCs/>
                <w:color w:val="auto"/>
                <w:sz w:val="16"/>
                <w:szCs w:val="16"/>
              </w:rPr>
            </w:pPr>
            <w:r w:rsidRPr="007D0FE9">
              <w:rPr>
                <w:rFonts w:ascii="Arial" w:hAnsi="Arial" w:cs="Arial"/>
                <w:b/>
                <w:bCs/>
                <w:color w:val="auto"/>
                <w:sz w:val="16"/>
                <w:szCs w:val="16"/>
              </w:rPr>
              <w:t>10,036</w:t>
            </w:r>
          </w:p>
        </w:tc>
        <w:tc>
          <w:tcPr>
            <w:tcW w:w="342" w:type="pct"/>
            <w:tcBorders>
              <w:top w:val="nil"/>
              <w:left w:val="nil"/>
              <w:bottom w:val="single" w:sz="4" w:space="0" w:color="auto"/>
              <w:right w:val="nil"/>
            </w:tcBorders>
            <w:shd w:val="clear" w:color="auto" w:fill="auto"/>
            <w:noWrap/>
            <w:vAlign w:val="bottom"/>
            <w:hideMark/>
          </w:tcPr>
          <w:p w14:paraId="1720BE99" w14:textId="77777777" w:rsidR="007D0FE9" w:rsidRPr="007D0FE9" w:rsidRDefault="007D0FE9" w:rsidP="007D0FE9">
            <w:pPr>
              <w:spacing w:after="0" w:line="240" w:lineRule="auto"/>
              <w:jc w:val="right"/>
              <w:rPr>
                <w:rFonts w:ascii="Arial" w:hAnsi="Arial" w:cs="Arial"/>
                <w:b/>
                <w:bCs/>
                <w:color w:val="auto"/>
                <w:sz w:val="16"/>
                <w:szCs w:val="16"/>
              </w:rPr>
            </w:pPr>
            <w:r w:rsidRPr="007D0FE9">
              <w:rPr>
                <w:rFonts w:ascii="Arial" w:hAnsi="Arial" w:cs="Arial"/>
                <w:b/>
                <w:bCs/>
                <w:color w:val="auto"/>
                <w:sz w:val="16"/>
                <w:szCs w:val="16"/>
              </w:rPr>
              <w:t>12.5</w:t>
            </w:r>
          </w:p>
        </w:tc>
        <w:tc>
          <w:tcPr>
            <w:tcW w:w="516" w:type="pct"/>
            <w:tcBorders>
              <w:top w:val="nil"/>
              <w:left w:val="nil"/>
              <w:bottom w:val="single" w:sz="4" w:space="0" w:color="auto"/>
              <w:right w:val="nil"/>
            </w:tcBorders>
            <w:shd w:val="clear" w:color="000000" w:fill="FFFFFF"/>
            <w:noWrap/>
            <w:vAlign w:val="bottom"/>
            <w:hideMark/>
          </w:tcPr>
          <w:p w14:paraId="5E3CB18C" w14:textId="77777777" w:rsidR="007D0FE9" w:rsidRPr="007D0FE9" w:rsidRDefault="007D0FE9" w:rsidP="007D0FE9">
            <w:pPr>
              <w:spacing w:after="0" w:line="240" w:lineRule="auto"/>
              <w:jc w:val="right"/>
              <w:rPr>
                <w:rFonts w:ascii="Arial" w:hAnsi="Arial" w:cs="Arial"/>
                <w:b/>
                <w:bCs/>
                <w:color w:val="auto"/>
                <w:sz w:val="16"/>
                <w:szCs w:val="16"/>
              </w:rPr>
            </w:pPr>
            <w:r w:rsidRPr="007D0FE9">
              <w:rPr>
                <w:rFonts w:ascii="Arial" w:hAnsi="Arial" w:cs="Arial"/>
                <w:b/>
                <w:bCs/>
                <w:color w:val="auto"/>
                <w:sz w:val="16"/>
                <w:szCs w:val="16"/>
              </w:rPr>
              <w:t>7,511</w:t>
            </w:r>
          </w:p>
        </w:tc>
        <w:tc>
          <w:tcPr>
            <w:tcW w:w="342" w:type="pct"/>
            <w:tcBorders>
              <w:top w:val="nil"/>
              <w:left w:val="nil"/>
              <w:bottom w:val="single" w:sz="4" w:space="0" w:color="auto"/>
              <w:right w:val="nil"/>
            </w:tcBorders>
            <w:shd w:val="clear" w:color="auto" w:fill="auto"/>
            <w:noWrap/>
            <w:vAlign w:val="bottom"/>
            <w:hideMark/>
          </w:tcPr>
          <w:p w14:paraId="59742A04" w14:textId="77777777" w:rsidR="007D0FE9" w:rsidRPr="007D0FE9" w:rsidRDefault="007D0FE9" w:rsidP="007D0FE9">
            <w:pPr>
              <w:spacing w:after="0" w:line="240" w:lineRule="auto"/>
              <w:jc w:val="right"/>
              <w:rPr>
                <w:rFonts w:ascii="Arial" w:hAnsi="Arial" w:cs="Arial"/>
                <w:b/>
                <w:bCs/>
                <w:color w:val="auto"/>
                <w:sz w:val="16"/>
                <w:szCs w:val="16"/>
              </w:rPr>
            </w:pPr>
            <w:r w:rsidRPr="007D0FE9">
              <w:rPr>
                <w:rFonts w:ascii="Arial" w:hAnsi="Arial" w:cs="Arial"/>
                <w:b/>
                <w:bCs/>
                <w:color w:val="auto"/>
                <w:sz w:val="16"/>
                <w:szCs w:val="16"/>
              </w:rPr>
              <w:t>14.8</w:t>
            </w:r>
          </w:p>
        </w:tc>
        <w:tc>
          <w:tcPr>
            <w:tcW w:w="532" w:type="pct"/>
            <w:tcBorders>
              <w:top w:val="single" w:sz="4" w:space="0" w:color="auto"/>
              <w:left w:val="nil"/>
              <w:bottom w:val="single" w:sz="4" w:space="0" w:color="auto"/>
              <w:right w:val="nil"/>
            </w:tcBorders>
            <w:shd w:val="clear" w:color="000000" w:fill="F2F2F2"/>
            <w:noWrap/>
            <w:vAlign w:val="bottom"/>
            <w:hideMark/>
          </w:tcPr>
          <w:p w14:paraId="587CB358" w14:textId="77777777" w:rsidR="007D0FE9" w:rsidRPr="007D0FE9" w:rsidRDefault="007D0FE9" w:rsidP="007D0FE9">
            <w:pPr>
              <w:spacing w:after="0" w:line="240" w:lineRule="auto"/>
              <w:jc w:val="right"/>
              <w:rPr>
                <w:rFonts w:ascii="Arial" w:hAnsi="Arial" w:cs="Arial"/>
                <w:b/>
                <w:bCs/>
                <w:sz w:val="16"/>
                <w:szCs w:val="16"/>
              </w:rPr>
            </w:pPr>
            <w:r w:rsidRPr="007D0FE9">
              <w:rPr>
                <w:rFonts w:ascii="Arial" w:hAnsi="Arial" w:cs="Arial"/>
                <w:b/>
                <w:bCs/>
                <w:sz w:val="16"/>
                <w:szCs w:val="16"/>
              </w:rPr>
              <w:t>7,056</w:t>
            </w:r>
          </w:p>
        </w:tc>
        <w:tc>
          <w:tcPr>
            <w:tcW w:w="362" w:type="pct"/>
            <w:tcBorders>
              <w:top w:val="single" w:sz="4" w:space="0" w:color="auto"/>
              <w:left w:val="nil"/>
              <w:bottom w:val="single" w:sz="4" w:space="0" w:color="auto"/>
              <w:right w:val="nil"/>
            </w:tcBorders>
            <w:shd w:val="clear" w:color="000000" w:fill="F2F2F2"/>
            <w:noWrap/>
            <w:vAlign w:val="bottom"/>
            <w:hideMark/>
          </w:tcPr>
          <w:p w14:paraId="42F91348" w14:textId="77777777" w:rsidR="007D0FE9" w:rsidRPr="007D0FE9" w:rsidRDefault="007D0FE9" w:rsidP="007D0FE9">
            <w:pPr>
              <w:spacing w:after="0" w:line="240" w:lineRule="auto"/>
              <w:jc w:val="right"/>
              <w:rPr>
                <w:rFonts w:ascii="Arial" w:hAnsi="Arial" w:cs="Arial"/>
                <w:b/>
                <w:bCs/>
                <w:sz w:val="16"/>
                <w:szCs w:val="16"/>
              </w:rPr>
            </w:pPr>
            <w:r w:rsidRPr="007D0FE9">
              <w:rPr>
                <w:rFonts w:ascii="Arial" w:hAnsi="Arial" w:cs="Arial"/>
                <w:b/>
                <w:bCs/>
                <w:sz w:val="16"/>
                <w:szCs w:val="16"/>
              </w:rPr>
              <w:t>17.1</w:t>
            </w:r>
          </w:p>
        </w:tc>
      </w:tr>
    </w:tbl>
    <w:p w14:paraId="195038CC" w14:textId="77777777" w:rsidR="005851FC" w:rsidRDefault="005851FC" w:rsidP="005851FC">
      <w:pPr>
        <w:pStyle w:val="ChartorTableNote"/>
      </w:pPr>
      <w:r w:rsidRPr="00BF48CD">
        <w:t xml:space="preserve">Before republishing this data or comparing between years, thoroughly review the methodological and data caveats in Appendix B. </w:t>
      </w:r>
    </w:p>
    <w:p w14:paraId="359F9E56" w14:textId="77777777" w:rsidR="00DE56DC" w:rsidRPr="00BC2CDA" w:rsidRDefault="00DE56DC" w:rsidP="00DE56DC">
      <w:pPr>
        <w:rPr>
          <w:rFonts w:ascii="Arial" w:hAnsi="Arial"/>
          <w:sz w:val="16"/>
          <w:highlight w:val="yellow"/>
        </w:rPr>
      </w:pPr>
      <w:r w:rsidRPr="00BC2CDA">
        <w:rPr>
          <w:highlight w:val="yellow"/>
        </w:rPr>
        <w:br w:type="page"/>
      </w:r>
    </w:p>
    <w:p w14:paraId="478A13DF" w14:textId="77777777" w:rsidR="00DE56DC" w:rsidRPr="008475AB" w:rsidRDefault="00DE56DC" w:rsidP="00DE56DC">
      <w:pPr>
        <w:pStyle w:val="TableMainHeading"/>
      </w:pPr>
      <w:bookmarkStart w:id="130" w:name="_Toc32247772"/>
      <w:bookmarkStart w:id="131" w:name="_Toc63798282"/>
      <w:bookmarkStart w:id="132" w:name="_Toc73984741"/>
      <w:r w:rsidRPr="008475AB">
        <w:t>Table 3.1</w:t>
      </w:r>
      <w:r w:rsidR="00A359D3" w:rsidRPr="008475AB">
        <w:t>4</w:t>
      </w:r>
      <w:r w:rsidRPr="008475AB">
        <w:t>: State and territory distribution of proposed investment in residential real estate in 201</w:t>
      </w:r>
      <w:r w:rsidR="00A359D3" w:rsidRPr="008475AB">
        <w:t>9</w:t>
      </w:r>
      <w:r w:rsidRPr="008475AB">
        <w:t>–</w:t>
      </w:r>
      <w:r w:rsidR="00A359D3" w:rsidRPr="008475AB">
        <w:t>20</w:t>
      </w:r>
      <w:bookmarkEnd w:id="130"/>
      <w:bookmarkEnd w:id="131"/>
      <w:bookmarkEnd w:id="132"/>
      <w:r w:rsidRPr="008475AB">
        <w:t xml:space="preserve"> </w:t>
      </w:r>
    </w:p>
    <w:tbl>
      <w:tblPr>
        <w:tblW w:w="5000" w:type="pct"/>
        <w:tblLook w:val="04A0" w:firstRow="1" w:lastRow="0" w:firstColumn="1" w:lastColumn="0" w:noHBand="0" w:noVBand="1"/>
      </w:tblPr>
      <w:tblGrid>
        <w:gridCol w:w="1629"/>
        <w:gridCol w:w="1373"/>
        <w:gridCol w:w="275"/>
        <w:gridCol w:w="1180"/>
        <w:gridCol w:w="1877"/>
        <w:gridCol w:w="261"/>
        <w:gridCol w:w="1115"/>
      </w:tblGrid>
      <w:tr w:rsidR="00663FB9" w:rsidRPr="000D482C" w14:paraId="3B2A69BD" w14:textId="77777777" w:rsidTr="00034B5E">
        <w:trPr>
          <w:trHeight w:val="225"/>
        </w:trPr>
        <w:tc>
          <w:tcPr>
            <w:tcW w:w="1057" w:type="pct"/>
            <w:tcBorders>
              <w:top w:val="single" w:sz="4" w:space="0" w:color="auto"/>
              <w:left w:val="nil"/>
              <w:bottom w:val="nil"/>
              <w:right w:val="nil"/>
            </w:tcBorders>
            <w:shd w:val="clear" w:color="000000" w:fill="FFFFFF"/>
            <w:noWrap/>
            <w:vAlign w:val="center"/>
            <w:hideMark/>
          </w:tcPr>
          <w:p w14:paraId="1729288F"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890" w:type="pct"/>
            <w:tcBorders>
              <w:top w:val="single" w:sz="4" w:space="0" w:color="auto"/>
              <w:left w:val="nil"/>
              <w:bottom w:val="nil"/>
              <w:right w:val="nil"/>
            </w:tcBorders>
            <w:shd w:val="clear" w:color="000000" w:fill="FFFFFF"/>
            <w:noWrap/>
            <w:vAlign w:val="center"/>
            <w:hideMark/>
          </w:tcPr>
          <w:p w14:paraId="2105A18F"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179" w:type="pct"/>
            <w:tcBorders>
              <w:top w:val="single" w:sz="4" w:space="0" w:color="auto"/>
              <w:left w:val="nil"/>
              <w:bottom w:val="nil"/>
              <w:right w:val="nil"/>
            </w:tcBorders>
            <w:shd w:val="clear" w:color="000000" w:fill="FFFFFF"/>
            <w:noWrap/>
            <w:vAlign w:val="center"/>
            <w:hideMark/>
          </w:tcPr>
          <w:p w14:paraId="7013B9D9"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1981" w:type="pct"/>
            <w:gridSpan w:val="2"/>
            <w:tcBorders>
              <w:top w:val="single" w:sz="4" w:space="0" w:color="auto"/>
              <w:left w:val="nil"/>
              <w:bottom w:val="nil"/>
              <w:right w:val="nil"/>
            </w:tcBorders>
            <w:shd w:val="clear" w:color="000000" w:fill="FFFFFF"/>
            <w:noWrap/>
            <w:vAlign w:val="center"/>
            <w:hideMark/>
          </w:tcPr>
          <w:p w14:paraId="3FCD9DF0" w14:textId="77777777" w:rsidR="000D482C" w:rsidRPr="000D482C" w:rsidRDefault="000D482C" w:rsidP="000D482C">
            <w:pPr>
              <w:spacing w:after="0" w:line="240" w:lineRule="auto"/>
              <w:jc w:val="center"/>
              <w:rPr>
                <w:rFonts w:ascii="Arial" w:hAnsi="Arial" w:cs="Arial"/>
                <w:color w:val="auto"/>
                <w:sz w:val="16"/>
                <w:szCs w:val="16"/>
              </w:rPr>
            </w:pPr>
            <w:r w:rsidRPr="000D482C">
              <w:rPr>
                <w:rFonts w:ascii="Arial" w:hAnsi="Arial" w:cs="Arial"/>
                <w:color w:val="auto"/>
                <w:sz w:val="16"/>
                <w:szCs w:val="16"/>
              </w:rPr>
              <w:t>Residential</w:t>
            </w:r>
          </w:p>
        </w:tc>
        <w:tc>
          <w:tcPr>
            <w:tcW w:w="169" w:type="pct"/>
            <w:tcBorders>
              <w:top w:val="single" w:sz="4" w:space="0" w:color="auto"/>
              <w:left w:val="nil"/>
              <w:bottom w:val="nil"/>
              <w:right w:val="nil"/>
            </w:tcBorders>
            <w:shd w:val="clear" w:color="000000" w:fill="FFFFFF"/>
            <w:noWrap/>
            <w:vAlign w:val="center"/>
            <w:hideMark/>
          </w:tcPr>
          <w:p w14:paraId="4E30CD70" w14:textId="77777777" w:rsidR="000D482C" w:rsidRPr="000D482C" w:rsidRDefault="000D482C" w:rsidP="000D482C">
            <w:pPr>
              <w:spacing w:after="0" w:line="240" w:lineRule="auto"/>
              <w:jc w:val="center"/>
              <w:rPr>
                <w:rFonts w:ascii="Arial" w:hAnsi="Arial" w:cs="Arial"/>
                <w:color w:val="auto"/>
                <w:sz w:val="16"/>
                <w:szCs w:val="16"/>
              </w:rPr>
            </w:pPr>
            <w:r w:rsidRPr="000D482C">
              <w:rPr>
                <w:rFonts w:ascii="Arial" w:hAnsi="Arial" w:cs="Arial"/>
                <w:color w:val="auto"/>
                <w:sz w:val="16"/>
                <w:szCs w:val="16"/>
              </w:rPr>
              <w:t> </w:t>
            </w:r>
          </w:p>
        </w:tc>
        <w:tc>
          <w:tcPr>
            <w:tcW w:w="723" w:type="pct"/>
            <w:tcBorders>
              <w:top w:val="single" w:sz="4" w:space="0" w:color="auto"/>
              <w:left w:val="nil"/>
              <w:bottom w:val="nil"/>
              <w:right w:val="nil"/>
            </w:tcBorders>
            <w:shd w:val="clear" w:color="000000" w:fill="FFFFFF"/>
            <w:noWrap/>
            <w:vAlign w:val="center"/>
            <w:hideMark/>
          </w:tcPr>
          <w:p w14:paraId="414625F1"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r>
      <w:tr w:rsidR="00663FB9" w:rsidRPr="000D482C" w14:paraId="0916F3D4" w14:textId="77777777" w:rsidTr="00034B5E">
        <w:trPr>
          <w:trHeight w:val="225"/>
        </w:trPr>
        <w:tc>
          <w:tcPr>
            <w:tcW w:w="1057" w:type="pct"/>
            <w:tcBorders>
              <w:top w:val="nil"/>
              <w:left w:val="nil"/>
              <w:bottom w:val="nil"/>
              <w:right w:val="nil"/>
            </w:tcBorders>
            <w:shd w:val="clear" w:color="000000" w:fill="FFFFFF"/>
            <w:noWrap/>
            <w:vAlign w:val="center"/>
            <w:hideMark/>
          </w:tcPr>
          <w:p w14:paraId="652753AC"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890" w:type="pct"/>
            <w:tcBorders>
              <w:top w:val="nil"/>
              <w:left w:val="nil"/>
              <w:bottom w:val="nil"/>
              <w:right w:val="nil"/>
            </w:tcBorders>
            <w:shd w:val="clear" w:color="000000" w:fill="FFFFFF"/>
            <w:noWrap/>
            <w:vAlign w:val="center"/>
            <w:hideMark/>
          </w:tcPr>
          <w:p w14:paraId="30C1C96C"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Number of</w:t>
            </w:r>
          </w:p>
        </w:tc>
        <w:tc>
          <w:tcPr>
            <w:tcW w:w="179" w:type="pct"/>
            <w:tcBorders>
              <w:top w:val="nil"/>
              <w:left w:val="nil"/>
              <w:bottom w:val="nil"/>
              <w:right w:val="nil"/>
            </w:tcBorders>
            <w:shd w:val="clear" w:color="000000" w:fill="FFFFFF"/>
            <w:noWrap/>
            <w:vAlign w:val="center"/>
            <w:hideMark/>
          </w:tcPr>
          <w:p w14:paraId="15590935"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13C2E8FC"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Developed</w:t>
            </w:r>
          </w:p>
        </w:tc>
        <w:tc>
          <w:tcPr>
            <w:tcW w:w="1217" w:type="pct"/>
            <w:tcBorders>
              <w:top w:val="nil"/>
              <w:left w:val="nil"/>
              <w:bottom w:val="nil"/>
              <w:right w:val="nil"/>
            </w:tcBorders>
            <w:shd w:val="clear" w:color="000000" w:fill="FFFFFF"/>
            <w:noWrap/>
            <w:vAlign w:val="center"/>
            <w:hideMark/>
          </w:tcPr>
          <w:p w14:paraId="3770BDE6"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For development</w:t>
            </w:r>
          </w:p>
        </w:tc>
        <w:tc>
          <w:tcPr>
            <w:tcW w:w="169" w:type="pct"/>
            <w:tcBorders>
              <w:top w:val="nil"/>
              <w:left w:val="nil"/>
              <w:bottom w:val="nil"/>
              <w:right w:val="nil"/>
            </w:tcBorders>
            <w:shd w:val="clear" w:color="000000" w:fill="FFFFFF"/>
            <w:noWrap/>
            <w:vAlign w:val="center"/>
            <w:hideMark/>
          </w:tcPr>
          <w:p w14:paraId="7B31FCCA"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47BBC23A"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Total</w:t>
            </w:r>
          </w:p>
        </w:tc>
      </w:tr>
      <w:tr w:rsidR="00663FB9" w:rsidRPr="000D482C" w14:paraId="4AEDC90E" w14:textId="77777777" w:rsidTr="00034B5E">
        <w:trPr>
          <w:trHeight w:val="225"/>
        </w:trPr>
        <w:tc>
          <w:tcPr>
            <w:tcW w:w="1057" w:type="pct"/>
            <w:tcBorders>
              <w:top w:val="nil"/>
              <w:left w:val="nil"/>
              <w:bottom w:val="single" w:sz="4" w:space="0" w:color="auto"/>
              <w:right w:val="nil"/>
            </w:tcBorders>
            <w:shd w:val="clear" w:color="000000" w:fill="FFFFFF"/>
            <w:noWrap/>
            <w:vAlign w:val="center"/>
            <w:hideMark/>
          </w:tcPr>
          <w:p w14:paraId="5094CDCD"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Location</w:t>
            </w:r>
          </w:p>
        </w:tc>
        <w:tc>
          <w:tcPr>
            <w:tcW w:w="890" w:type="pct"/>
            <w:tcBorders>
              <w:top w:val="nil"/>
              <w:left w:val="nil"/>
              <w:bottom w:val="single" w:sz="4" w:space="0" w:color="auto"/>
              <w:right w:val="nil"/>
            </w:tcBorders>
            <w:shd w:val="clear" w:color="000000" w:fill="FFFFFF"/>
            <w:noWrap/>
            <w:vAlign w:val="center"/>
            <w:hideMark/>
          </w:tcPr>
          <w:p w14:paraId="77A81DBE"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approvals</w:t>
            </w:r>
          </w:p>
        </w:tc>
        <w:tc>
          <w:tcPr>
            <w:tcW w:w="179" w:type="pct"/>
            <w:tcBorders>
              <w:top w:val="nil"/>
              <w:left w:val="nil"/>
              <w:bottom w:val="nil"/>
              <w:right w:val="nil"/>
            </w:tcBorders>
            <w:shd w:val="clear" w:color="000000" w:fill="FFFFFF"/>
            <w:noWrap/>
            <w:vAlign w:val="center"/>
            <w:hideMark/>
          </w:tcPr>
          <w:p w14:paraId="0789EDED"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single" w:sz="4" w:space="0" w:color="auto"/>
              <w:right w:val="nil"/>
            </w:tcBorders>
            <w:shd w:val="clear" w:color="000000" w:fill="FFFFFF"/>
            <w:noWrap/>
            <w:vAlign w:val="center"/>
            <w:hideMark/>
          </w:tcPr>
          <w:p w14:paraId="51793FCA"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$b </w:t>
            </w:r>
          </w:p>
        </w:tc>
        <w:tc>
          <w:tcPr>
            <w:tcW w:w="1217" w:type="pct"/>
            <w:tcBorders>
              <w:top w:val="nil"/>
              <w:left w:val="nil"/>
              <w:bottom w:val="single" w:sz="4" w:space="0" w:color="auto"/>
              <w:right w:val="nil"/>
            </w:tcBorders>
            <w:shd w:val="clear" w:color="000000" w:fill="FFFFFF"/>
            <w:noWrap/>
            <w:vAlign w:val="center"/>
            <w:hideMark/>
          </w:tcPr>
          <w:p w14:paraId="3391060B"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$b </w:t>
            </w:r>
          </w:p>
        </w:tc>
        <w:tc>
          <w:tcPr>
            <w:tcW w:w="169" w:type="pct"/>
            <w:tcBorders>
              <w:top w:val="nil"/>
              <w:left w:val="nil"/>
              <w:bottom w:val="nil"/>
              <w:right w:val="nil"/>
            </w:tcBorders>
            <w:shd w:val="clear" w:color="000000" w:fill="FFFFFF"/>
            <w:noWrap/>
            <w:vAlign w:val="center"/>
            <w:hideMark/>
          </w:tcPr>
          <w:p w14:paraId="5DA1AFC8"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single" w:sz="4" w:space="0" w:color="auto"/>
              <w:right w:val="nil"/>
            </w:tcBorders>
            <w:shd w:val="clear" w:color="000000" w:fill="FFFFFF"/>
            <w:noWrap/>
            <w:vAlign w:val="center"/>
            <w:hideMark/>
          </w:tcPr>
          <w:p w14:paraId="1EE1790E"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$b </w:t>
            </w:r>
          </w:p>
        </w:tc>
      </w:tr>
      <w:tr w:rsidR="00663FB9" w:rsidRPr="000D482C" w14:paraId="6178EAB3" w14:textId="77777777" w:rsidTr="00034B5E">
        <w:trPr>
          <w:trHeight w:val="225"/>
        </w:trPr>
        <w:tc>
          <w:tcPr>
            <w:tcW w:w="1057" w:type="pct"/>
            <w:tcBorders>
              <w:top w:val="nil"/>
              <w:left w:val="nil"/>
              <w:bottom w:val="nil"/>
              <w:right w:val="nil"/>
            </w:tcBorders>
            <w:shd w:val="clear" w:color="000000" w:fill="FFFFFF"/>
            <w:noWrap/>
            <w:vAlign w:val="center"/>
            <w:hideMark/>
          </w:tcPr>
          <w:p w14:paraId="1F46F60E"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ACT</w:t>
            </w:r>
          </w:p>
        </w:tc>
        <w:tc>
          <w:tcPr>
            <w:tcW w:w="890" w:type="pct"/>
            <w:tcBorders>
              <w:top w:val="nil"/>
              <w:left w:val="nil"/>
              <w:bottom w:val="nil"/>
              <w:right w:val="nil"/>
            </w:tcBorders>
            <w:shd w:val="clear" w:color="000000" w:fill="FFFFFF"/>
            <w:noWrap/>
            <w:vAlign w:val="center"/>
            <w:hideMark/>
          </w:tcPr>
          <w:p w14:paraId="005A3402"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                    340 </w:t>
            </w:r>
          </w:p>
        </w:tc>
        <w:tc>
          <w:tcPr>
            <w:tcW w:w="179" w:type="pct"/>
            <w:tcBorders>
              <w:top w:val="nil"/>
              <w:left w:val="nil"/>
              <w:bottom w:val="nil"/>
              <w:right w:val="nil"/>
            </w:tcBorders>
            <w:shd w:val="clear" w:color="000000" w:fill="FFFFFF"/>
            <w:noWrap/>
            <w:vAlign w:val="center"/>
            <w:hideMark/>
          </w:tcPr>
          <w:p w14:paraId="1F89D7B1"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0624662A"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0.0</w:t>
            </w:r>
          </w:p>
        </w:tc>
        <w:tc>
          <w:tcPr>
            <w:tcW w:w="1217" w:type="pct"/>
            <w:tcBorders>
              <w:top w:val="nil"/>
              <w:left w:val="nil"/>
              <w:bottom w:val="nil"/>
              <w:right w:val="nil"/>
            </w:tcBorders>
            <w:shd w:val="clear" w:color="000000" w:fill="FFFFFF"/>
            <w:noWrap/>
            <w:vAlign w:val="center"/>
            <w:hideMark/>
          </w:tcPr>
          <w:p w14:paraId="3D701859"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0.3</w:t>
            </w:r>
          </w:p>
        </w:tc>
        <w:tc>
          <w:tcPr>
            <w:tcW w:w="169" w:type="pct"/>
            <w:tcBorders>
              <w:top w:val="nil"/>
              <w:left w:val="nil"/>
              <w:bottom w:val="nil"/>
              <w:right w:val="nil"/>
            </w:tcBorders>
            <w:shd w:val="clear" w:color="000000" w:fill="FFFFFF"/>
            <w:noWrap/>
            <w:vAlign w:val="center"/>
            <w:hideMark/>
          </w:tcPr>
          <w:p w14:paraId="1062E5ED"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3D1B7589"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0.3</w:t>
            </w:r>
          </w:p>
        </w:tc>
      </w:tr>
      <w:tr w:rsidR="00663FB9" w:rsidRPr="000D482C" w14:paraId="761DDD58" w14:textId="77777777" w:rsidTr="00034B5E">
        <w:trPr>
          <w:trHeight w:val="225"/>
        </w:trPr>
        <w:tc>
          <w:tcPr>
            <w:tcW w:w="1057" w:type="pct"/>
            <w:tcBorders>
              <w:top w:val="nil"/>
              <w:left w:val="nil"/>
              <w:bottom w:val="nil"/>
              <w:right w:val="nil"/>
            </w:tcBorders>
            <w:shd w:val="clear" w:color="000000" w:fill="FFFFFF"/>
            <w:noWrap/>
            <w:vAlign w:val="center"/>
            <w:hideMark/>
          </w:tcPr>
          <w:p w14:paraId="76D0BE60"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NSW</w:t>
            </w:r>
          </w:p>
        </w:tc>
        <w:tc>
          <w:tcPr>
            <w:tcW w:w="890" w:type="pct"/>
            <w:tcBorders>
              <w:top w:val="nil"/>
              <w:left w:val="nil"/>
              <w:bottom w:val="nil"/>
              <w:right w:val="nil"/>
            </w:tcBorders>
            <w:shd w:val="clear" w:color="000000" w:fill="FFFFFF"/>
            <w:noWrap/>
            <w:vAlign w:val="center"/>
            <w:hideMark/>
          </w:tcPr>
          <w:p w14:paraId="4124518D"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                 1,329 </w:t>
            </w:r>
          </w:p>
        </w:tc>
        <w:tc>
          <w:tcPr>
            <w:tcW w:w="179" w:type="pct"/>
            <w:tcBorders>
              <w:top w:val="nil"/>
              <w:left w:val="nil"/>
              <w:bottom w:val="nil"/>
              <w:right w:val="nil"/>
            </w:tcBorders>
            <w:shd w:val="clear" w:color="000000" w:fill="FFFFFF"/>
            <w:noWrap/>
            <w:vAlign w:val="center"/>
            <w:hideMark/>
          </w:tcPr>
          <w:p w14:paraId="29595E9F"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648FCFC7"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0.3</w:t>
            </w:r>
          </w:p>
        </w:tc>
        <w:tc>
          <w:tcPr>
            <w:tcW w:w="1217" w:type="pct"/>
            <w:tcBorders>
              <w:top w:val="nil"/>
              <w:left w:val="nil"/>
              <w:bottom w:val="nil"/>
              <w:right w:val="nil"/>
            </w:tcBorders>
            <w:shd w:val="clear" w:color="000000" w:fill="FFFFFF"/>
            <w:noWrap/>
            <w:vAlign w:val="center"/>
            <w:hideMark/>
          </w:tcPr>
          <w:p w14:paraId="7C22F336"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1.5</w:t>
            </w:r>
          </w:p>
        </w:tc>
        <w:tc>
          <w:tcPr>
            <w:tcW w:w="169" w:type="pct"/>
            <w:tcBorders>
              <w:top w:val="nil"/>
              <w:left w:val="nil"/>
              <w:bottom w:val="nil"/>
              <w:right w:val="nil"/>
            </w:tcBorders>
            <w:shd w:val="clear" w:color="000000" w:fill="FFFFFF"/>
            <w:noWrap/>
            <w:vAlign w:val="center"/>
            <w:hideMark/>
          </w:tcPr>
          <w:p w14:paraId="63D94A5D"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2206B36B"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1.7</w:t>
            </w:r>
          </w:p>
        </w:tc>
      </w:tr>
      <w:tr w:rsidR="00663FB9" w:rsidRPr="000D482C" w14:paraId="48AD72D2" w14:textId="77777777" w:rsidTr="00034B5E">
        <w:trPr>
          <w:trHeight w:val="225"/>
        </w:trPr>
        <w:tc>
          <w:tcPr>
            <w:tcW w:w="1057" w:type="pct"/>
            <w:tcBorders>
              <w:top w:val="nil"/>
              <w:left w:val="nil"/>
              <w:bottom w:val="nil"/>
              <w:right w:val="nil"/>
            </w:tcBorders>
            <w:shd w:val="clear" w:color="000000" w:fill="FFFFFF"/>
            <w:noWrap/>
            <w:vAlign w:val="center"/>
            <w:hideMark/>
          </w:tcPr>
          <w:p w14:paraId="72C17220"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NT</w:t>
            </w:r>
          </w:p>
        </w:tc>
        <w:tc>
          <w:tcPr>
            <w:tcW w:w="890" w:type="pct"/>
            <w:tcBorders>
              <w:top w:val="nil"/>
              <w:left w:val="nil"/>
              <w:bottom w:val="nil"/>
              <w:right w:val="nil"/>
            </w:tcBorders>
            <w:shd w:val="clear" w:color="000000" w:fill="FFFFFF"/>
            <w:noWrap/>
            <w:vAlign w:val="center"/>
            <w:hideMark/>
          </w:tcPr>
          <w:p w14:paraId="02442AE4"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                      13 </w:t>
            </w:r>
          </w:p>
        </w:tc>
        <w:tc>
          <w:tcPr>
            <w:tcW w:w="179" w:type="pct"/>
            <w:tcBorders>
              <w:top w:val="nil"/>
              <w:left w:val="nil"/>
              <w:bottom w:val="nil"/>
              <w:right w:val="nil"/>
            </w:tcBorders>
            <w:shd w:val="clear" w:color="000000" w:fill="FFFFFF"/>
            <w:noWrap/>
            <w:vAlign w:val="center"/>
            <w:hideMark/>
          </w:tcPr>
          <w:p w14:paraId="0C2E2AA6"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6226D029"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0.0</w:t>
            </w:r>
          </w:p>
        </w:tc>
        <w:tc>
          <w:tcPr>
            <w:tcW w:w="1217" w:type="pct"/>
            <w:tcBorders>
              <w:top w:val="nil"/>
              <w:left w:val="nil"/>
              <w:bottom w:val="nil"/>
              <w:right w:val="nil"/>
            </w:tcBorders>
            <w:shd w:val="clear" w:color="000000" w:fill="FFFFFF"/>
            <w:noWrap/>
            <w:vAlign w:val="center"/>
            <w:hideMark/>
          </w:tcPr>
          <w:p w14:paraId="060CAC06"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0.0</w:t>
            </w:r>
          </w:p>
        </w:tc>
        <w:tc>
          <w:tcPr>
            <w:tcW w:w="169" w:type="pct"/>
            <w:tcBorders>
              <w:top w:val="nil"/>
              <w:left w:val="nil"/>
              <w:bottom w:val="nil"/>
              <w:right w:val="nil"/>
            </w:tcBorders>
            <w:shd w:val="clear" w:color="000000" w:fill="FFFFFF"/>
            <w:noWrap/>
            <w:vAlign w:val="center"/>
            <w:hideMark/>
          </w:tcPr>
          <w:p w14:paraId="2F302564"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6517448B"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0.0</w:t>
            </w:r>
          </w:p>
        </w:tc>
      </w:tr>
      <w:tr w:rsidR="00663FB9" w:rsidRPr="000D482C" w14:paraId="54567BD0" w14:textId="77777777" w:rsidTr="00034B5E">
        <w:trPr>
          <w:trHeight w:val="225"/>
        </w:trPr>
        <w:tc>
          <w:tcPr>
            <w:tcW w:w="1057" w:type="pct"/>
            <w:tcBorders>
              <w:top w:val="nil"/>
              <w:left w:val="nil"/>
              <w:bottom w:val="nil"/>
              <w:right w:val="nil"/>
            </w:tcBorders>
            <w:shd w:val="clear" w:color="000000" w:fill="FFFFFF"/>
            <w:noWrap/>
            <w:vAlign w:val="center"/>
            <w:hideMark/>
          </w:tcPr>
          <w:p w14:paraId="411AB276"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Qld</w:t>
            </w:r>
          </w:p>
        </w:tc>
        <w:tc>
          <w:tcPr>
            <w:tcW w:w="890" w:type="pct"/>
            <w:tcBorders>
              <w:top w:val="nil"/>
              <w:left w:val="nil"/>
              <w:bottom w:val="nil"/>
              <w:right w:val="nil"/>
            </w:tcBorders>
            <w:shd w:val="clear" w:color="000000" w:fill="FFFFFF"/>
            <w:noWrap/>
            <w:vAlign w:val="center"/>
            <w:hideMark/>
          </w:tcPr>
          <w:p w14:paraId="383D4058"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                 1,311 </w:t>
            </w:r>
          </w:p>
        </w:tc>
        <w:tc>
          <w:tcPr>
            <w:tcW w:w="179" w:type="pct"/>
            <w:tcBorders>
              <w:top w:val="nil"/>
              <w:left w:val="nil"/>
              <w:bottom w:val="nil"/>
              <w:right w:val="nil"/>
            </w:tcBorders>
            <w:shd w:val="clear" w:color="000000" w:fill="FFFFFF"/>
            <w:noWrap/>
            <w:vAlign w:val="center"/>
            <w:hideMark/>
          </w:tcPr>
          <w:p w14:paraId="20DA43E4"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706B4616"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0.2</w:t>
            </w:r>
          </w:p>
        </w:tc>
        <w:tc>
          <w:tcPr>
            <w:tcW w:w="1217" w:type="pct"/>
            <w:tcBorders>
              <w:top w:val="nil"/>
              <w:left w:val="nil"/>
              <w:bottom w:val="nil"/>
              <w:right w:val="nil"/>
            </w:tcBorders>
            <w:shd w:val="clear" w:color="000000" w:fill="FFFFFF"/>
            <w:noWrap/>
            <w:vAlign w:val="center"/>
            <w:hideMark/>
          </w:tcPr>
          <w:p w14:paraId="5E6CA60A"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1.2</w:t>
            </w:r>
          </w:p>
        </w:tc>
        <w:tc>
          <w:tcPr>
            <w:tcW w:w="169" w:type="pct"/>
            <w:tcBorders>
              <w:top w:val="nil"/>
              <w:left w:val="nil"/>
              <w:bottom w:val="nil"/>
              <w:right w:val="nil"/>
            </w:tcBorders>
            <w:shd w:val="clear" w:color="000000" w:fill="FFFFFF"/>
            <w:noWrap/>
            <w:vAlign w:val="center"/>
            <w:hideMark/>
          </w:tcPr>
          <w:p w14:paraId="092AA4C7"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44002349"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1.4</w:t>
            </w:r>
          </w:p>
        </w:tc>
      </w:tr>
      <w:tr w:rsidR="00663FB9" w:rsidRPr="000D482C" w14:paraId="07B95240" w14:textId="77777777" w:rsidTr="00034B5E">
        <w:trPr>
          <w:trHeight w:val="225"/>
        </w:trPr>
        <w:tc>
          <w:tcPr>
            <w:tcW w:w="1057" w:type="pct"/>
            <w:tcBorders>
              <w:top w:val="nil"/>
              <w:left w:val="nil"/>
              <w:bottom w:val="nil"/>
              <w:right w:val="nil"/>
            </w:tcBorders>
            <w:shd w:val="clear" w:color="000000" w:fill="FFFFFF"/>
            <w:noWrap/>
            <w:vAlign w:val="center"/>
            <w:hideMark/>
          </w:tcPr>
          <w:p w14:paraId="14D8C1AB"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SA</w:t>
            </w:r>
          </w:p>
        </w:tc>
        <w:tc>
          <w:tcPr>
            <w:tcW w:w="890" w:type="pct"/>
            <w:tcBorders>
              <w:top w:val="nil"/>
              <w:left w:val="nil"/>
              <w:bottom w:val="nil"/>
              <w:right w:val="nil"/>
            </w:tcBorders>
            <w:shd w:val="clear" w:color="000000" w:fill="FFFFFF"/>
            <w:noWrap/>
            <w:vAlign w:val="center"/>
            <w:hideMark/>
          </w:tcPr>
          <w:p w14:paraId="5A8A6E33"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                    387 </w:t>
            </w:r>
          </w:p>
        </w:tc>
        <w:tc>
          <w:tcPr>
            <w:tcW w:w="179" w:type="pct"/>
            <w:tcBorders>
              <w:top w:val="nil"/>
              <w:left w:val="nil"/>
              <w:bottom w:val="nil"/>
              <w:right w:val="nil"/>
            </w:tcBorders>
            <w:shd w:val="clear" w:color="000000" w:fill="FFFFFF"/>
            <w:noWrap/>
            <w:vAlign w:val="center"/>
            <w:hideMark/>
          </w:tcPr>
          <w:p w14:paraId="0BB27365"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5801AD80"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0.1</w:t>
            </w:r>
          </w:p>
        </w:tc>
        <w:tc>
          <w:tcPr>
            <w:tcW w:w="1217" w:type="pct"/>
            <w:tcBorders>
              <w:top w:val="nil"/>
              <w:left w:val="nil"/>
              <w:bottom w:val="nil"/>
              <w:right w:val="nil"/>
            </w:tcBorders>
            <w:shd w:val="clear" w:color="000000" w:fill="FFFFFF"/>
            <w:noWrap/>
            <w:vAlign w:val="center"/>
            <w:hideMark/>
          </w:tcPr>
          <w:p w14:paraId="5369F019"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0.1</w:t>
            </w:r>
          </w:p>
        </w:tc>
        <w:tc>
          <w:tcPr>
            <w:tcW w:w="169" w:type="pct"/>
            <w:tcBorders>
              <w:top w:val="nil"/>
              <w:left w:val="nil"/>
              <w:bottom w:val="nil"/>
              <w:right w:val="nil"/>
            </w:tcBorders>
            <w:shd w:val="clear" w:color="000000" w:fill="FFFFFF"/>
            <w:noWrap/>
            <w:vAlign w:val="center"/>
            <w:hideMark/>
          </w:tcPr>
          <w:p w14:paraId="222CDECD"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2E6C31A5"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0.2</w:t>
            </w:r>
          </w:p>
        </w:tc>
      </w:tr>
      <w:tr w:rsidR="00663FB9" w:rsidRPr="000D482C" w14:paraId="696A20D0" w14:textId="77777777" w:rsidTr="00034B5E">
        <w:trPr>
          <w:trHeight w:val="225"/>
        </w:trPr>
        <w:tc>
          <w:tcPr>
            <w:tcW w:w="1057" w:type="pct"/>
            <w:tcBorders>
              <w:top w:val="nil"/>
              <w:left w:val="nil"/>
              <w:bottom w:val="nil"/>
              <w:right w:val="nil"/>
            </w:tcBorders>
            <w:shd w:val="clear" w:color="000000" w:fill="FFFFFF"/>
            <w:noWrap/>
            <w:vAlign w:val="center"/>
            <w:hideMark/>
          </w:tcPr>
          <w:p w14:paraId="6B95036A"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Tas.</w:t>
            </w:r>
          </w:p>
        </w:tc>
        <w:tc>
          <w:tcPr>
            <w:tcW w:w="890" w:type="pct"/>
            <w:tcBorders>
              <w:top w:val="nil"/>
              <w:left w:val="nil"/>
              <w:bottom w:val="nil"/>
              <w:right w:val="nil"/>
            </w:tcBorders>
            <w:shd w:val="clear" w:color="000000" w:fill="FFFFFF"/>
            <w:noWrap/>
            <w:vAlign w:val="center"/>
            <w:hideMark/>
          </w:tcPr>
          <w:p w14:paraId="4EB0F31E"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                    243 </w:t>
            </w:r>
          </w:p>
        </w:tc>
        <w:tc>
          <w:tcPr>
            <w:tcW w:w="179" w:type="pct"/>
            <w:tcBorders>
              <w:top w:val="nil"/>
              <w:left w:val="nil"/>
              <w:bottom w:val="nil"/>
              <w:right w:val="nil"/>
            </w:tcBorders>
            <w:shd w:val="clear" w:color="000000" w:fill="FFFFFF"/>
            <w:noWrap/>
            <w:vAlign w:val="center"/>
            <w:hideMark/>
          </w:tcPr>
          <w:p w14:paraId="756B983E"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3BBC7444"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0.1</w:t>
            </w:r>
          </w:p>
        </w:tc>
        <w:tc>
          <w:tcPr>
            <w:tcW w:w="1217" w:type="pct"/>
            <w:tcBorders>
              <w:top w:val="nil"/>
              <w:left w:val="nil"/>
              <w:bottom w:val="nil"/>
              <w:right w:val="nil"/>
            </w:tcBorders>
            <w:shd w:val="clear" w:color="000000" w:fill="FFFFFF"/>
            <w:noWrap/>
            <w:vAlign w:val="center"/>
            <w:hideMark/>
          </w:tcPr>
          <w:p w14:paraId="47C5245A"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0.1</w:t>
            </w:r>
          </w:p>
        </w:tc>
        <w:tc>
          <w:tcPr>
            <w:tcW w:w="169" w:type="pct"/>
            <w:tcBorders>
              <w:top w:val="nil"/>
              <w:left w:val="nil"/>
              <w:bottom w:val="nil"/>
              <w:right w:val="nil"/>
            </w:tcBorders>
            <w:shd w:val="clear" w:color="000000" w:fill="FFFFFF"/>
            <w:noWrap/>
            <w:vAlign w:val="center"/>
            <w:hideMark/>
          </w:tcPr>
          <w:p w14:paraId="71106DC1"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1E4F75E2"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0.1</w:t>
            </w:r>
          </w:p>
        </w:tc>
      </w:tr>
      <w:tr w:rsidR="00663FB9" w:rsidRPr="000D482C" w14:paraId="24580F57" w14:textId="77777777" w:rsidTr="00034B5E">
        <w:trPr>
          <w:trHeight w:val="225"/>
        </w:trPr>
        <w:tc>
          <w:tcPr>
            <w:tcW w:w="1057" w:type="pct"/>
            <w:tcBorders>
              <w:top w:val="nil"/>
              <w:left w:val="nil"/>
              <w:bottom w:val="nil"/>
              <w:right w:val="nil"/>
            </w:tcBorders>
            <w:shd w:val="clear" w:color="000000" w:fill="FFFFFF"/>
            <w:noWrap/>
            <w:vAlign w:val="center"/>
            <w:hideMark/>
          </w:tcPr>
          <w:p w14:paraId="2779B0DE"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Vic.</w:t>
            </w:r>
          </w:p>
        </w:tc>
        <w:tc>
          <w:tcPr>
            <w:tcW w:w="890" w:type="pct"/>
            <w:tcBorders>
              <w:top w:val="nil"/>
              <w:left w:val="nil"/>
              <w:bottom w:val="nil"/>
              <w:right w:val="nil"/>
            </w:tcBorders>
            <w:shd w:val="clear" w:color="000000" w:fill="FFFFFF"/>
            <w:noWrap/>
            <w:vAlign w:val="center"/>
            <w:hideMark/>
          </w:tcPr>
          <w:p w14:paraId="0282FE4F"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                 3,000 </w:t>
            </w:r>
          </w:p>
        </w:tc>
        <w:tc>
          <w:tcPr>
            <w:tcW w:w="179" w:type="pct"/>
            <w:tcBorders>
              <w:top w:val="nil"/>
              <w:left w:val="nil"/>
              <w:bottom w:val="nil"/>
              <w:right w:val="nil"/>
            </w:tcBorders>
            <w:shd w:val="clear" w:color="000000" w:fill="FFFFFF"/>
            <w:noWrap/>
            <w:vAlign w:val="center"/>
            <w:hideMark/>
          </w:tcPr>
          <w:p w14:paraId="7662BF03"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4546DDA3"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0.8</w:t>
            </w:r>
          </w:p>
        </w:tc>
        <w:tc>
          <w:tcPr>
            <w:tcW w:w="1217" w:type="pct"/>
            <w:tcBorders>
              <w:top w:val="nil"/>
              <w:left w:val="nil"/>
              <w:bottom w:val="nil"/>
              <w:right w:val="nil"/>
            </w:tcBorders>
            <w:shd w:val="clear" w:color="000000" w:fill="FFFFFF"/>
            <w:noWrap/>
            <w:vAlign w:val="center"/>
            <w:hideMark/>
          </w:tcPr>
          <w:p w14:paraId="4AB1973F"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2.7</w:t>
            </w:r>
          </w:p>
        </w:tc>
        <w:tc>
          <w:tcPr>
            <w:tcW w:w="169" w:type="pct"/>
            <w:tcBorders>
              <w:top w:val="nil"/>
              <w:left w:val="nil"/>
              <w:bottom w:val="nil"/>
              <w:right w:val="nil"/>
            </w:tcBorders>
            <w:shd w:val="clear" w:color="000000" w:fill="FFFFFF"/>
            <w:noWrap/>
            <w:vAlign w:val="center"/>
            <w:hideMark/>
          </w:tcPr>
          <w:p w14:paraId="1A042E58"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2D72B35F"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3.5</w:t>
            </w:r>
          </w:p>
        </w:tc>
      </w:tr>
      <w:tr w:rsidR="00663FB9" w:rsidRPr="000D482C" w14:paraId="70A74DD4" w14:textId="77777777" w:rsidTr="00034B5E">
        <w:trPr>
          <w:trHeight w:val="225"/>
        </w:trPr>
        <w:tc>
          <w:tcPr>
            <w:tcW w:w="1057" w:type="pct"/>
            <w:tcBorders>
              <w:top w:val="nil"/>
              <w:left w:val="nil"/>
              <w:bottom w:val="nil"/>
              <w:right w:val="nil"/>
            </w:tcBorders>
            <w:shd w:val="clear" w:color="000000" w:fill="FFFFFF"/>
            <w:noWrap/>
            <w:vAlign w:val="center"/>
            <w:hideMark/>
          </w:tcPr>
          <w:p w14:paraId="61514F8D"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WA</w:t>
            </w:r>
          </w:p>
        </w:tc>
        <w:tc>
          <w:tcPr>
            <w:tcW w:w="890" w:type="pct"/>
            <w:tcBorders>
              <w:top w:val="nil"/>
              <w:left w:val="nil"/>
              <w:bottom w:val="nil"/>
              <w:right w:val="nil"/>
            </w:tcBorders>
            <w:shd w:val="clear" w:color="000000" w:fill="FFFFFF"/>
            <w:noWrap/>
            <w:vAlign w:val="center"/>
            <w:hideMark/>
          </w:tcPr>
          <w:p w14:paraId="0765B0FD"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                    368 </w:t>
            </w:r>
          </w:p>
        </w:tc>
        <w:tc>
          <w:tcPr>
            <w:tcW w:w="179" w:type="pct"/>
            <w:tcBorders>
              <w:top w:val="nil"/>
              <w:left w:val="nil"/>
              <w:bottom w:val="nil"/>
              <w:right w:val="nil"/>
            </w:tcBorders>
            <w:shd w:val="clear" w:color="000000" w:fill="FFFFFF"/>
            <w:noWrap/>
            <w:vAlign w:val="center"/>
            <w:hideMark/>
          </w:tcPr>
          <w:p w14:paraId="63438870"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30D6292C"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0.1</w:t>
            </w:r>
          </w:p>
        </w:tc>
        <w:tc>
          <w:tcPr>
            <w:tcW w:w="1217" w:type="pct"/>
            <w:tcBorders>
              <w:top w:val="nil"/>
              <w:left w:val="nil"/>
              <w:bottom w:val="nil"/>
              <w:right w:val="nil"/>
            </w:tcBorders>
            <w:shd w:val="clear" w:color="000000" w:fill="FFFFFF"/>
            <w:noWrap/>
            <w:vAlign w:val="center"/>
            <w:hideMark/>
          </w:tcPr>
          <w:p w14:paraId="22F659D3"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0.3</w:t>
            </w:r>
          </w:p>
        </w:tc>
        <w:tc>
          <w:tcPr>
            <w:tcW w:w="169" w:type="pct"/>
            <w:tcBorders>
              <w:top w:val="nil"/>
              <w:left w:val="nil"/>
              <w:bottom w:val="nil"/>
              <w:right w:val="nil"/>
            </w:tcBorders>
            <w:shd w:val="clear" w:color="000000" w:fill="FFFFFF"/>
            <w:noWrap/>
            <w:vAlign w:val="center"/>
            <w:hideMark/>
          </w:tcPr>
          <w:p w14:paraId="5FE0A926"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48C60B2B"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0.4</w:t>
            </w:r>
          </w:p>
        </w:tc>
      </w:tr>
      <w:tr w:rsidR="00663FB9" w:rsidRPr="000D482C" w14:paraId="5E834DD7" w14:textId="77777777" w:rsidTr="00034B5E">
        <w:trPr>
          <w:trHeight w:val="225"/>
        </w:trPr>
        <w:tc>
          <w:tcPr>
            <w:tcW w:w="1057" w:type="pct"/>
            <w:tcBorders>
              <w:top w:val="nil"/>
              <w:left w:val="nil"/>
              <w:bottom w:val="nil"/>
              <w:right w:val="nil"/>
            </w:tcBorders>
            <w:shd w:val="clear" w:color="000000" w:fill="FFFFFF"/>
            <w:noWrap/>
            <w:vAlign w:val="center"/>
            <w:hideMark/>
          </w:tcPr>
          <w:p w14:paraId="5D61BCB8"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Various</w:t>
            </w:r>
          </w:p>
        </w:tc>
        <w:tc>
          <w:tcPr>
            <w:tcW w:w="890" w:type="pct"/>
            <w:tcBorders>
              <w:top w:val="nil"/>
              <w:left w:val="nil"/>
              <w:bottom w:val="nil"/>
              <w:right w:val="nil"/>
            </w:tcBorders>
            <w:shd w:val="clear" w:color="000000" w:fill="FFFFFF"/>
            <w:noWrap/>
            <w:vAlign w:val="center"/>
            <w:hideMark/>
          </w:tcPr>
          <w:p w14:paraId="0991BEAE"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xml:space="preserve">                      65 </w:t>
            </w:r>
          </w:p>
        </w:tc>
        <w:tc>
          <w:tcPr>
            <w:tcW w:w="179" w:type="pct"/>
            <w:tcBorders>
              <w:top w:val="nil"/>
              <w:left w:val="nil"/>
              <w:bottom w:val="nil"/>
              <w:right w:val="nil"/>
            </w:tcBorders>
            <w:shd w:val="clear" w:color="000000" w:fill="FFFFFF"/>
            <w:noWrap/>
            <w:vAlign w:val="center"/>
            <w:hideMark/>
          </w:tcPr>
          <w:p w14:paraId="374CD8E7" w14:textId="77777777" w:rsidR="000D482C" w:rsidRPr="000D482C" w:rsidRDefault="000D482C" w:rsidP="000D482C">
            <w:pPr>
              <w:spacing w:after="0" w:line="240" w:lineRule="auto"/>
              <w:jc w:val="left"/>
              <w:rPr>
                <w:rFonts w:ascii="Arial" w:hAnsi="Arial" w:cs="Arial"/>
                <w:color w:val="auto"/>
                <w:sz w:val="16"/>
                <w:szCs w:val="16"/>
              </w:rPr>
            </w:pPr>
            <w:r w:rsidRPr="000D482C">
              <w:rPr>
                <w:rFonts w:ascii="Arial" w:hAnsi="Arial" w:cs="Arial"/>
                <w:color w:val="auto"/>
                <w:sz w:val="16"/>
                <w:szCs w:val="16"/>
              </w:rPr>
              <w:t> </w:t>
            </w:r>
          </w:p>
        </w:tc>
        <w:tc>
          <w:tcPr>
            <w:tcW w:w="765" w:type="pct"/>
            <w:tcBorders>
              <w:top w:val="nil"/>
              <w:left w:val="nil"/>
              <w:bottom w:val="nil"/>
              <w:right w:val="nil"/>
            </w:tcBorders>
            <w:shd w:val="clear" w:color="000000" w:fill="FFFFFF"/>
            <w:noWrap/>
            <w:vAlign w:val="center"/>
            <w:hideMark/>
          </w:tcPr>
          <w:p w14:paraId="1A29D888"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3.2</w:t>
            </w:r>
          </w:p>
        </w:tc>
        <w:tc>
          <w:tcPr>
            <w:tcW w:w="1217" w:type="pct"/>
            <w:tcBorders>
              <w:top w:val="nil"/>
              <w:left w:val="nil"/>
              <w:bottom w:val="nil"/>
              <w:right w:val="nil"/>
            </w:tcBorders>
            <w:shd w:val="clear" w:color="000000" w:fill="FFFFFF"/>
            <w:noWrap/>
            <w:vAlign w:val="center"/>
            <w:hideMark/>
          </w:tcPr>
          <w:p w14:paraId="52649F3D"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6.3</w:t>
            </w:r>
          </w:p>
        </w:tc>
        <w:tc>
          <w:tcPr>
            <w:tcW w:w="169" w:type="pct"/>
            <w:tcBorders>
              <w:top w:val="nil"/>
              <w:left w:val="nil"/>
              <w:bottom w:val="nil"/>
              <w:right w:val="nil"/>
            </w:tcBorders>
            <w:shd w:val="clear" w:color="000000" w:fill="FFFFFF"/>
            <w:noWrap/>
            <w:vAlign w:val="center"/>
            <w:hideMark/>
          </w:tcPr>
          <w:p w14:paraId="793DCC16"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 </w:t>
            </w:r>
          </w:p>
        </w:tc>
        <w:tc>
          <w:tcPr>
            <w:tcW w:w="723" w:type="pct"/>
            <w:tcBorders>
              <w:top w:val="nil"/>
              <w:left w:val="nil"/>
              <w:bottom w:val="nil"/>
              <w:right w:val="nil"/>
            </w:tcBorders>
            <w:shd w:val="clear" w:color="000000" w:fill="FFFFFF"/>
            <w:noWrap/>
            <w:vAlign w:val="center"/>
            <w:hideMark/>
          </w:tcPr>
          <w:p w14:paraId="52CB5B88" w14:textId="77777777" w:rsidR="000D482C" w:rsidRPr="000D482C" w:rsidRDefault="000D482C" w:rsidP="000D482C">
            <w:pPr>
              <w:spacing w:after="0" w:line="240" w:lineRule="auto"/>
              <w:jc w:val="right"/>
              <w:rPr>
                <w:rFonts w:ascii="Arial" w:hAnsi="Arial" w:cs="Arial"/>
                <w:color w:val="auto"/>
                <w:sz w:val="16"/>
                <w:szCs w:val="16"/>
              </w:rPr>
            </w:pPr>
            <w:r w:rsidRPr="000D482C">
              <w:rPr>
                <w:rFonts w:ascii="Arial" w:hAnsi="Arial" w:cs="Arial"/>
                <w:color w:val="auto"/>
                <w:sz w:val="16"/>
                <w:szCs w:val="16"/>
              </w:rPr>
              <w:t>9.5</w:t>
            </w:r>
          </w:p>
        </w:tc>
      </w:tr>
      <w:tr w:rsidR="00663FB9" w:rsidRPr="000D482C" w14:paraId="6FF9F752" w14:textId="77777777" w:rsidTr="00034B5E">
        <w:trPr>
          <w:trHeight w:val="225"/>
        </w:trPr>
        <w:tc>
          <w:tcPr>
            <w:tcW w:w="1057" w:type="pct"/>
            <w:tcBorders>
              <w:top w:val="dotted" w:sz="4" w:space="0" w:color="auto"/>
              <w:left w:val="nil"/>
              <w:bottom w:val="dotted" w:sz="4" w:space="0" w:color="auto"/>
              <w:right w:val="nil"/>
            </w:tcBorders>
            <w:shd w:val="clear" w:color="000000" w:fill="FFFFFF"/>
            <w:noWrap/>
            <w:vAlign w:val="center"/>
            <w:hideMark/>
          </w:tcPr>
          <w:p w14:paraId="6E4E1E59" w14:textId="77777777" w:rsidR="000D482C" w:rsidRPr="000D482C" w:rsidRDefault="000D482C" w:rsidP="000D482C">
            <w:pPr>
              <w:spacing w:after="0" w:line="240" w:lineRule="auto"/>
              <w:jc w:val="left"/>
              <w:rPr>
                <w:rFonts w:ascii="Arial" w:hAnsi="Arial" w:cs="Arial"/>
                <w:b/>
                <w:bCs/>
                <w:color w:val="auto"/>
                <w:sz w:val="16"/>
                <w:szCs w:val="16"/>
              </w:rPr>
            </w:pPr>
            <w:r w:rsidRPr="000D482C">
              <w:rPr>
                <w:rFonts w:ascii="Arial" w:hAnsi="Arial" w:cs="Arial"/>
                <w:b/>
                <w:bCs/>
                <w:color w:val="auto"/>
                <w:sz w:val="16"/>
                <w:szCs w:val="16"/>
              </w:rPr>
              <w:t>Total</w:t>
            </w:r>
          </w:p>
        </w:tc>
        <w:tc>
          <w:tcPr>
            <w:tcW w:w="890" w:type="pct"/>
            <w:tcBorders>
              <w:top w:val="dotted" w:sz="4" w:space="0" w:color="auto"/>
              <w:left w:val="nil"/>
              <w:bottom w:val="dotted" w:sz="4" w:space="0" w:color="auto"/>
              <w:right w:val="nil"/>
            </w:tcBorders>
            <w:shd w:val="clear" w:color="000000" w:fill="FFFFFF"/>
            <w:noWrap/>
            <w:vAlign w:val="center"/>
            <w:hideMark/>
          </w:tcPr>
          <w:p w14:paraId="45EF3617" w14:textId="77777777" w:rsidR="000D482C" w:rsidRPr="000D482C" w:rsidRDefault="000D482C" w:rsidP="000D482C">
            <w:pPr>
              <w:spacing w:after="0" w:line="240" w:lineRule="auto"/>
              <w:jc w:val="right"/>
              <w:rPr>
                <w:rFonts w:ascii="Arial" w:hAnsi="Arial" w:cs="Arial"/>
                <w:b/>
                <w:bCs/>
                <w:color w:val="auto"/>
                <w:sz w:val="16"/>
                <w:szCs w:val="16"/>
              </w:rPr>
            </w:pPr>
            <w:r w:rsidRPr="000D482C">
              <w:rPr>
                <w:rFonts w:ascii="Arial" w:hAnsi="Arial" w:cs="Arial"/>
                <w:b/>
                <w:bCs/>
                <w:color w:val="auto"/>
                <w:sz w:val="16"/>
                <w:szCs w:val="16"/>
              </w:rPr>
              <w:t xml:space="preserve">                 7,056 </w:t>
            </w:r>
          </w:p>
        </w:tc>
        <w:tc>
          <w:tcPr>
            <w:tcW w:w="179" w:type="pct"/>
            <w:tcBorders>
              <w:top w:val="nil"/>
              <w:left w:val="nil"/>
              <w:bottom w:val="single" w:sz="4" w:space="0" w:color="auto"/>
              <w:right w:val="nil"/>
            </w:tcBorders>
            <w:shd w:val="clear" w:color="000000" w:fill="FFFFFF"/>
            <w:noWrap/>
            <w:vAlign w:val="center"/>
            <w:hideMark/>
          </w:tcPr>
          <w:p w14:paraId="04FAF0A4" w14:textId="77777777" w:rsidR="000D482C" w:rsidRPr="000D482C" w:rsidRDefault="000D482C" w:rsidP="000D482C">
            <w:pPr>
              <w:spacing w:after="0" w:line="240" w:lineRule="auto"/>
              <w:jc w:val="left"/>
              <w:rPr>
                <w:rFonts w:ascii="Arial" w:hAnsi="Arial" w:cs="Arial"/>
                <w:b/>
                <w:bCs/>
                <w:color w:val="auto"/>
                <w:sz w:val="16"/>
                <w:szCs w:val="16"/>
              </w:rPr>
            </w:pPr>
            <w:r w:rsidRPr="000D482C">
              <w:rPr>
                <w:rFonts w:ascii="Arial" w:hAnsi="Arial" w:cs="Arial"/>
                <w:b/>
                <w:bCs/>
                <w:color w:val="auto"/>
                <w:sz w:val="16"/>
                <w:szCs w:val="16"/>
              </w:rPr>
              <w:t> </w:t>
            </w:r>
          </w:p>
        </w:tc>
        <w:tc>
          <w:tcPr>
            <w:tcW w:w="765" w:type="pct"/>
            <w:tcBorders>
              <w:top w:val="dotted" w:sz="4" w:space="0" w:color="auto"/>
              <w:left w:val="nil"/>
              <w:bottom w:val="dotted" w:sz="4" w:space="0" w:color="auto"/>
              <w:right w:val="nil"/>
            </w:tcBorders>
            <w:shd w:val="clear" w:color="000000" w:fill="FFFFFF"/>
            <w:noWrap/>
            <w:vAlign w:val="center"/>
            <w:hideMark/>
          </w:tcPr>
          <w:p w14:paraId="29EE86B7" w14:textId="77777777" w:rsidR="000D482C" w:rsidRPr="000D482C" w:rsidRDefault="000D482C" w:rsidP="000D482C">
            <w:pPr>
              <w:spacing w:after="0" w:line="240" w:lineRule="auto"/>
              <w:jc w:val="right"/>
              <w:rPr>
                <w:rFonts w:ascii="Arial" w:hAnsi="Arial" w:cs="Arial"/>
                <w:b/>
                <w:bCs/>
                <w:color w:val="auto"/>
                <w:sz w:val="16"/>
                <w:szCs w:val="16"/>
              </w:rPr>
            </w:pPr>
            <w:r w:rsidRPr="000D482C">
              <w:rPr>
                <w:rFonts w:ascii="Arial" w:hAnsi="Arial" w:cs="Arial"/>
                <w:b/>
                <w:bCs/>
                <w:color w:val="auto"/>
                <w:sz w:val="16"/>
                <w:szCs w:val="16"/>
              </w:rPr>
              <w:t>4.6</w:t>
            </w:r>
          </w:p>
        </w:tc>
        <w:tc>
          <w:tcPr>
            <w:tcW w:w="1217" w:type="pct"/>
            <w:tcBorders>
              <w:top w:val="dotted" w:sz="4" w:space="0" w:color="auto"/>
              <w:left w:val="nil"/>
              <w:bottom w:val="dotted" w:sz="4" w:space="0" w:color="auto"/>
              <w:right w:val="nil"/>
            </w:tcBorders>
            <w:shd w:val="clear" w:color="000000" w:fill="FFFFFF"/>
            <w:noWrap/>
            <w:vAlign w:val="center"/>
            <w:hideMark/>
          </w:tcPr>
          <w:p w14:paraId="3EB2EABB" w14:textId="77777777" w:rsidR="000D482C" w:rsidRPr="000D482C" w:rsidRDefault="000D482C" w:rsidP="000D482C">
            <w:pPr>
              <w:spacing w:after="0" w:line="240" w:lineRule="auto"/>
              <w:jc w:val="right"/>
              <w:rPr>
                <w:rFonts w:ascii="Arial" w:hAnsi="Arial" w:cs="Arial"/>
                <w:b/>
                <w:bCs/>
                <w:color w:val="auto"/>
                <w:sz w:val="16"/>
                <w:szCs w:val="16"/>
              </w:rPr>
            </w:pPr>
            <w:r w:rsidRPr="000D482C">
              <w:rPr>
                <w:rFonts w:ascii="Arial" w:hAnsi="Arial" w:cs="Arial"/>
                <w:b/>
                <w:bCs/>
                <w:color w:val="auto"/>
                <w:sz w:val="16"/>
                <w:szCs w:val="16"/>
              </w:rPr>
              <w:t>12.5</w:t>
            </w:r>
          </w:p>
        </w:tc>
        <w:tc>
          <w:tcPr>
            <w:tcW w:w="169" w:type="pct"/>
            <w:tcBorders>
              <w:top w:val="nil"/>
              <w:left w:val="nil"/>
              <w:bottom w:val="single" w:sz="4" w:space="0" w:color="auto"/>
              <w:right w:val="nil"/>
            </w:tcBorders>
            <w:shd w:val="clear" w:color="000000" w:fill="FFFFFF"/>
            <w:noWrap/>
            <w:vAlign w:val="center"/>
            <w:hideMark/>
          </w:tcPr>
          <w:p w14:paraId="70E3D003" w14:textId="77777777" w:rsidR="000D482C" w:rsidRPr="000D482C" w:rsidRDefault="000D482C" w:rsidP="000D482C">
            <w:pPr>
              <w:spacing w:after="0" w:line="240" w:lineRule="auto"/>
              <w:jc w:val="left"/>
              <w:rPr>
                <w:rFonts w:ascii="Arial" w:hAnsi="Arial" w:cs="Arial"/>
                <w:b/>
                <w:bCs/>
                <w:color w:val="auto"/>
                <w:sz w:val="16"/>
                <w:szCs w:val="16"/>
              </w:rPr>
            </w:pPr>
            <w:r w:rsidRPr="000D482C">
              <w:rPr>
                <w:rFonts w:ascii="Arial" w:hAnsi="Arial" w:cs="Arial"/>
                <w:b/>
                <w:bCs/>
                <w:color w:val="auto"/>
                <w:sz w:val="16"/>
                <w:szCs w:val="16"/>
              </w:rPr>
              <w:t> </w:t>
            </w:r>
          </w:p>
        </w:tc>
        <w:tc>
          <w:tcPr>
            <w:tcW w:w="723" w:type="pct"/>
            <w:tcBorders>
              <w:top w:val="single" w:sz="4" w:space="0" w:color="auto"/>
              <w:left w:val="nil"/>
              <w:bottom w:val="single" w:sz="4" w:space="0" w:color="auto"/>
              <w:right w:val="nil"/>
            </w:tcBorders>
            <w:shd w:val="clear" w:color="000000" w:fill="FFFFFF"/>
            <w:noWrap/>
            <w:vAlign w:val="center"/>
            <w:hideMark/>
          </w:tcPr>
          <w:p w14:paraId="6EAFF940" w14:textId="77777777" w:rsidR="000D482C" w:rsidRPr="000D482C" w:rsidRDefault="000D482C" w:rsidP="000D482C">
            <w:pPr>
              <w:spacing w:after="0" w:line="240" w:lineRule="auto"/>
              <w:jc w:val="right"/>
              <w:rPr>
                <w:rFonts w:ascii="Arial" w:hAnsi="Arial" w:cs="Arial"/>
                <w:b/>
                <w:bCs/>
                <w:color w:val="auto"/>
                <w:sz w:val="16"/>
                <w:szCs w:val="16"/>
              </w:rPr>
            </w:pPr>
            <w:r w:rsidRPr="000D482C">
              <w:rPr>
                <w:rFonts w:ascii="Arial" w:hAnsi="Arial" w:cs="Arial"/>
                <w:b/>
                <w:bCs/>
                <w:color w:val="auto"/>
                <w:sz w:val="16"/>
                <w:szCs w:val="16"/>
              </w:rPr>
              <w:t>17.1</w:t>
            </w:r>
          </w:p>
        </w:tc>
      </w:tr>
    </w:tbl>
    <w:p w14:paraId="6391F45B" w14:textId="77777777" w:rsidR="006061ED" w:rsidRPr="008475AB" w:rsidRDefault="006061ED" w:rsidP="006061ED">
      <w:pPr>
        <w:pStyle w:val="ChartorTableNote"/>
      </w:pPr>
      <w:r w:rsidRPr="008475AB">
        <w:t xml:space="preserve">Before republishing this data or comparing between years, thoroughly review the methodological and data caveats in Appendix B. </w:t>
      </w:r>
    </w:p>
    <w:p w14:paraId="715832BA" w14:textId="77777777" w:rsidR="00A359D3" w:rsidRPr="008475AB" w:rsidRDefault="00A359D3" w:rsidP="00034B5E">
      <w:pPr>
        <w:pStyle w:val="SingleParagraph"/>
      </w:pPr>
    </w:p>
    <w:p w14:paraId="5F9F0A72" w14:textId="77777777" w:rsidR="00DE56DC" w:rsidRPr="008475AB" w:rsidRDefault="00DE56DC" w:rsidP="00DE56DC">
      <w:pPr>
        <w:pStyle w:val="TableMainHeading"/>
      </w:pPr>
      <w:bookmarkStart w:id="133" w:name="_Toc32247773"/>
      <w:bookmarkStart w:id="134" w:name="_Toc63798283"/>
      <w:bookmarkStart w:id="135" w:name="_Toc73984742"/>
      <w:r w:rsidRPr="008475AB">
        <w:t>Table 3.1</w:t>
      </w:r>
      <w:r w:rsidR="00A359D3" w:rsidRPr="008475AB">
        <w:t>5</w:t>
      </w:r>
      <w:r w:rsidRPr="008475AB">
        <w:t>: State and territory distribution of proposed investment in resident</w:t>
      </w:r>
      <w:r w:rsidR="00050886">
        <w:t>ial real estate, by type in 2019</w:t>
      </w:r>
      <w:r w:rsidR="00F26A86">
        <w:t>–</w:t>
      </w:r>
      <w:r w:rsidR="00050886">
        <w:t>20</w:t>
      </w:r>
      <w:bookmarkEnd w:id="133"/>
      <w:bookmarkEnd w:id="134"/>
      <w:bookmarkEnd w:id="135"/>
      <w:r w:rsidRPr="008475AB">
        <w:t xml:space="preserve"> </w:t>
      </w:r>
    </w:p>
    <w:tbl>
      <w:tblPr>
        <w:tblW w:w="5000" w:type="pct"/>
        <w:tblLook w:val="04A0" w:firstRow="1" w:lastRow="0" w:firstColumn="1" w:lastColumn="0" w:noHBand="0" w:noVBand="1"/>
      </w:tblPr>
      <w:tblGrid>
        <w:gridCol w:w="821"/>
        <w:gridCol w:w="617"/>
        <w:gridCol w:w="439"/>
        <w:gridCol w:w="617"/>
        <w:gridCol w:w="439"/>
        <w:gridCol w:w="700"/>
        <w:gridCol w:w="637"/>
        <w:gridCol w:w="617"/>
        <w:gridCol w:w="439"/>
        <w:gridCol w:w="610"/>
        <w:gridCol w:w="576"/>
        <w:gridCol w:w="627"/>
        <w:gridCol w:w="571"/>
      </w:tblGrid>
      <w:tr w:rsidR="00E15049" w:rsidRPr="002F1984" w14:paraId="0D359F8F" w14:textId="77777777" w:rsidTr="00A521D5">
        <w:trPr>
          <w:trHeight w:val="450"/>
        </w:trPr>
        <w:tc>
          <w:tcPr>
            <w:tcW w:w="0" w:type="auto"/>
            <w:tcBorders>
              <w:top w:val="single" w:sz="4" w:space="0" w:color="auto"/>
              <w:left w:val="nil"/>
              <w:bottom w:val="nil"/>
              <w:right w:val="nil"/>
            </w:tcBorders>
            <w:shd w:val="clear" w:color="000000" w:fill="FFFFFF"/>
            <w:noWrap/>
            <w:vAlign w:val="center"/>
            <w:hideMark/>
          </w:tcPr>
          <w:p w14:paraId="7360A16F" w14:textId="77777777" w:rsidR="00E15049" w:rsidRPr="002F1984" w:rsidRDefault="00E15049" w:rsidP="00467BD8">
            <w:pPr>
              <w:rPr>
                <w:rFonts w:ascii="Arial" w:hAnsi="Arial" w:cs="Arial"/>
                <w:color w:val="auto"/>
                <w:sz w:val="16"/>
                <w:szCs w:val="16"/>
              </w:rPr>
            </w:pPr>
            <w:r w:rsidRPr="002F1984">
              <w:rPr>
                <w:rFonts w:ascii="Arial" w:hAnsi="Arial" w:cs="Arial"/>
                <w:color w:val="auto"/>
                <w:sz w:val="16"/>
                <w:szCs w:val="16"/>
              </w:rPr>
              <w:t> </w:t>
            </w:r>
          </w:p>
        </w:tc>
        <w:tc>
          <w:tcPr>
            <w:tcW w:w="0" w:type="auto"/>
            <w:gridSpan w:val="2"/>
            <w:tcBorders>
              <w:top w:val="single" w:sz="4" w:space="0" w:color="auto"/>
              <w:left w:val="nil"/>
              <w:bottom w:val="single" w:sz="4" w:space="0" w:color="auto"/>
              <w:right w:val="nil"/>
            </w:tcBorders>
            <w:shd w:val="clear" w:color="000000" w:fill="FFFFFF"/>
            <w:vAlign w:val="center"/>
            <w:hideMark/>
          </w:tcPr>
          <w:p w14:paraId="5D1E2059" w14:textId="77777777" w:rsidR="00E15049" w:rsidRPr="002F1984" w:rsidRDefault="00E15049" w:rsidP="00467BD8">
            <w:pPr>
              <w:spacing w:after="0" w:line="240" w:lineRule="auto"/>
              <w:jc w:val="center"/>
              <w:rPr>
                <w:rFonts w:ascii="Arial" w:hAnsi="Arial" w:cs="Arial"/>
                <w:color w:val="auto"/>
                <w:sz w:val="16"/>
                <w:szCs w:val="16"/>
              </w:rPr>
            </w:pPr>
            <w:r w:rsidRPr="002F1984">
              <w:rPr>
                <w:rFonts w:ascii="Arial" w:hAnsi="Arial" w:cs="Arial"/>
                <w:color w:val="auto"/>
                <w:sz w:val="16"/>
                <w:szCs w:val="16"/>
              </w:rPr>
              <w:t>New</w:t>
            </w:r>
            <w:r w:rsidRPr="002F1984">
              <w:rPr>
                <w:rFonts w:ascii="Arial" w:hAnsi="Arial" w:cs="Arial"/>
                <w:color w:val="auto"/>
                <w:sz w:val="16"/>
                <w:szCs w:val="16"/>
              </w:rPr>
              <w:br/>
              <w:t>Dwelling</w:t>
            </w:r>
          </w:p>
        </w:tc>
        <w:tc>
          <w:tcPr>
            <w:tcW w:w="0" w:type="auto"/>
            <w:gridSpan w:val="2"/>
            <w:tcBorders>
              <w:top w:val="single" w:sz="4" w:space="0" w:color="auto"/>
              <w:left w:val="nil"/>
              <w:bottom w:val="single" w:sz="4" w:space="0" w:color="auto"/>
              <w:right w:val="nil"/>
            </w:tcBorders>
            <w:shd w:val="clear" w:color="000000" w:fill="FFFFFF"/>
            <w:vAlign w:val="center"/>
            <w:hideMark/>
          </w:tcPr>
          <w:p w14:paraId="67CBEE71" w14:textId="77777777" w:rsidR="00E15049" w:rsidRPr="002F1984" w:rsidRDefault="00E15049" w:rsidP="00467BD8">
            <w:pPr>
              <w:spacing w:after="0" w:line="240" w:lineRule="auto"/>
              <w:jc w:val="center"/>
              <w:rPr>
                <w:rFonts w:ascii="Arial" w:hAnsi="Arial" w:cs="Arial"/>
                <w:color w:val="auto"/>
                <w:sz w:val="16"/>
                <w:szCs w:val="16"/>
              </w:rPr>
            </w:pPr>
            <w:r w:rsidRPr="002F1984">
              <w:rPr>
                <w:rFonts w:ascii="Arial" w:hAnsi="Arial" w:cs="Arial"/>
                <w:color w:val="auto"/>
                <w:sz w:val="16"/>
                <w:szCs w:val="16"/>
              </w:rPr>
              <w:t>Existing</w:t>
            </w:r>
            <w:r w:rsidRPr="002F1984">
              <w:rPr>
                <w:rFonts w:ascii="Arial" w:hAnsi="Arial" w:cs="Arial"/>
                <w:color w:val="auto"/>
                <w:sz w:val="16"/>
                <w:szCs w:val="16"/>
              </w:rPr>
              <w:br/>
              <w:t>Property</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15874569" w14:textId="77777777" w:rsidR="00E15049" w:rsidRPr="002F1984" w:rsidRDefault="00E15049" w:rsidP="00467BD8">
            <w:pPr>
              <w:spacing w:after="0" w:line="240" w:lineRule="auto"/>
              <w:jc w:val="center"/>
              <w:rPr>
                <w:rFonts w:ascii="Arial" w:hAnsi="Arial" w:cs="Arial"/>
                <w:color w:val="auto"/>
                <w:sz w:val="16"/>
                <w:szCs w:val="16"/>
              </w:rPr>
            </w:pPr>
            <w:r w:rsidRPr="002F1984">
              <w:rPr>
                <w:rFonts w:ascii="Arial" w:hAnsi="Arial" w:cs="Arial"/>
                <w:color w:val="auto"/>
                <w:sz w:val="16"/>
                <w:szCs w:val="16"/>
              </w:rPr>
              <w:t>Redevelopment</w:t>
            </w:r>
          </w:p>
        </w:tc>
        <w:tc>
          <w:tcPr>
            <w:tcW w:w="0" w:type="auto"/>
            <w:gridSpan w:val="2"/>
            <w:tcBorders>
              <w:top w:val="single" w:sz="4" w:space="0" w:color="auto"/>
              <w:left w:val="nil"/>
              <w:bottom w:val="single" w:sz="4" w:space="0" w:color="auto"/>
              <w:right w:val="nil"/>
            </w:tcBorders>
            <w:shd w:val="clear" w:color="000000" w:fill="FFFFFF"/>
            <w:vAlign w:val="center"/>
            <w:hideMark/>
          </w:tcPr>
          <w:p w14:paraId="017E9741" w14:textId="77777777" w:rsidR="00E15049" w:rsidRPr="002F1984" w:rsidRDefault="00E15049" w:rsidP="00467BD8">
            <w:pPr>
              <w:spacing w:after="0" w:line="240" w:lineRule="auto"/>
              <w:jc w:val="center"/>
              <w:rPr>
                <w:rFonts w:ascii="Arial" w:hAnsi="Arial" w:cs="Arial"/>
                <w:color w:val="auto"/>
                <w:sz w:val="16"/>
                <w:szCs w:val="16"/>
              </w:rPr>
            </w:pPr>
            <w:r w:rsidRPr="002F1984">
              <w:rPr>
                <w:rFonts w:ascii="Arial" w:hAnsi="Arial" w:cs="Arial"/>
                <w:color w:val="auto"/>
                <w:sz w:val="16"/>
                <w:szCs w:val="16"/>
              </w:rPr>
              <w:t>Vacant</w:t>
            </w:r>
            <w:r w:rsidRPr="002F1984">
              <w:rPr>
                <w:rFonts w:ascii="Arial" w:hAnsi="Arial" w:cs="Arial"/>
                <w:color w:val="auto"/>
                <w:sz w:val="16"/>
                <w:szCs w:val="16"/>
              </w:rPr>
              <w:br/>
              <w:t>land</w:t>
            </w:r>
          </w:p>
        </w:tc>
        <w:tc>
          <w:tcPr>
            <w:tcW w:w="0" w:type="auto"/>
            <w:gridSpan w:val="2"/>
            <w:tcBorders>
              <w:top w:val="single" w:sz="4" w:space="0" w:color="auto"/>
              <w:left w:val="nil"/>
              <w:bottom w:val="single" w:sz="4" w:space="0" w:color="auto"/>
              <w:right w:val="nil"/>
            </w:tcBorders>
            <w:shd w:val="clear" w:color="000000" w:fill="FFFFFF"/>
            <w:noWrap/>
            <w:vAlign w:val="bottom"/>
            <w:hideMark/>
          </w:tcPr>
          <w:p w14:paraId="707D3E60" w14:textId="77777777" w:rsidR="00E15049" w:rsidRPr="002F1984" w:rsidRDefault="00E15049" w:rsidP="00467BD8">
            <w:pPr>
              <w:spacing w:after="0" w:line="240" w:lineRule="auto"/>
              <w:jc w:val="center"/>
              <w:rPr>
                <w:rFonts w:ascii="Arial" w:hAnsi="Arial" w:cs="Arial"/>
                <w:color w:val="auto"/>
                <w:sz w:val="16"/>
                <w:szCs w:val="16"/>
              </w:rPr>
            </w:pPr>
            <w:r w:rsidRPr="002F1984">
              <w:rPr>
                <w:rFonts w:ascii="Arial" w:hAnsi="Arial" w:cs="Arial"/>
                <w:color w:val="auto"/>
                <w:sz w:val="16"/>
                <w:szCs w:val="16"/>
              </w:rPr>
              <w:t>Developer (a)</w:t>
            </w:r>
          </w:p>
        </w:tc>
        <w:tc>
          <w:tcPr>
            <w:tcW w:w="0" w:type="auto"/>
            <w:gridSpan w:val="2"/>
            <w:tcBorders>
              <w:top w:val="single" w:sz="4" w:space="0" w:color="auto"/>
              <w:left w:val="nil"/>
              <w:bottom w:val="single" w:sz="4" w:space="0" w:color="auto"/>
              <w:right w:val="nil"/>
            </w:tcBorders>
            <w:shd w:val="clear" w:color="000000" w:fill="FFFFFF"/>
            <w:vAlign w:val="bottom"/>
            <w:hideMark/>
          </w:tcPr>
          <w:p w14:paraId="0FCED7B3" w14:textId="77777777" w:rsidR="00E15049" w:rsidRPr="002F1984" w:rsidRDefault="00E15049" w:rsidP="00467BD8">
            <w:pPr>
              <w:spacing w:after="0" w:line="240" w:lineRule="auto"/>
              <w:jc w:val="center"/>
              <w:rPr>
                <w:rFonts w:ascii="Arial" w:hAnsi="Arial" w:cs="Arial"/>
                <w:color w:val="auto"/>
                <w:sz w:val="16"/>
                <w:szCs w:val="16"/>
              </w:rPr>
            </w:pPr>
            <w:r w:rsidRPr="002F1984">
              <w:rPr>
                <w:rFonts w:ascii="Arial" w:hAnsi="Arial" w:cs="Arial"/>
                <w:color w:val="auto"/>
                <w:sz w:val="16"/>
                <w:szCs w:val="16"/>
              </w:rPr>
              <w:t>Combination ECs</w:t>
            </w:r>
          </w:p>
        </w:tc>
      </w:tr>
      <w:tr w:rsidR="00E15049" w:rsidRPr="002F1984" w14:paraId="034A9673" w14:textId="77777777" w:rsidTr="00A521D5">
        <w:trPr>
          <w:trHeight w:val="225"/>
        </w:trPr>
        <w:tc>
          <w:tcPr>
            <w:tcW w:w="0" w:type="auto"/>
            <w:tcBorders>
              <w:top w:val="nil"/>
              <w:left w:val="nil"/>
              <w:bottom w:val="single" w:sz="4" w:space="0" w:color="auto"/>
              <w:right w:val="nil"/>
            </w:tcBorders>
            <w:shd w:val="clear" w:color="000000" w:fill="FFFFFF"/>
            <w:noWrap/>
            <w:vAlign w:val="center"/>
            <w:hideMark/>
          </w:tcPr>
          <w:p w14:paraId="5D36E6E5" w14:textId="77777777" w:rsidR="00E15049" w:rsidRPr="002F1984" w:rsidRDefault="00E15049" w:rsidP="00467BD8">
            <w:pPr>
              <w:spacing w:after="0" w:line="240" w:lineRule="auto"/>
              <w:jc w:val="left"/>
              <w:rPr>
                <w:rFonts w:ascii="Arial" w:hAnsi="Arial" w:cs="Arial"/>
                <w:color w:val="auto"/>
                <w:sz w:val="16"/>
                <w:szCs w:val="16"/>
              </w:rPr>
            </w:pPr>
            <w:r w:rsidRPr="002F1984">
              <w:rPr>
                <w:rFonts w:ascii="Arial" w:hAnsi="Arial" w:cs="Arial"/>
                <w:color w:val="auto"/>
                <w:sz w:val="16"/>
                <w:szCs w:val="16"/>
              </w:rPr>
              <w:t>Location</w:t>
            </w:r>
          </w:p>
        </w:tc>
        <w:tc>
          <w:tcPr>
            <w:tcW w:w="0" w:type="auto"/>
            <w:tcBorders>
              <w:top w:val="nil"/>
              <w:left w:val="nil"/>
              <w:bottom w:val="single" w:sz="4" w:space="0" w:color="auto"/>
              <w:right w:val="nil"/>
            </w:tcBorders>
            <w:shd w:val="clear" w:color="000000" w:fill="FFFFFF"/>
            <w:noWrap/>
            <w:vAlign w:val="center"/>
            <w:hideMark/>
          </w:tcPr>
          <w:p w14:paraId="1E44D701"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51F905D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 xml:space="preserve">$b </w:t>
            </w:r>
          </w:p>
        </w:tc>
        <w:tc>
          <w:tcPr>
            <w:tcW w:w="0" w:type="auto"/>
            <w:tcBorders>
              <w:top w:val="nil"/>
              <w:left w:val="nil"/>
              <w:bottom w:val="single" w:sz="4" w:space="0" w:color="auto"/>
              <w:right w:val="nil"/>
            </w:tcBorders>
            <w:shd w:val="clear" w:color="000000" w:fill="FFFFFF"/>
            <w:noWrap/>
            <w:vAlign w:val="center"/>
            <w:hideMark/>
          </w:tcPr>
          <w:p w14:paraId="5962306B"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26E869DD"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 xml:space="preserve">$b </w:t>
            </w:r>
          </w:p>
        </w:tc>
        <w:tc>
          <w:tcPr>
            <w:tcW w:w="0" w:type="auto"/>
            <w:tcBorders>
              <w:top w:val="nil"/>
              <w:left w:val="nil"/>
              <w:bottom w:val="single" w:sz="4" w:space="0" w:color="auto"/>
              <w:right w:val="nil"/>
            </w:tcBorders>
            <w:shd w:val="clear" w:color="000000" w:fill="FFFFFF"/>
            <w:noWrap/>
            <w:vAlign w:val="center"/>
            <w:hideMark/>
          </w:tcPr>
          <w:p w14:paraId="3D3219D4"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4615ABFD"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 xml:space="preserve">$b </w:t>
            </w:r>
          </w:p>
        </w:tc>
        <w:tc>
          <w:tcPr>
            <w:tcW w:w="0" w:type="auto"/>
            <w:tcBorders>
              <w:top w:val="nil"/>
              <w:left w:val="nil"/>
              <w:bottom w:val="single" w:sz="4" w:space="0" w:color="auto"/>
              <w:right w:val="nil"/>
            </w:tcBorders>
            <w:shd w:val="clear" w:color="000000" w:fill="FFFFFF"/>
            <w:noWrap/>
            <w:vAlign w:val="center"/>
            <w:hideMark/>
          </w:tcPr>
          <w:p w14:paraId="4873D7CF"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1F2B044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 xml:space="preserve">$b </w:t>
            </w:r>
          </w:p>
        </w:tc>
        <w:tc>
          <w:tcPr>
            <w:tcW w:w="0" w:type="auto"/>
            <w:tcBorders>
              <w:top w:val="nil"/>
              <w:left w:val="nil"/>
              <w:bottom w:val="single" w:sz="4" w:space="0" w:color="auto"/>
              <w:right w:val="nil"/>
            </w:tcBorders>
            <w:shd w:val="clear" w:color="000000" w:fill="FFFFFF"/>
            <w:noWrap/>
            <w:vAlign w:val="center"/>
            <w:hideMark/>
          </w:tcPr>
          <w:p w14:paraId="5050F196"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4C50EBBF"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 xml:space="preserve">$b </w:t>
            </w:r>
          </w:p>
        </w:tc>
        <w:tc>
          <w:tcPr>
            <w:tcW w:w="0" w:type="auto"/>
            <w:tcBorders>
              <w:top w:val="nil"/>
              <w:left w:val="nil"/>
              <w:bottom w:val="single" w:sz="4" w:space="0" w:color="auto"/>
              <w:right w:val="nil"/>
            </w:tcBorders>
            <w:shd w:val="clear" w:color="000000" w:fill="FFFFFF"/>
            <w:noWrap/>
            <w:vAlign w:val="center"/>
            <w:hideMark/>
          </w:tcPr>
          <w:p w14:paraId="5770D993"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No.</w:t>
            </w:r>
          </w:p>
        </w:tc>
        <w:tc>
          <w:tcPr>
            <w:tcW w:w="0" w:type="auto"/>
            <w:tcBorders>
              <w:top w:val="nil"/>
              <w:left w:val="nil"/>
              <w:bottom w:val="single" w:sz="4" w:space="0" w:color="auto"/>
              <w:right w:val="nil"/>
            </w:tcBorders>
            <w:shd w:val="clear" w:color="000000" w:fill="FFFFFF"/>
            <w:noWrap/>
            <w:vAlign w:val="center"/>
            <w:hideMark/>
          </w:tcPr>
          <w:p w14:paraId="1F57B86B"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 xml:space="preserve">$b </w:t>
            </w:r>
          </w:p>
        </w:tc>
      </w:tr>
      <w:tr w:rsidR="00E15049" w:rsidRPr="002F1984" w14:paraId="16481AD6" w14:textId="77777777" w:rsidTr="00A521D5">
        <w:trPr>
          <w:trHeight w:val="225"/>
        </w:trPr>
        <w:tc>
          <w:tcPr>
            <w:tcW w:w="0" w:type="auto"/>
            <w:tcBorders>
              <w:top w:val="nil"/>
              <w:left w:val="nil"/>
              <w:bottom w:val="nil"/>
              <w:right w:val="nil"/>
            </w:tcBorders>
            <w:shd w:val="clear" w:color="000000" w:fill="FFFFFF"/>
            <w:noWrap/>
            <w:vAlign w:val="center"/>
            <w:hideMark/>
          </w:tcPr>
          <w:p w14:paraId="5F7A6862" w14:textId="77777777" w:rsidR="00E15049" w:rsidRPr="002F1984" w:rsidRDefault="00E15049" w:rsidP="00467BD8">
            <w:pPr>
              <w:spacing w:after="0" w:line="240" w:lineRule="auto"/>
              <w:jc w:val="left"/>
              <w:rPr>
                <w:rFonts w:ascii="Arial" w:hAnsi="Arial" w:cs="Arial"/>
                <w:color w:val="auto"/>
                <w:sz w:val="16"/>
                <w:szCs w:val="16"/>
              </w:rPr>
            </w:pPr>
            <w:r w:rsidRPr="002F1984">
              <w:rPr>
                <w:rFonts w:ascii="Arial" w:hAnsi="Arial" w:cs="Arial"/>
                <w:color w:val="auto"/>
                <w:sz w:val="16"/>
                <w:szCs w:val="16"/>
              </w:rPr>
              <w:t>ACT</w:t>
            </w:r>
          </w:p>
        </w:tc>
        <w:tc>
          <w:tcPr>
            <w:tcW w:w="0" w:type="auto"/>
            <w:tcBorders>
              <w:top w:val="nil"/>
              <w:left w:val="nil"/>
              <w:bottom w:val="nil"/>
              <w:right w:val="nil"/>
            </w:tcBorders>
            <w:shd w:val="clear" w:color="000000" w:fill="FFFFFF"/>
            <w:noWrap/>
            <w:vAlign w:val="center"/>
            <w:hideMark/>
          </w:tcPr>
          <w:p w14:paraId="760350B1"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276</w:t>
            </w:r>
          </w:p>
        </w:tc>
        <w:tc>
          <w:tcPr>
            <w:tcW w:w="0" w:type="auto"/>
            <w:tcBorders>
              <w:top w:val="nil"/>
              <w:left w:val="nil"/>
              <w:bottom w:val="nil"/>
              <w:right w:val="nil"/>
            </w:tcBorders>
            <w:shd w:val="clear" w:color="000000" w:fill="FFFFFF"/>
            <w:noWrap/>
            <w:vAlign w:val="center"/>
            <w:hideMark/>
          </w:tcPr>
          <w:p w14:paraId="783B8604"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0.2</w:t>
            </w:r>
          </w:p>
        </w:tc>
        <w:tc>
          <w:tcPr>
            <w:tcW w:w="0" w:type="auto"/>
            <w:tcBorders>
              <w:top w:val="nil"/>
              <w:left w:val="nil"/>
              <w:bottom w:val="nil"/>
              <w:right w:val="nil"/>
            </w:tcBorders>
            <w:shd w:val="clear" w:color="000000" w:fill="FFFFFF"/>
            <w:noWrap/>
            <w:vAlign w:val="center"/>
            <w:hideMark/>
          </w:tcPr>
          <w:p w14:paraId="1E914110"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34</w:t>
            </w:r>
          </w:p>
        </w:tc>
        <w:tc>
          <w:tcPr>
            <w:tcW w:w="0" w:type="auto"/>
            <w:tcBorders>
              <w:top w:val="nil"/>
              <w:left w:val="nil"/>
              <w:bottom w:val="nil"/>
              <w:right w:val="nil"/>
            </w:tcBorders>
            <w:shd w:val="clear" w:color="000000" w:fill="FFFFFF"/>
            <w:noWrap/>
            <w:vAlign w:val="center"/>
            <w:hideMark/>
          </w:tcPr>
          <w:p w14:paraId="4579D52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6DF35145"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2</w:t>
            </w:r>
          </w:p>
        </w:tc>
        <w:tc>
          <w:tcPr>
            <w:tcW w:w="0" w:type="auto"/>
            <w:tcBorders>
              <w:top w:val="nil"/>
              <w:left w:val="nil"/>
              <w:bottom w:val="nil"/>
              <w:right w:val="nil"/>
            </w:tcBorders>
            <w:shd w:val="clear" w:color="000000" w:fill="FFFFFF"/>
            <w:noWrap/>
            <w:vAlign w:val="center"/>
            <w:hideMark/>
          </w:tcPr>
          <w:p w14:paraId="2A81B9E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4DC6AEA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w:t>
            </w:r>
          </w:p>
        </w:tc>
        <w:tc>
          <w:tcPr>
            <w:tcW w:w="0" w:type="auto"/>
            <w:tcBorders>
              <w:top w:val="nil"/>
              <w:left w:val="nil"/>
              <w:bottom w:val="nil"/>
              <w:right w:val="nil"/>
            </w:tcBorders>
            <w:shd w:val="clear" w:color="000000" w:fill="FFFFFF"/>
            <w:noWrap/>
            <w:vAlign w:val="center"/>
            <w:hideMark/>
          </w:tcPr>
          <w:p w14:paraId="5A276302"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340E26DC"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w:t>
            </w:r>
          </w:p>
        </w:tc>
        <w:tc>
          <w:tcPr>
            <w:tcW w:w="0" w:type="auto"/>
            <w:tcBorders>
              <w:top w:val="nil"/>
              <w:left w:val="nil"/>
              <w:bottom w:val="nil"/>
              <w:right w:val="nil"/>
            </w:tcBorders>
            <w:shd w:val="clear" w:color="000000" w:fill="FFFFFF"/>
            <w:noWrap/>
            <w:vAlign w:val="center"/>
            <w:hideMark/>
          </w:tcPr>
          <w:p w14:paraId="1DF58550"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6F081B2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22</w:t>
            </w:r>
          </w:p>
        </w:tc>
        <w:tc>
          <w:tcPr>
            <w:tcW w:w="0" w:type="auto"/>
            <w:tcBorders>
              <w:top w:val="nil"/>
              <w:left w:val="nil"/>
              <w:bottom w:val="nil"/>
              <w:right w:val="nil"/>
            </w:tcBorders>
            <w:shd w:val="clear" w:color="000000" w:fill="FFFFFF"/>
            <w:noWrap/>
            <w:vAlign w:val="center"/>
            <w:hideMark/>
          </w:tcPr>
          <w:p w14:paraId="2506F094"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r>
      <w:tr w:rsidR="00E15049" w:rsidRPr="002F1984" w14:paraId="465AA69D" w14:textId="77777777" w:rsidTr="00A521D5">
        <w:trPr>
          <w:trHeight w:val="225"/>
        </w:trPr>
        <w:tc>
          <w:tcPr>
            <w:tcW w:w="0" w:type="auto"/>
            <w:tcBorders>
              <w:top w:val="nil"/>
              <w:left w:val="nil"/>
              <w:bottom w:val="nil"/>
              <w:right w:val="nil"/>
            </w:tcBorders>
            <w:shd w:val="clear" w:color="000000" w:fill="FFFFFF"/>
            <w:noWrap/>
            <w:vAlign w:val="center"/>
            <w:hideMark/>
          </w:tcPr>
          <w:p w14:paraId="673A38A4" w14:textId="77777777" w:rsidR="00E15049" w:rsidRPr="002F1984" w:rsidRDefault="00E15049" w:rsidP="00467BD8">
            <w:pPr>
              <w:spacing w:after="0" w:line="240" w:lineRule="auto"/>
              <w:jc w:val="left"/>
              <w:rPr>
                <w:rFonts w:ascii="Arial" w:hAnsi="Arial" w:cs="Arial"/>
                <w:color w:val="auto"/>
                <w:sz w:val="16"/>
                <w:szCs w:val="16"/>
              </w:rPr>
            </w:pPr>
            <w:r w:rsidRPr="002F1984">
              <w:rPr>
                <w:rFonts w:ascii="Arial" w:hAnsi="Arial" w:cs="Arial"/>
                <w:color w:val="auto"/>
                <w:sz w:val="16"/>
                <w:szCs w:val="16"/>
              </w:rPr>
              <w:t>NSW</w:t>
            </w:r>
          </w:p>
        </w:tc>
        <w:tc>
          <w:tcPr>
            <w:tcW w:w="0" w:type="auto"/>
            <w:tcBorders>
              <w:top w:val="nil"/>
              <w:left w:val="nil"/>
              <w:bottom w:val="nil"/>
              <w:right w:val="nil"/>
            </w:tcBorders>
            <w:shd w:val="clear" w:color="000000" w:fill="FFFFFF"/>
            <w:noWrap/>
            <w:vAlign w:val="center"/>
            <w:hideMark/>
          </w:tcPr>
          <w:p w14:paraId="3F9BCE8F"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936</w:t>
            </w:r>
          </w:p>
        </w:tc>
        <w:tc>
          <w:tcPr>
            <w:tcW w:w="0" w:type="auto"/>
            <w:tcBorders>
              <w:top w:val="nil"/>
              <w:left w:val="nil"/>
              <w:bottom w:val="nil"/>
              <w:right w:val="nil"/>
            </w:tcBorders>
            <w:shd w:val="clear" w:color="000000" w:fill="FFFFFF"/>
            <w:noWrap/>
            <w:vAlign w:val="center"/>
            <w:hideMark/>
          </w:tcPr>
          <w:p w14:paraId="57501BC4"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1.1</w:t>
            </w:r>
          </w:p>
        </w:tc>
        <w:tc>
          <w:tcPr>
            <w:tcW w:w="0" w:type="auto"/>
            <w:tcBorders>
              <w:top w:val="nil"/>
              <w:left w:val="nil"/>
              <w:bottom w:val="nil"/>
              <w:right w:val="nil"/>
            </w:tcBorders>
            <w:shd w:val="clear" w:color="000000" w:fill="FFFFFF"/>
            <w:noWrap/>
            <w:vAlign w:val="center"/>
            <w:hideMark/>
          </w:tcPr>
          <w:p w14:paraId="3746038C"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123</w:t>
            </w:r>
          </w:p>
        </w:tc>
        <w:tc>
          <w:tcPr>
            <w:tcW w:w="0" w:type="auto"/>
            <w:tcBorders>
              <w:top w:val="nil"/>
              <w:left w:val="nil"/>
              <w:bottom w:val="nil"/>
              <w:right w:val="nil"/>
            </w:tcBorders>
            <w:shd w:val="clear" w:color="000000" w:fill="FFFFFF"/>
            <w:noWrap/>
            <w:vAlign w:val="center"/>
            <w:hideMark/>
          </w:tcPr>
          <w:p w14:paraId="1402E76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0.3</w:t>
            </w:r>
          </w:p>
        </w:tc>
        <w:tc>
          <w:tcPr>
            <w:tcW w:w="0" w:type="auto"/>
            <w:tcBorders>
              <w:top w:val="nil"/>
              <w:left w:val="nil"/>
              <w:bottom w:val="nil"/>
              <w:right w:val="nil"/>
            </w:tcBorders>
            <w:shd w:val="clear" w:color="000000" w:fill="FFFFFF"/>
            <w:noWrap/>
            <w:vAlign w:val="center"/>
            <w:hideMark/>
          </w:tcPr>
          <w:p w14:paraId="4E752B12"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39</w:t>
            </w:r>
          </w:p>
        </w:tc>
        <w:tc>
          <w:tcPr>
            <w:tcW w:w="0" w:type="auto"/>
            <w:tcBorders>
              <w:top w:val="nil"/>
              <w:left w:val="nil"/>
              <w:bottom w:val="nil"/>
              <w:right w:val="nil"/>
            </w:tcBorders>
            <w:shd w:val="clear" w:color="000000" w:fill="FFFFFF"/>
            <w:noWrap/>
            <w:vAlign w:val="center"/>
            <w:hideMark/>
          </w:tcPr>
          <w:p w14:paraId="00022FA7"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6EEAD28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188</w:t>
            </w:r>
          </w:p>
        </w:tc>
        <w:tc>
          <w:tcPr>
            <w:tcW w:w="0" w:type="auto"/>
            <w:tcBorders>
              <w:top w:val="nil"/>
              <w:left w:val="nil"/>
              <w:bottom w:val="nil"/>
              <w:right w:val="nil"/>
            </w:tcBorders>
            <w:shd w:val="clear" w:color="000000" w:fill="FFFFFF"/>
            <w:noWrap/>
            <w:vAlign w:val="center"/>
            <w:hideMark/>
          </w:tcPr>
          <w:p w14:paraId="419BCCC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110CC5F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4</w:t>
            </w:r>
          </w:p>
        </w:tc>
        <w:tc>
          <w:tcPr>
            <w:tcW w:w="0" w:type="auto"/>
            <w:tcBorders>
              <w:top w:val="nil"/>
              <w:left w:val="nil"/>
              <w:bottom w:val="nil"/>
              <w:right w:val="nil"/>
            </w:tcBorders>
            <w:shd w:val="clear" w:color="000000" w:fill="FFFFFF"/>
            <w:noWrap/>
            <w:vAlign w:val="center"/>
            <w:hideMark/>
          </w:tcPr>
          <w:p w14:paraId="32145BD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52152F23"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39</w:t>
            </w:r>
          </w:p>
        </w:tc>
        <w:tc>
          <w:tcPr>
            <w:tcW w:w="0" w:type="auto"/>
            <w:tcBorders>
              <w:top w:val="nil"/>
              <w:left w:val="nil"/>
              <w:bottom w:val="nil"/>
              <w:right w:val="nil"/>
            </w:tcBorders>
            <w:shd w:val="clear" w:color="000000" w:fill="FFFFFF"/>
            <w:noWrap/>
            <w:vAlign w:val="center"/>
            <w:hideMark/>
          </w:tcPr>
          <w:p w14:paraId="11BE233D"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r>
      <w:tr w:rsidR="00E15049" w:rsidRPr="002F1984" w14:paraId="1700486B" w14:textId="77777777" w:rsidTr="00A521D5">
        <w:trPr>
          <w:trHeight w:val="225"/>
        </w:trPr>
        <w:tc>
          <w:tcPr>
            <w:tcW w:w="0" w:type="auto"/>
            <w:tcBorders>
              <w:top w:val="nil"/>
              <w:left w:val="nil"/>
              <w:bottom w:val="nil"/>
              <w:right w:val="nil"/>
            </w:tcBorders>
            <w:shd w:val="clear" w:color="000000" w:fill="FFFFFF"/>
            <w:noWrap/>
            <w:vAlign w:val="center"/>
            <w:hideMark/>
          </w:tcPr>
          <w:p w14:paraId="1EB6AB81" w14:textId="77777777" w:rsidR="00E15049" w:rsidRPr="002F1984" w:rsidRDefault="00E15049" w:rsidP="00467BD8">
            <w:pPr>
              <w:spacing w:after="0" w:line="240" w:lineRule="auto"/>
              <w:jc w:val="left"/>
              <w:rPr>
                <w:rFonts w:ascii="Arial" w:hAnsi="Arial" w:cs="Arial"/>
                <w:color w:val="auto"/>
                <w:sz w:val="16"/>
                <w:szCs w:val="16"/>
              </w:rPr>
            </w:pPr>
            <w:r w:rsidRPr="002F1984">
              <w:rPr>
                <w:rFonts w:ascii="Arial" w:hAnsi="Arial" w:cs="Arial"/>
                <w:color w:val="auto"/>
                <w:sz w:val="16"/>
                <w:szCs w:val="16"/>
              </w:rPr>
              <w:t>NT</w:t>
            </w:r>
          </w:p>
        </w:tc>
        <w:tc>
          <w:tcPr>
            <w:tcW w:w="0" w:type="auto"/>
            <w:tcBorders>
              <w:top w:val="nil"/>
              <w:left w:val="nil"/>
              <w:bottom w:val="nil"/>
              <w:right w:val="nil"/>
            </w:tcBorders>
            <w:shd w:val="clear" w:color="000000" w:fill="FFFFFF"/>
            <w:noWrap/>
            <w:vAlign w:val="center"/>
            <w:hideMark/>
          </w:tcPr>
          <w:p w14:paraId="60DE3EDD"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2</w:t>
            </w:r>
          </w:p>
        </w:tc>
        <w:tc>
          <w:tcPr>
            <w:tcW w:w="0" w:type="auto"/>
            <w:tcBorders>
              <w:top w:val="nil"/>
              <w:left w:val="nil"/>
              <w:bottom w:val="nil"/>
              <w:right w:val="nil"/>
            </w:tcBorders>
            <w:shd w:val="clear" w:color="000000" w:fill="FFFFFF"/>
            <w:noWrap/>
            <w:vAlign w:val="center"/>
            <w:hideMark/>
          </w:tcPr>
          <w:p w14:paraId="491E9DAB"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36938CDA"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10</w:t>
            </w:r>
          </w:p>
        </w:tc>
        <w:tc>
          <w:tcPr>
            <w:tcW w:w="0" w:type="auto"/>
            <w:tcBorders>
              <w:top w:val="nil"/>
              <w:left w:val="nil"/>
              <w:bottom w:val="nil"/>
              <w:right w:val="nil"/>
            </w:tcBorders>
            <w:shd w:val="clear" w:color="000000" w:fill="FFFFFF"/>
            <w:noWrap/>
            <w:vAlign w:val="center"/>
            <w:hideMark/>
          </w:tcPr>
          <w:p w14:paraId="558F57F8"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72E9796"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517A552B" w14:textId="28513FB7" w:rsidR="00E15049" w:rsidRPr="002F1984" w:rsidRDefault="00BD4D19" w:rsidP="00467BD8">
            <w:pPr>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0" w:type="auto"/>
            <w:tcBorders>
              <w:top w:val="nil"/>
              <w:left w:val="nil"/>
              <w:bottom w:val="nil"/>
              <w:right w:val="nil"/>
            </w:tcBorders>
            <w:shd w:val="clear" w:color="000000" w:fill="FFFFFF"/>
            <w:noWrap/>
            <w:vAlign w:val="center"/>
            <w:hideMark/>
          </w:tcPr>
          <w:p w14:paraId="5D22403D"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w:t>
            </w:r>
          </w:p>
        </w:tc>
        <w:tc>
          <w:tcPr>
            <w:tcW w:w="0" w:type="auto"/>
            <w:tcBorders>
              <w:top w:val="nil"/>
              <w:left w:val="nil"/>
              <w:bottom w:val="nil"/>
              <w:right w:val="nil"/>
            </w:tcBorders>
            <w:shd w:val="clear" w:color="000000" w:fill="FFFFFF"/>
            <w:noWrap/>
            <w:vAlign w:val="center"/>
            <w:hideMark/>
          </w:tcPr>
          <w:p w14:paraId="06075A67"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6323C6A8"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6E88FF6F" w14:textId="15AE7482" w:rsidR="00E15049" w:rsidRPr="002F1984" w:rsidRDefault="00BD4D19" w:rsidP="00467BD8">
            <w:pPr>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0" w:type="auto"/>
            <w:tcBorders>
              <w:top w:val="nil"/>
              <w:left w:val="nil"/>
              <w:bottom w:val="nil"/>
              <w:right w:val="nil"/>
            </w:tcBorders>
            <w:shd w:val="clear" w:color="000000" w:fill="FFFFFF"/>
            <w:noWrap/>
            <w:vAlign w:val="center"/>
            <w:hideMark/>
          </w:tcPr>
          <w:p w14:paraId="18BC2E74"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064EC5A0" w14:textId="1DF58AC6" w:rsidR="00E15049" w:rsidRPr="002F1984" w:rsidRDefault="00BD4D19" w:rsidP="00467BD8">
            <w:pPr>
              <w:spacing w:after="0" w:line="240" w:lineRule="auto"/>
              <w:jc w:val="right"/>
              <w:rPr>
                <w:rFonts w:ascii="Arial" w:hAnsi="Arial" w:cs="Arial"/>
                <w:color w:val="auto"/>
                <w:sz w:val="16"/>
                <w:szCs w:val="16"/>
              </w:rPr>
            </w:pPr>
            <w:r>
              <w:rPr>
                <w:rFonts w:ascii="Arial" w:hAnsi="Arial" w:cs="Arial"/>
                <w:color w:val="auto"/>
                <w:sz w:val="16"/>
                <w:szCs w:val="16"/>
              </w:rPr>
              <w:noBreakHyphen/>
            </w:r>
          </w:p>
        </w:tc>
      </w:tr>
      <w:tr w:rsidR="00E15049" w:rsidRPr="002F1984" w14:paraId="2688305C" w14:textId="77777777" w:rsidTr="00A521D5">
        <w:trPr>
          <w:trHeight w:val="225"/>
        </w:trPr>
        <w:tc>
          <w:tcPr>
            <w:tcW w:w="0" w:type="auto"/>
            <w:tcBorders>
              <w:top w:val="nil"/>
              <w:left w:val="nil"/>
              <w:bottom w:val="nil"/>
              <w:right w:val="nil"/>
            </w:tcBorders>
            <w:shd w:val="clear" w:color="000000" w:fill="FFFFFF"/>
            <w:noWrap/>
            <w:vAlign w:val="center"/>
            <w:hideMark/>
          </w:tcPr>
          <w:p w14:paraId="00E6FAAE" w14:textId="77777777" w:rsidR="00E15049" w:rsidRPr="002F1984" w:rsidRDefault="00E15049" w:rsidP="00467BD8">
            <w:pPr>
              <w:spacing w:after="0" w:line="240" w:lineRule="auto"/>
              <w:jc w:val="left"/>
              <w:rPr>
                <w:rFonts w:ascii="Arial" w:hAnsi="Arial" w:cs="Arial"/>
                <w:color w:val="auto"/>
                <w:sz w:val="16"/>
                <w:szCs w:val="16"/>
              </w:rPr>
            </w:pPr>
            <w:r w:rsidRPr="002F1984">
              <w:rPr>
                <w:rFonts w:ascii="Arial" w:hAnsi="Arial" w:cs="Arial"/>
                <w:color w:val="auto"/>
                <w:sz w:val="16"/>
                <w:szCs w:val="16"/>
              </w:rPr>
              <w:t>Qld</w:t>
            </w:r>
          </w:p>
        </w:tc>
        <w:tc>
          <w:tcPr>
            <w:tcW w:w="0" w:type="auto"/>
            <w:tcBorders>
              <w:top w:val="nil"/>
              <w:left w:val="nil"/>
              <w:bottom w:val="nil"/>
              <w:right w:val="nil"/>
            </w:tcBorders>
            <w:shd w:val="clear" w:color="000000" w:fill="FFFFFF"/>
            <w:noWrap/>
            <w:vAlign w:val="center"/>
            <w:hideMark/>
          </w:tcPr>
          <w:p w14:paraId="382B9577"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744</w:t>
            </w:r>
          </w:p>
        </w:tc>
        <w:tc>
          <w:tcPr>
            <w:tcW w:w="0" w:type="auto"/>
            <w:tcBorders>
              <w:top w:val="nil"/>
              <w:left w:val="nil"/>
              <w:bottom w:val="nil"/>
              <w:right w:val="nil"/>
            </w:tcBorders>
            <w:shd w:val="clear" w:color="000000" w:fill="FFFFFF"/>
            <w:noWrap/>
            <w:vAlign w:val="center"/>
            <w:hideMark/>
          </w:tcPr>
          <w:p w14:paraId="7B11CF2B"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0.5</w:t>
            </w:r>
          </w:p>
        </w:tc>
        <w:tc>
          <w:tcPr>
            <w:tcW w:w="0" w:type="auto"/>
            <w:tcBorders>
              <w:top w:val="nil"/>
              <w:left w:val="nil"/>
              <w:bottom w:val="nil"/>
              <w:right w:val="nil"/>
            </w:tcBorders>
            <w:shd w:val="clear" w:color="000000" w:fill="FFFFFF"/>
            <w:noWrap/>
            <w:vAlign w:val="center"/>
            <w:hideMark/>
          </w:tcPr>
          <w:p w14:paraId="7545A13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174</w:t>
            </w:r>
          </w:p>
        </w:tc>
        <w:tc>
          <w:tcPr>
            <w:tcW w:w="0" w:type="auto"/>
            <w:tcBorders>
              <w:top w:val="nil"/>
              <w:left w:val="nil"/>
              <w:bottom w:val="nil"/>
              <w:right w:val="nil"/>
            </w:tcBorders>
            <w:shd w:val="clear" w:color="000000" w:fill="FFFFFF"/>
            <w:noWrap/>
            <w:vAlign w:val="center"/>
            <w:hideMark/>
          </w:tcPr>
          <w:p w14:paraId="0B470A9C"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0.2</w:t>
            </w:r>
          </w:p>
        </w:tc>
        <w:tc>
          <w:tcPr>
            <w:tcW w:w="0" w:type="auto"/>
            <w:tcBorders>
              <w:top w:val="nil"/>
              <w:left w:val="nil"/>
              <w:bottom w:val="nil"/>
              <w:right w:val="nil"/>
            </w:tcBorders>
            <w:shd w:val="clear" w:color="000000" w:fill="FFFFFF"/>
            <w:noWrap/>
            <w:vAlign w:val="center"/>
            <w:hideMark/>
          </w:tcPr>
          <w:p w14:paraId="3F6EC2BC"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47</w:t>
            </w:r>
          </w:p>
        </w:tc>
        <w:tc>
          <w:tcPr>
            <w:tcW w:w="0" w:type="auto"/>
            <w:tcBorders>
              <w:top w:val="nil"/>
              <w:left w:val="nil"/>
              <w:bottom w:val="nil"/>
              <w:right w:val="nil"/>
            </w:tcBorders>
            <w:shd w:val="clear" w:color="000000" w:fill="FFFFFF"/>
            <w:noWrap/>
            <w:vAlign w:val="center"/>
            <w:hideMark/>
          </w:tcPr>
          <w:p w14:paraId="17318BC1"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62CB1C57"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319</w:t>
            </w:r>
          </w:p>
        </w:tc>
        <w:tc>
          <w:tcPr>
            <w:tcW w:w="0" w:type="auto"/>
            <w:tcBorders>
              <w:top w:val="nil"/>
              <w:left w:val="nil"/>
              <w:bottom w:val="nil"/>
              <w:right w:val="nil"/>
            </w:tcBorders>
            <w:shd w:val="clear" w:color="000000" w:fill="FFFFFF"/>
            <w:noWrap/>
            <w:vAlign w:val="center"/>
            <w:hideMark/>
          </w:tcPr>
          <w:p w14:paraId="250B1C6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364DA3B7"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9</w:t>
            </w:r>
          </w:p>
        </w:tc>
        <w:tc>
          <w:tcPr>
            <w:tcW w:w="0" w:type="auto"/>
            <w:tcBorders>
              <w:top w:val="nil"/>
              <w:left w:val="nil"/>
              <w:bottom w:val="nil"/>
              <w:right w:val="nil"/>
            </w:tcBorders>
            <w:shd w:val="clear" w:color="000000" w:fill="FFFFFF"/>
            <w:noWrap/>
            <w:vAlign w:val="center"/>
            <w:hideMark/>
          </w:tcPr>
          <w:p w14:paraId="5B8E6677"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0.5</w:t>
            </w:r>
          </w:p>
        </w:tc>
        <w:tc>
          <w:tcPr>
            <w:tcW w:w="0" w:type="auto"/>
            <w:tcBorders>
              <w:top w:val="nil"/>
              <w:left w:val="nil"/>
              <w:bottom w:val="nil"/>
              <w:right w:val="nil"/>
            </w:tcBorders>
            <w:shd w:val="clear" w:color="000000" w:fill="FFFFFF"/>
            <w:noWrap/>
            <w:vAlign w:val="center"/>
            <w:hideMark/>
          </w:tcPr>
          <w:p w14:paraId="00FDCBE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18</w:t>
            </w:r>
          </w:p>
        </w:tc>
        <w:tc>
          <w:tcPr>
            <w:tcW w:w="0" w:type="auto"/>
            <w:tcBorders>
              <w:top w:val="nil"/>
              <w:left w:val="nil"/>
              <w:bottom w:val="nil"/>
              <w:right w:val="nil"/>
            </w:tcBorders>
            <w:shd w:val="clear" w:color="000000" w:fill="FFFFFF"/>
            <w:noWrap/>
            <w:vAlign w:val="center"/>
            <w:hideMark/>
          </w:tcPr>
          <w:p w14:paraId="2384539B"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r>
      <w:tr w:rsidR="00E15049" w:rsidRPr="002F1984" w14:paraId="78669FC7" w14:textId="77777777" w:rsidTr="00A521D5">
        <w:trPr>
          <w:trHeight w:val="225"/>
        </w:trPr>
        <w:tc>
          <w:tcPr>
            <w:tcW w:w="0" w:type="auto"/>
            <w:tcBorders>
              <w:top w:val="nil"/>
              <w:left w:val="nil"/>
              <w:bottom w:val="nil"/>
              <w:right w:val="nil"/>
            </w:tcBorders>
            <w:shd w:val="clear" w:color="000000" w:fill="FFFFFF"/>
            <w:noWrap/>
            <w:vAlign w:val="center"/>
            <w:hideMark/>
          </w:tcPr>
          <w:p w14:paraId="51B4109A" w14:textId="77777777" w:rsidR="00E15049" w:rsidRPr="002F1984" w:rsidRDefault="00E15049" w:rsidP="00467BD8">
            <w:pPr>
              <w:spacing w:after="0" w:line="240" w:lineRule="auto"/>
              <w:jc w:val="left"/>
              <w:rPr>
                <w:rFonts w:ascii="Arial" w:hAnsi="Arial" w:cs="Arial"/>
                <w:color w:val="auto"/>
                <w:sz w:val="16"/>
                <w:szCs w:val="16"/>
              </w:rPr>
            </w:pPr>
            <w:r w:rsidRPr="002F1984">
              <w:rPr>
                <w:rFonts w:ascii="Arial" w:hAnsi="Arial" w:cs="Arial"/>
                <w:color w:val="auto"/>
                <w:sz w:val="16"/>
                <w:szCs w:val="16"/>
              </w:rPr>
              <w:t>SA</w:t>
            </w:r>
          </w:p>
        </w:tc>
        <w:tc>
          <w:tcPr>
            <w:tcW w:w="0" w:type="auto"/>
            <w:tcBorders>
              <w:top w:val="nil"/>
              <w:left w:val="nil"/>
              <w:bottom w:val="nil"/>
              <w:right w:val="nil"/>
            </w:tcBorders>
            <w:shd w:val="clear" w:color="000000" w:fill="FFFFFF"/>
            <w:noWrap/>
            <w:vAlign w:val="center"/>
            <w:hideMark/>
          </w:tcPr>
          <w:p w14:paraId="03EDB79B"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188</w:t>
            </w:r>
          </w:p>
        </w:tc>
        <w:tc>
          <w:tcPr>
            <w:tcW w:w="0" w:type="auto"/>
            <w:tcBorders>
              <w:top w:val="nil"/>
              <w:left w:val="nil"/>
              <w:bottom w:val="nil"/>
              <w:right w:val="nil"/>
            </w:tcBorders>
            <w:shd w:val="clear" w:color="000000" w:fill="FFFFFF"/>
            <w:noWrap/>
            <w:vAlign w:val="center"/>
            <w:hideMark/>
          </w:tcPr>
          <w:p w14:paraId="51A97466"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6CE344A5"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108</w:t>
            </w:r>
          </w:p>
        </w:tc>
        <w:tc>
          <w:tcPr>
            <w:tcW w:w="0" w:type="auto"/>
            <w:tcBorders>
              <w:top w:val="nil"/>
              <w:left w:val="nil"/>
              <w:bottom w:val="nil"/>
              <w:right w:val="nil"/>
            </w:tcBorders>
            <w:shd w:val="clear" w:color="000000" w:fill="FFFFFF"/>
            <w:noWrap/>
            <w:vAlign w:val="center"/>
            <w:hideMark/>
          </w:tcPr>
          <w:p w14:paraId="65CD54B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1138DEF5"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10</w:t>
            </w:r>
          </w:p>
        </w:tc>
        <w:tc>
          <w:tcPr>
            <w:tcW w:w="0" w:type="auto"/>
            <w:tcBorders>
              <w:top w:val="nil"/>
              <w:left w:val="nil"/>
              <w:bottom w:val="nil"/>
              <w:right w:val="nil"/>
            </w:tcBorders>
            <w:shd w:val="clear" w:color="000000" w:fill="FFFFFF"/>
            <w:noWrap/>
            <w:vAlign w:val="center"/>
            <w:hideMark/>
          </w:tcPr>
          <w:p w14:paraId="4DCE1FFD"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7AE1595"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66</w:t>
            </w:r>
          </w:p>
        </w:tc>
        <w:tc>
          <w:tcPr>
            <w:tcW w:w="0" w:type="auto"/>
            <w:tcBorders>
              <w:top w:val="nil"/>
              <w:left w:val="nil"/>
              <w:bottom w:val="nil"/>
              <w:right w:val="nil"/>
            </w:tcBorders>
            <w:shd w:val="clear" w:color="000000" w:fill="FFFFFF"/>
            <w:noWrap/>
            <w:vAlign w:val="center"/>
            <w:hideMark/>
          </w:tcPr>
          <w:p w14:paraId="6C7EEBD0"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5C297FF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3F1F6593" w14:textId="0B39EB6D" w:rsidR="00E15049" w:rsidRPr="002F1984" w:rsidRDefault="00BD4D19" w:rsidP="00467BD8">
            <w:pPr>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0" w:type="auto"/>
            <w:tcBorders>
              <w:top w:val="nil"/>
              <w:left w:val="nil"/>
              <w:bottom w:val="nil"/>
              <w:right w:val="nil"/>
            </w:tcBorders>
            <w:shd w:val="clear" w:color="000000" w:fill="FFFFFF"/>
            <w:noWrap/>
            <w:vAlign w:val="center"/>
            <w:hideMark/>
          </w:tcPr>
          <w:p w14:paraId="32888461"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15</w:t>
            </w:r>
          </w:p>
        </w:tc>
        <w:tc>
          <w:tcPr>
            <w:tcW w:w="0" w:type="auto"/>
            <w:tcBorders>
              <w:top w:val="nil"/>
              <w:left w:val="nil"/>
              <w:bottom w:val="nil"/>
              <w:right w:val="nil"/>
            </w:tcBorders>
            <w:shd w:val="clear" w:color="000000" w:fill="FFFFFF"/>
            <w:noWrap/>
            <w:vAlign w:val="center"/>
            <w:hideMark/>
          </w:tcPr>
          <w:p w14:paraId="3A4B5E1F"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r>
      <w:tr w:rsidR="00E15049" w:rsidRPr="002F1984" w14:paraId="1F029E9E" w14:textId="77777777" w:rsidTr="00A521D5">
        <w:trPr>
          <w:trHeight w:val="225"/>
        </w:trPr>
        <w:tc>
          <w:tcPr>
            <w:tcW w:w="0" w:type="auto"/>
            <w:tcBorders>
              <w:top w:val="nil"/>
              <w:left w:val="nil"/>
              <w:bottom w:val="nil"/>
              <w:right w:val="nil"/>
            </w:tcBorders>
            <w:shd w:val="clear" w:color="000000" w:fill="FFFFFF"/>
            <w:noWrap/>
            <w:vAlign w:val="center"/>
            <w:hideMark/>
          </w:tcPr>
          <w:p w14:paraId="140C914D" w14:textId="77777777" w:rsidR="00E15049" w:rsidRPr="002F1984" w:rsidRDefault="00E15049" w:rsidP="00467BD8">
            <w:pPr>
              <w:spacing w:after="0" w:line="240" w:lineRule="auto"/>
              <w:jc w:val="left"/>
              <w:rPr>
                <w:rFonts w:ascii="Arial" w:hAnsi="Arial" w:cs="Arial"/>
                <w:color w:val="auto"/>
                <w:sz w:val="16"/>
                <w:szCs w:val="16"/>
              </w:rPr>
            </w:pPr>
            <w:r w:rsidRPr="002F1984">
              <w:rPr>
                <w:rFonts w:ascii="Arial" w:hAnsi="Arial" w:cs="Arial"/>
                <w:color w:val="auto"/>
                <w:sz w:val="16"/>
                <w:szCs w:val="16"/>
              </w:rPr>
              <w:t>Tas.</w:t>
            </w:r>
          </w:p>
        </w:tc>
        <w:tc>
          <w:tcPr>
            <w:tcW w:w="0" w:type="auto"/>
            <w:tcBorders>
              <w:top w:val="nil"/>
              <w:left w:val="nil"/>
              <w:bottom w:val="nil"/>
              <w:right w:val="nil"/>
            </w:tcBorders>
            <w:shd w:val="clear" w:color="000000" w:fill="FFFFFF"/>
            <w:noWrap/>
            <w:vAlign w:val="center"/>
            <w:hideMark/>
          </w:tcPr>
          <w:p w14:paraId="412F0220"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35</w:t>
            </w:r>
          </w:p>
        </w:tc>
        <w:tc>
          <w:tcPr>
            <w:tcW w:w="0" w:type="auto"/>
            <w:tcBorders>
              <w:top w:val="nil"/>
              <w:left w:val="nil"/>
              <w:bottom w:val="nil"/>
              <w:right w:val="nil"/>
            </w:tcBorders>
            <w:shd w:val="clear" w:color="000000" w:fill="FFFFFF"/>
            <w:noWrap/>
            <w:vAlign w:val="center"/>
            <w:hideMark/>
          </w:tcPr>
          <w:p w14:paraId="43716695"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0793D9D"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108</w:t>
            </w:r>
          </w:p>
        </w:tc>
        <w:tc>
          <w:tcPr>
            <w:tcW w:w="0" w:type="auto"/>
            <w:tcBorders>
              <w:top w:val="nil"/>
              <w:left w:val="nil"/>
              <w:bottom w:val="nil"/>
              <w:right w:val="nil"/>
            </w:tcBorders>
            <w:shd w:val="clear" w:color="000000" w:fill="FFFFFF"/>
            <w:noWrap/>
            <w:vAlign w:val="center"/>
            <w:hideMark/>
          </w:tcPr>
          <w:p w14:paraId="763DA7EB"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365FD430"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w:t>
            </w:r>
          </w:p>
        </w:tc>
        <w:tc>
          <w:tcPr>
            <w:tcW w:w="0" w:type="auto"/>
            <w:tcBorders>
              <w:top w:val="nil"/>
              <w:left w:val="nil"/>
              <w:bottom w:val="nil"/>
              <w:right w:val="nil"/>
            </w:tcBorders>
            <w:shd w:val="clear" w:color="000000" w:fill="FFFFFF"/>
            <w:noWrap/>
            <w:vAlign w:val="center"/>
            <w:hideMark/>
          </w:tcPr>
          <w:p w14:paraId="155C0BFC"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07446E2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54</w:t>
            </w:r>
          </w:p>
        </w:tc>
        <w:tc>
          <w:tcPr>
            <w:tcW w:w="0" w:type="auto"/>
            <w:tcBorders>
              <w:top w:val="nil"/>
              <w:left w:val="nil"/>
              <w:bottom w:val="nil"/>
              <w:right w:val="nil"/>
            </w:tcBorders>
            <w:shd w:val="clear" w:color="000000" w:fill="FFFFFF"/>
            <w:noWrap/>
            <w:vAlign w:val="center"/>
            <w:hideMark/>
          </w:tcPr>
          <w:p w14:paraId="6742C36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07503712"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2B5D546E" w14:textId="29B70BEC" w:rsidR="00E15049" w:rsidRPr="002F1984" w:rsidRDefault="00BD4D19" w:rsidP="00467BD8">
            <w:pPr>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0" w:type="auto"/>
            <w:tcBorders>
              <w:top w:val="nil"/>
              <w:left w:val="nil"/>
              <w:bottom w:val="nil"/>
              <w:right w:val="nil"/>
            </w:tcBorders>
            <w:shd w:val="clear" w:color="000000" w:fill="FFFFFF"/>
            <w:noWrap/>
            <w:vAlign w:val="center"/>
            <w:hideMark/>
          </w:tcPr>
          <w:p w14:paraId="367CBDDA"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45</w:t>
            </w:r>
          </w:p>
        </w:tc>
        <w:tc>
          <w:tcPr>
            <w:tcW w:w="0" w:type="auto"/>
            <w:tcBorders>
              <w:top w:val="nil"/>
              <w:left w:val="nil"/>
              <w:bottom w:val="nil"/>
              <w:right w:val="nil"/>
            </w:tcBorders>
            <w:shd w:val="clear" w:color="000000" w:fill="FFFFFF"/>
            <w:noWrap/>
            <w:vAlign w:val="center"/>
            <w:hideMark/>
          </w:tcPr>
          <w:p w14:paraId="6A8C2F61"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r>
      <w:tr w:rsidR="00E15049" w:rsidRPr="002F1984" w14:paraId="53C7A5BC" w14:textId="77777777" w:rsidTr="00A521D5">
        <w:trPr>
          <w:trHeight w:val="225"/>
        </w:trPr>
        <w:tc>
          <w:tcPr>
            <w:tcW w:w="0" w:type="auto"/>
            <w:tcBorders>
              <w:top w:val="nil"/>
              <w:left w:val="nil"/>
              <w:bottom w:val="nil"/>
              <w:right w:val="nil"/>
            </w:tcBorders>
            <w:shd w:val="clear" w:color="000000" w:fill="FFFFFF"/>
            <w:noWrap/>
            <w:vAlign w:val="center"/>
            <w:hideMark/>
          </w:tcPr>
          <w:p w14:paraId="428BC8F9" w14:textId="77777777" w:rsidR="00E15049" w:rsidRPr="002F1984" w:rsidRDefault="00E15049" w:rsidP="00467BD8">
            <w:pPr>
              <w:spacing w:after="0" w:line="240" w:lineRule="auto"/>
              <w:jc w:val="left"/>
              <w:rPr>
                <w:rFonts w:ascii="Arial" w:hAnsi="Arial" w:cs="Arial"/>
                <w:color w:val="auto"/>
                <w:sz w:val="16"/>
                <w:szCs w:val="16"/>
              </w:rPr>
            </w:pPr>
            <w:r w:rsidRPr="002F1984">
              <w:rPr>
                <w:rFonts w:ascii="Arial" w:hAnsi="Arial" w:cs="Arial"/>
                <w:color w:val="auto"/>
                <w:sz w:val="16"/>
                <w:szCs w:val="16"/>
              </w:rPr>
              <w:t>Vic.</w:t>
            </w:r>
          </w:p>
        </w:tc>
        <w:tc>
          <w:tcPr>
            <w:tcW w:w="0" w:type="auto"/>
            <w:tcBorders>
              <w:top w:val="nil"/>
              <w:left w:val="nil"/>
              <w:bottom w:val="nil"/>
              <w:right w:val="nil"/>
            </w:tcBorders>
            <w:shd w:val="clear" w:color="000000" w:fill="FFFFFF"/>
            <w:noWrap/>
            <w:vAlign w:val="center"/>
            <w:hideMark/>
          </w:tcPr>
          <w:p w14:paraId="07A9CD6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1,542</w:t>
            </w:r>
          </w:p>
        </w:tc>
        <w:tc>
          <w:tcPr>
            <w:tcW w:w="0" w:type="auto"/>
            <w:tcBorders>
              <w:top w:val="nil"/>
              <w:left w:val="nil"/>
              <w:bottom w:val="nil"/>
              <w:right w:val="nil"/>
            </w:tcBorders>
            <w:shd w:val="clear" w:color="000000" w:fill="FFFFFF"/>
            <w:noWrap/>
            <w:vAlign w:val="center"/>
            <w:hideMark/>
          </w:tcPr>
          <w:p w14:paraId="183AA7B1"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1.3</w:t>
            </w:r>
          </w:p>
        </w:tc>
        <w:tc>
          <w:tcPr>
            <w:tcW w:w="0" w:type="auto"/>
            <w:tcBorders>
              <w:top w:val="nil"/>
              <w:left w:val="nil"/>
              <w:bottom w:val="nil"/>
              <w:right w:val="nil"/>
            </w:tcBorders>
            <w:shd w:val="clear" w:color="000000" w:fill="FFFFFF"/>
            <w:noWrap/>
            <w:vAlign w:val="center"/>
            <w:hideMark/>
          </w:tcPr>
          <w:p w14:paraId="1D3FE3A8"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453</w:t>
            </w:r>
          </w:p>
        </w:tc>
        <w:tc>
          <w:tcPr>
            <w:tcW w:w="0" w:type="auto"/>
            <w:tcBorders>
              <w:top w:val="nil"/>
              <w:left w:val="nil"/>
              <w:bottom w:val="nil"/>
              <w:right w:val="nil"/>
            </w:tcBorders>
            <w:shd w:val="clear" w:color="000000" w:fill="FFFFFF"/>
            <w:noWrap/>
            <w:vAlign w:val="center"/>
            <w:hideMark/>
          </w:tcPr>
          <w:p w14:paraId="370D59E8"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0.8</w:t>
            </w:r>
          </w:p>
        </w:tc>
        <w:tc>
          <w:tcPr>
            <w:tcW w:w="0" w:type="auto"/>
            <w:tcBorders>
              <w:top w:val="nil"/>
              <w:left w:val="nil"/>
              <w:bottom w:val="nil"/>
              <w:right w:val="nil"/>
            </w:tcBorders>
            <w:shd w:val="clear" w:color="000000" w:fill="FFFFFF"/>
            <w:noWrap/>
            <w:vAlign w:val="center"/>
            <w:hideMark/>
          </w:tcPr>
          <w:p w14:paraId="163EE3C3"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33</w:t>
            </w:r>
          </w:p>
        </w:tc>
        <w:tc>
          <w:tcPr>
            <w:tcW w:w="0" w:type="auto"/>
            <w:tcBorders>
              <w:top w:val="nil"/>
              <w:left w:val="nil"/>
              <w:bottom w:val="nil"/>
              <w:right w:val="nil"/>
            </w:tcBorders>
            <w:shd w:val="clear" w:color="000000" w:fill="FFFFFF"/>
            <w:noWrap/>
            <w:vAlign w:val="center"/>
            <w:hideMark/>
          </w:tcPr>
          <w:p w14:paraId="05B47873"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77D87A0"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812</w:t>
            </w:r>
          </w:p>
        </w:tc>
        <w:tc>
          <w:tcPr>
            <w:tcW w:w="0" w:type="auto"/>
            <w:tcBorders>
              <w:top w:val="nil"/>
              <w:left w:val="nil"/>
              <w:bottom w:val="nil"/>
              <w:right w:val="nil"/>
            </w:tcBorders>
            <w:shd w:val="clear" w:color="000000" w:fill="FFFFFF"/>
            <w:noWrap/>
            <w:vAlign w:val="center"/>
            <w:hideMark/>
          </w:tcPr>
          <w:p w14:paraId="25C8F9A4"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0.3</w:t>
            </w:r>
          </w:p>
        </w:tc>
        <w:tc>
          <w:tcPr>
            <w:tcW w:w="0" w:type="auto"/>
            <w:tcBorders>
              <w:top w:val="nil"/>
              <w:left w:val="nil"/>
              <w:bottom w:val="nil"/>
              <w:right w:val="nil"/>
            </w:tcBorders>
            <w:shd w:val="clear" w:color="000000" w:fill="FFFFFF"/>
            <w:noWrap/>
            <w:vAlign w:val="center"/>
            <w:hideMark/>
          </w:tcPr>
          <w:p w14:paraId="2A1DCD70"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19</w:t>
            </w:r>
          </w:p>
        </w:tc>
        <w:tc>
          <w:tcPr>
            <w:tcW w:w="0" w:type="auto"/>
            <w:tcBorders>
              <w:top w:val="nil"/>
              <w:left w:val="nil"/>
              <w:bottom w:val="nil"/>
              <w:right w:val="nil"/>
            </w:tcBorders>
            <w:shd w:val="clear" w:color="000000" w:fill="FFFFFF"/>
            <w:noWrap/>
            <w:vAlign w:val="center"/>
            <w:hideMark/>
          </w:tcPr>
          <w:p w14:paraId="545F18C1"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0.9</w:t>
            </w:r>
          </w:p>
        </w:tc>
        <w:tc>
          <w:tcPr>
            <w:tcW w:w="0" w:type="auto"/>
            <w:tcBorders>
              <w:top w:val="nil"/>
              <w:left w:val="nil"/>
              <w:bottom w:val="nil"/>
              <w:right w:val="nil"/>
            </w:tcBorders>
            <w:shd w:val="clear" w:color="000000" w:fill="FFFFFF"/>
            <w:noWrap/>
            <w:vAlign w:val="center"/>
            <w:hideMark/>
          </w:tcPr>
          <w:p w14:paraId="5F458080"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141</w:t>
            </w:r>
          </w:p>
        </w:tc>
        <w:tc>
          <w:tcPr>
            <w:tcW w:w="0" w:type="auto"/>
            <w:tcBorders>
              <w:top w:val="nil"/>
              <w:left w:val="nil"/>
              <w:bottom w:val="nil"/>
              <w:right w:val="nil"/>
            </w:tcBorders>
            <w:shd w:val="clear" w:color="000000" w:fill="FFFFFF"/>
            <w:noWrap/>
            <w:vAlign w:val="center"/>
            <w:hideMark/>
          </w:tcPr>
          <w:p w14:paraId="085F86EB"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0.2</w:t>
            </w:r>
          </w:p>
        </w:tc>
      </w:tr>
      <w:tr w:rsidR="00E15049" w:rsidRPr="002F1984" w14:paraId="53A0EBE3" w14:textId="77777777" w:rsidTr="00A521D5">
        <w:trPr>
          <w:trHeight w:val="225"/>
        </w:trPr>
        <w:tc>
          <w:tcPr>
            <w:tcW w:w="0" w:type="auto"/>
            <w:tcBorders>
              <w:top w:val="nil"/>
              <w:left w:val="nil"/>
              <w:bottom w:val="nil"/>
              <w:right w:val="nil"/>
            </w:tcBorders>
            <w:shd w:val="clear" w:color="000000" w:fill="FFFFFF"/>
            <w:noWrap/>
            <w:vAlign w:val="center"/>
            <w:hideMark/>
          </w:tcPr>
          <w:p w14:paraId="2D2DF843" w14:textId="77777777" w:rsidR="00E15049" w:rsidRPr="002F1984" w:rsidRDefault="00E15049" w:rsidP="00467BD8">
            <w:pPr>
              <w:spacing w:after="0" w:line="240" w:lineRule="auto"/>
              <w:jc w:val="left"/>
              <w:rPr>
                <w:rFonts w:ascii="Arial" w:hAnsi="Arial" w:cs="Arial"/>
                <w:color w:val="auto"/>
                <w:sz w:val="16"/>
                <w:szCs w:val="16"/>
              </w:rPr>
            </w:pPr>
            <w:r w:rsidRPr="002F1984">
              <w:rPr>
                <w:rFonts w:ascii="Arial" w:hAnsi="Arial" w:cs="Arial"/>
                <w:color w:val="auto"/>
                <w:sz w:val="16"/>
                <w:szCs w:val="16"/>
              </w:rPr>
              <w:t>WA</w:t>
            </w:r>
          </w:p>
        </w:tc>
        <w:tc>
          <w:tcPr>
            <w:tcW w:w="0" w:type="auto"/>
            <w:tcBorders>
              <w:top w:val="nil"/>
              <w:left w:val="nil"/>
              <w:bottom w:val="nil"/>
              <w:right w:val="nil"/>
            </w:tcBorders>
            <w:shd w:val="clear" w:color="000000" w:fill="FFFFFF"/>
            <w:noWrap/>
            <w:vAlign w:val="center"/>
            <w:hideMark/>
          </w:tcPr>
          <w:p w14:paraId="5799E972"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134</w:t>
            </w:r>
          </w:p>
        </w:tc>
        <w:tc>
          <w:tcPr>
            <w:tcW w:w="0" w:type="auto"/>
            <w:tcBorders>
              <w:top w:val="nil"/>
              <w:left w:val="nil"/>
              <w:bottom w:val="nil"/>
              <w:right w:val="nil"/>
            </w:tcBorders>
            <w:shd w:val="clear" w:color="000000" w:fill="FFFFFF"/>
            <w:noWrap/>
            <w:vAlign w:val="center"/>
            <w:hideMark/>
          </w:tcPr>
          <w:p w14:paraId="469DA2B7"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28781A54"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71</w:t>
            </w:r>
          </w:p>
        </w:tc>
        <w:tc>
          <w:tcPr>
            <w:tcW w:w="0" w:type="auto"/>
            <w:tcBorders>
              <w:top w:val="nil"/>
              <w:left w:val="nil"/>
              <w:bottom w:val="nil"/>
              <w:right w:val="nil"/>
            </w:tcBorders>
            <w:shd w:val="clear" w:color="000000" w:fill="FFFFFF"/>
            <w:noWrap/>
            <w:vAlign w:val="center"/>
            <w:hideMark/>
          </w:tcPr>
          <w:p w14:paraId="2296C5CF"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0D2F6002"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14</w:t>
            </w:r>
          </w:p>
        </w:tc>
        <w:tc>
          <w:tcPr>
            <w:tcW w:w="0" w:type="auto"/>
            <w:tcBorders>
              <w:top w:val="nil"/>
              <w:left w:val="nil"/>
              <w:bottom w:val="nil"/>
              <w:right w:val="nil"/>
            </w:tcBorders>
            <w:shd w:val="clear" w:color="000000" w:fill="FFFFFF"/>
            <w:noWrap/>
            <w:vAlign w:val="center"/>
            <w:hideMark/>
          </w:tcPr>
          <w:p w14:paraId="6D82DCFA"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5064621F"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135</w:t>
            </w:r>
          </w:p>
        </w:tc>
        <w:tc>
          <w:tcPr>
            <w:tcW w:w="0" w:type="auto"/>
            <w:tcBorders>
              <w:top w:val="nil"/>
              <w:left w:val="nil"/>
              <w:bottom w:val="nil"/>
              <w:right w:val="nil"/>
            </w:tcBorders>
            <w:shd w:val="clear" w:color="000000" w:fill="FFFFFF"/>
            <w:noWrap/>
            <w:vAlign w:val="center"/>
            <w:hideMark/>
          </w:tcPr>
          <w:p w14:paraId="3615307B"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0.1</w:t>
            </w:r>
          </w:p>
        </w:tc>
        <w:tc>
          <w:tcPr>
            <w:tcW w:w="0" w:type="auto"/>
            <w:tcBorders>
              <w:top w:val="nil"/>
              <w:left w:val="nil"/>
              <w:bottom w:val="nil"/>
              <w:right w:val="nil"/>
            </w:tcBorders>
            <w:shd w:val="clear" w:color="000000" w:fill="FFFFFF"/>
            <w:noWrap/>
            <w:vAlign w:val="center"/>
            <w:hideMark/>
          </w:tcPr>
          <w:p w14:paraId="65F1A3C4"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w:t>
            </w:r>
          </w:p>
        </w:tc>
        <w:tc>
          <w:tcPr>
            <w:tcW w:w="0" w:type="auto"/>
            <w:tcBorders>
              <w:top w:val="nil"/>
              <w:left w:val="nil"/>
              <w:bottom w:val="nil"/>
              <w:right w:val="nil"/>
            </w:tcBorders>
            <w:shd w:val="clear" w:color="000000" w:fill="FFFFFF"/>
            <w:noWrap/>
            <w:vAlign w:val="center"/>
            <w:hideMark/>
          </w:tcPr>
          <w:p w14:paraId="0224822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0.2</w:t>
            </w:r>
          </w:p>
        </w:tc>
        <w:tc>
          <w:tcPr>
            <w:tcW w:w="0" w:type="auto"/>
            <w:tcBorders>
              <w:top w:val="nil"/>
              <w:left w:val="nil"/>
              <w:bottom w:val="nil"/>
              <w:right w:val="nil"/>
            </w:tcBorders>
            <w:shd w:val="clear" w:color="000000" w:fill="FFFFFF"/>
            <w:noWrap/>
            <w:vAlign w:val="center"/>
            <w:hideMark/>
          </w:tcPr>
          <w:p w14:paraId="4DA2C85F"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11</w:t>
            </w:r>
          </w:p>
        </w:tc>
        <w:tc>
          <w:tcPr>
            <w:tcW w:w="0" w:type="auto"/>
            <w:tcBorders>
              <w:top w:val="nil"/>
              <w:left w:val="nil"/>
              <w:bottom w:val="nil"/>
              <w:right w:val="nil"/>
            </w:tcBorders>
            <w:shd w:val="clear" w:color="000000" w:fill="FFFFFF"/>
            <w:noWrap/>
            <w:vAlign w:val="center"/>
            <w:hideMark/>
          </w:tcPr>
          <w:p w14:paraId="78EDBE0D"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r>
      <w:tr w:rsidR="00E15049" w:rsidRPr="002F1984" w14:paraId="396792E3" w14:textId="77777777" w:rsidTr="00A521D5">
        <w:trPr>
          <w:trHeight w:val="225"/>
        </w:trPr>
        <w:tc>
          <w:tcPr>
            <w:tcW w:w="0" w:type="auto"/>
            <w:tcBorders>
              <w:top w:val="nil"/>
              <w:left w:val="nil"/>
              <w:bottom w:val="nil"/>
              <w:right w:val="nil"/>
            </w:tcBorders>
            <w:shd w:val="clear" w:color="000000" w:fill="FFFFFF"/>
            <w:noWrap/>
            <w:vAlign w:val="center"/>
            <w:hideMark/>
          </w:tcPr>
          <w:p w14:paraId="5F864458" w14:textId="77777777" w:rsidR="00E15049" w:rsidRPr="002F1984" w:rsidRDefault="00E15049" w:rsidP="00467BD8">
            <w:pPr>
              <w:spacing w:after="0" w:line="240" w:lineRule="auto"/>
              <w:jc w:val="left"/>
              <w:rPr>
                <w:rFonts w:ascii="Arial" w:hAnsi="Arial" w:cs="Arial"/>
                <w:color w:val="auto"/>
                <w:sz w:val="16"/>
                <w:szCs w:val="16"/>
              </w:rPr>
            </w:pPr>
            <w:r w:rsidRPr="002F1984">
              <w:rPr>
                <w:rFonts w:ascii="Arial" w:hAnsi="Arial" w:cs="Arial"/>
                <w:color w:val="auto"/>
                <w:sz w:val="16"/>
                <w:szCs w:val="16"/>
              </w:rPr>
              <w:t>Various</w:t>
            </w:r>
          </w:p>
        </w:tc>
        <w:tc>
          <w:tcPr>
            <w:tcW w:w="0" w:type="auto"/>
            <w:tcBorders>
              <w:top w:val="nil"/>
              <w:left w:val="nil"/>
              <w:bottom w:val="nil"/>
              <w:right w:val="nil"/>
            </w:tcBorders>
            <w:shd w:val="clear" w:color="000000" w:fill="FFFFFF"/>
            <w:noWrap/>
            <w:vAlign w:val="center"/>
            <w:hideMark/>
          </w:tcPr>
          <w:p w14:paraId="3CF8DEDA"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2</w:t>
            </w:r>
          </w:p>
        </w:tc>
        <w:tc>
          <w:tcPr>
            <w:tcW w:w="0" w:type="auto"/>
            <w:tcBorders>
              <w:top w:val="nil"/>
              <w:left w:val="nil"/>
              <w:bottom w:val="nil"/>
              <w:right w:val="nil"/>
            </w:tcBorders>
            <w:shd w:val="clear" w:color="000000" w:fill="FFFFFF"/>
            <w:noWrap/>
            <w:vAlign w:val="center"/>
            <w:hideMark/>
          </w:tcPr>
          <w:p w14:paraId="328A26D7"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0.0</w:t>
            </w:r>
          </w:p>
        </w:tc>
        <w:tc>
          <w:tcPr>
            <w:tcW w:w="0" w:type="auto"/>
            <w:tcBorders>
              <w:top w:val="nil"/>
              <w:left w:val="nil"/>
              <w:bottom w:val="nil"/>
              <w:right w:val="nil"/>
            </w:tcBorders>
            <w:shd w:val="clear" w:color="000000" w:fill="FFFFFF"/>
            <w:noWrap/>
            <w:vAlign w:val="center"/>
            <w:hideMark/>
          </w:tcPr>
          <w:p w14:paraId="7900D12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23</w:t>
            </w:r>
          </w:p>
        </w:tc>
        <w:tc>
          <w:tcPr>
            <w:tcW w:w="0" w:type="auto"/>
            <w:tcBorders>
              <w:top w:val="nil"/>
              <w:left w:val="nil"/>
              <w:bottom w:val="nil"/>
              <w:right w:val="nil"/>
            </w:tcBorders>
            <w:shd w:val="clear" w:color="000000" w:fill="FFFFFF"/>
            <w:noWrap/>
            <w:vAlign w:val="center"/>
            <w:hideMark/>
          </w:tcPr>
          <w:p w14:paraId="2F65D210"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3.2</w:t>
            </w:r>
          </w:p>
        </w:tc>
        <w:tc>
          <w:tcPr>
            <w:tcW w:w="0" w:type="auto"/>
            <w:tcBorders>
              <w:top w:val="nil"/>
              <w:left w:val="nil"/>
              <w:bottom w:val="nil"/>
              <w:right w:val="nil"/>
            </w:tcBorders>
            <w:shd w:val="clear" w:color="000000" w:fill="FFFFFF"/>
            <w:noWrap/>
            <w:vAlign w:val="center"/>
            <w:hideMark/>
          </w:tcPr>
          <w:p w14:paraId="70388F7E"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20</w:t>
            </w:r>
          </w:p>
        </w:tc>
        <w:tc>
          <w:tcPr>
            <w:tcW w:w="0" w:type="auto"/>
            <w:tcBorders>
              <w:top w:val="nil"/>
              <w:left w:val="nil"/>
              <w:bottom w:val="nil"/>
              <w:right w:val="nil"/>
            </w:tcBorders>
            <w:shd w:val="clear" w:color="000000" w:fill="FFFFFF"/>
            <w:noWrap/>
            <w:vAlign w:val="center"/>
            <w:hideMark/>
          </w:tcPr>
          <w:p w14:paraId="44E5D341"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3.5</w:t>
            </w:r>
          </w:p>
        </w:tc>
        <w:tc>
          <w:tcPr>
            <w:tcW w:w="0" w:type="auto"/>
            <w:tcBorders>
              <w:top w:val="nil"/>
              <w:left w:val="nil"/>
              <w:bottom w:val="nil"/>
              <w:right w:val="nil"/>
            </w:tcBorders>
            <w:shd w:val="clear" w:color="000000" w:fill="FFFFFF"/>
            <w:noWrap/>
            <w:vAlign w:val="center"/>
            <w:hideMark/>
          </w:tcPr>
          <w:p w14:paraId="3FE62F78"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7CB7D3AD" w14:textId="3CE6B43B" w:rsidR="00E15049" w:rsidRPr="002F1984" w:rsidRDefault="00BD4D19" w:rsidP="00467BD8">
            <w:pPr>
              <w:spacing w:after="0" w:line="240" w:lineRule="auto"/>
              <w:jc w:val="right"/>
              <w:rPr>
                <w:rFonts w:ascii="Arial" w:hAnsi="Arial" w:cs="Arial"/>
                <w:color w:val="auto"/>
                <w:sz w:val="16"/>
                <w:szCs w:val="16"/>
              </w:rPr>
            </w:pPr>
            <w:r>
              <w:rPr>
                <w:rFonts w:ascii="Arial" w:hAnsi="Arial" w:cs="Arial"/>
                <w:color w:val="auto"/>
                <w:sz w:val="16"/>
                <w:szCs w:val="16"/>
              </w:rPr>
              <w:noBreakHyphen/>
            </w:r>
          </w:p>
        </w:tc>
        <w:tc>
          <w:tcPr>
            <w:tcW w:w="0" w:type="auto"/>
            <w:tcBorders>
              <w:top w:val="nil"/>
              <w:left w:val="nil"/>
              <w:bottom w:val="nil"/>
              <w:right w:val="nil"/>
            </w:tcBorders>
            <w:shd w:val="clear" w:color="000000" w:fill="FFFFFF"/>
            <w:noWrap/>
            <w:vAlign w:val="center"/>
            <w:hideMark/>
          </w:tcPr>
          <w:p w14:paraId="33407FD2"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20</w:t>
            </w:r>
          </w:p>
        </w:tc>
        <w:tc>
          <w:tcPr>
            <w:tcW w:w="0" w:type="auto"/>
            <w:tcBorders>
              <w:top w:val="nil"/>
              <w:left w:val="nil"/>
              <w:bottom w:val="nil"/>
              <w:right w:val="nil"/>
            </w:tcBorders>
            <w:shd w:val="clear" w:color="000000" w:fill="FFFFFF"/>
            <w:noWrap/>
            <w:vAlign w:val="center"/>
            <w:hideMark/>
          </w:tcPr>
          <w:p w14:paraId="4C746B63"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2.8</w:t>
            </w:r>
          </w:p>
        </w:tc>
        <w:tc>
          <w:tcPr>
            <w:tcW w:w="0" w:type="auto"/>
            <w:tcBorders>
              <w:top w:val="nil"/>
              <w:left w:val="nil"/>
              <w:bottom w:val="nil"/>
              <w:right w:val="nil"/>
            </w:tcBorders>
            <w:shd w:val="clear" w:color="000000" w:fill="FFFFFF"/>
            <w:noWrap/>
            <w:vAlign w:val="center"/>
            <w:hideMark/>
          </w:tcPr>
          <w:p w14:paraId="29489579" w14:textId="77777777" w:rsidR="00E15049" w:rsidRPr="002F1984" w:rsidRDefault="00E15049" w:rsidP="00467BD8">
            <w:pPr>
              <w:spacing w:after="0" w:line="240" w:lineRule="auto"/>
              <w:jc w:val="right"/>
              <w:rPr>
                <w:rFonts w:ascii="Arial" w:hAnsi="Arial" w:cs="Arial"/>
                <w:color w:val="auto"/>
                <w:sz w:val="16"/>
                <w:szCs w:val="16"/>
              </w:rPr>
            </w:pPr>
            <w:r w:rsidRPr="002F1984">
              <w:rPr>
                <w:rFonts w:ascii="Arial" w:hAnsi="Arial" w:cs="Arial"/>
                <w:color w:val="auto"/>
                <w:sz w:val="16"/>
                <w:szCs w:val="16"/>
              </w:rPr>
              <w:t>0</w:t>
            </w:r>
          </w:p>
        </w:tc>
        <w:tc>
          <w:tcPr>
            <w:tcW w:w="0" w:type="auto"/>
            <w:tcBorders>
              <w:top w:val="nil"/>
              <w:left w:val="nil"/>
              <w:bottom w:val="nil"/>
              <w:right w:val="nil"/>
            </w:tcBorders>
            <w:shd w:val="clear" w:color="000000" w:fill="FFFFFF"/>
            <w:noWrap/>
            <w:vAlign w:val="center"/>
            <w:hideMark/>
          </w:tcPr>
          <w:p w14:paraId="609B1AFF" w14:textId="181E08EF" w:rsidR="00E15049" w:rsidRPr="002F1984" w:rsidRDefault="00BD4D19" w:rsidP="00467BD8">
            <w:pPr>
              <w:spacing w:after="0" w:line="240" w:lineRule="auto"/>
              <w:jc w:val="right"/>
              <w:rPr>
                <w:rFonts w:ascii="Arial" w:hAnsi="Arial" w:cs="Arial"/>
                <w:color w:val="auto"/>
                <w:sz w:val="16"/>
                <w:szCs w:val="16"/>
              </w:rPr>
            </w:pPr>
            <w:r>
              <w:rPr>
                <w:rFonts w:ascii="Arial" w:hAnsi="Arial" w:cs="Arial"/>
                <w:color w:val="auto"/>
                <w:sz w:val="16"/>
                <w:szCs w:val="16"/>
              </w:rPr>
              <w:noBreakHyphen/>
            </w:r>
          </w:p>
        </w:tc>
      </w:tr>
      <w:tr w:rsidR="00E15049" w:rsidRPr="002F1984" w14:paraId="16FD5337" w14:textId="77777777" w:rsidTr="00A521D5">
        <w:trPr>
          <w:trHeight w:val="225"/>
        </w:trPr>
        <w:tc>
          <w:tcPr>
            <w:tcW w:w="0" w:type="auto"/>
            <w:tcBorders>
              <w:top w:val="single" w:sz="4" w:space="0" w:color="auto"/>
              <w:left w:val="nil"/>
              <w:bottom w:val="single" w:sz="4" w:space="0" w:color="auto"/>
              <w:right w:val="nil"/>
            </w:tcBorders>
            <w:shd w:val="clear" w:color="000000" w:fill="FFFFFF"/>
            <w:noWrap/>
            <w:vAlign w:val="center"/>
            <w:hideMark/>
          </w:tcPr>
          <w:p w14:paraId="557AD7AB" w14:textId="77777777" w:rsidR="00E15049" w:rsidRPr="002F1984" w:rsidRDefault="00E15049" w:rsidP="00467BD8">
            <w:pPr>
              <w:spacing w:after="0" w:line="240" w:lineRule="auto"/>
              <w:jc w:val="left"/>
              <w:rPr>
                <w:rFonts w:ascii="Arial" w:hAnsi="Arial" w:cs="Arial"/>
                <w:b/>
                <w:bCs/>
                <w:color w:val="auto"/>
                <w:sz w:val="16"/>
                <w:szCs w:val="16"/>
              </w:rPr>
            </w:pPr>
            <w:r w:rsidRPr="002F1984">
              <w:rPr>
                <w:rFonts w:ascii="Arial" w:hAnsi="Arial" w:cs="Arial"/>
                <w:b/>
                <w:bCs/>
                <w:color w:val="auto"/>
                <w:sz w:val="16"/>
                <w:szCs w:val="16"/>
              </w:rPr>
              <w:t>Total</w:t>
            </w:r>
          </w:p>
        </w:tc>
        <w:tc>
          <w:tcPr>
            <w:tcW w:w="0" w:type="auto"/>
            <w:tcBorders>
              <w:top w:val="single" w:sz="4" w:space="0" w:color="auto"/>
              <w:left w:val="nil"/>
              <w:bottom w:val="single" w:sz="4" w:space="0" w:color="auto"/>
              <w:right w:val="nil"/>
            </w:tcBorders>
            <w:shd w:val="clear" w:color="000000" w:fill="FFFFFF"/>
            <w:noWrap/>
            <w:vAlign w:val="center"/>
            <w:hideMark/>
          </w:tcPr>
          <w:p w14:paraId="64B0A6B7"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3,859</w:t>
            </w:r>
          </w:p>
        </w:tc>
        <w:tc>
          <w:tcPr>
            <w:tcW w:w="0" w:type="auto"/>
            <w:tcBorders>
              <w:top w:val="single" w:sz="4" w:space="0" w:color="auto"/>
              <w:left w:val="nil"/>
              <w:bottom w:val="single" w:sz="4" w:space="0" w:color="auto"/>
              <w:right w:val="nil"/>
            </w:tcBorders>
            <w:shd w:val="clear" w:color="000000" w:fill="FFFFFF"/>
            <w:noWrap/>
            <w:vAlign w:val="center"/>
            <w:hideMark/>
          </w:tcPr>
          <w:p w14:paraId="67F8B463"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3.3</w:t>
            </w:r>
          </w:p>
        </w:tc>
        <w:tc>
          <w:tcPr>
            <w:tcW w:w="0" w:type="auto"/>
            <w:tcBorders>
              <w:top w:val="single" w:sz="4" w:space="0" w:color="auto"/>
              <w:left w:val="nil"/>
              <w:bottom w:val="single" w:sz="4" w:space="0" w:color="auto"/>
              <w:right w:val="nil"/>
            </w:tcBorders>
            <w:shd w:val="clear" w:color="000000" w:fill="FFFFFF"/>
            <w:noWrap/>
            <w:vAlign w:val="center"/>
            <w:hideMark/>
          </w:tcPr>
          <w:p w14:paraId="4B2D281C"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1,104</w:t>
            </w:r>
          </w:p>
        </w:tc>
        <w:tc>
          <w:tcPr>
            <w:tcW w:w="0" w:type="auto"/>
            <w:tcBorders>
              <w:top w:val="single" w:sz="4" w:space="0" w:color="auto"/>
              <w:left w:val="nil"/>
              <w:bottom w:val="single" w:sz="4" w:space="0" w:color="auto"/>
              <w:right w:val="nil"/>
            </w:tcBorders>
            <w:shd w:val="clear" w:color="000000" w:fill="FFFFFF"/>
            <w:noWrap/>
            <w:vAlign w:val="center"/>
            <w:hideMark/>
          </w:tcPr>
          <w:p w14:paraId="1E689476"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4.6</w:t>
            </w:r>
          </w:p>
        </w:tc>
        <w:tc>
          <w:tcPr>
            <w:tcW w:w="0" w:type="auto"/>
            <w:tcBorders>
              <w:top w:val="single" w:sz="4" w:space="0" w:color="auto"/>
              <w:left w:val="nil"/>
              <w:bottom w:val="single" w:sz="4" w:space="0" w:color="auto"/>
              <w:right w:val="nil"/>
            </w:tcBorders>
            <w:shd w:val="clear" w:color="000000" w:fill="FFFFFF"/>
            <w:noWrap/>
            <w:vAlign w:val="center"/>
            <w:hideMark/>
          </w:tcPr>
          <w:p w14:paraId="2D1447FD"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166</w:t>
            </w:r>
          </w:p>
        </w:tc>
        <w:tc>
          <w:tcPr>
            <w:tcW w:w="0" w:type="auto"/>
            <w:tcBorders>
              <w:top w:val="single" w:sz="4" w:space="0" w:color="auto"/>
              <w:left w:val="nil"/>
              <w:bottom w:val="single" w:sz="4" w:space="0" w:color="auto"/>
              <w:right w:val="nil"/>
            </w:tcBorders>
            <w:shd w:val="clear" w:color="000000" w:fill="FFFFFF"/>
            <w:noWrap/>
            <w:vAlign w:val="center"/>
            <w:hideMark/>
          </w:tcPr>
          <w:p w14:paraId="7E1A7592"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3.8</w:t>
            </w:r>
          </w:p>
        </w:tc>
        <w:tc>
          <w:tcPr>
            <w:tcW w:w="0" w:type="auto"/>
            <w:tcBorders>
              <w:top w:val="single" w:sz="4" w:space="0" w:color="auto"/>
              <w:left w:val="nil"/>
              <w:bottom w:val="single" w:sz="4" w:space="0" w:color="auto"/>
              <w:right w:val="nil"/>
            </w:tcBorders>
            <w:shd w:val="clear" w:color="000000" w:fill="FFFFFF"/>
            <w:noWrap/>
            <w:vAlign w:val="center"/>
            <w:hideMark/>
          </w:tcPr>
          <w:p w14:paraId="581D58E0"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1,578</w:t>
            </w:r>
          </w:p>
        </w:tc>
        <w:tc>
          <w:tcPr>
            <w:tcW w:w="0" w:type="auto"/>
            <w:tcBorders>
              <w:top w:val="single" w:sz="4" w:space="0" w:color="auto"/>
              <w:left w:val="nil"/>
              <w:bottom w:val="single" w:sz="4" w:space="0" w:color="auto"/>
              <w:right w:val="nil"/>
            </w:tcBorders>
            <w:shd w:val="clear" w:color="000000" w:fill="FFFFFF"/>
            <w:noWrap/>
            <w:vAlign w:val="center"/>
            <w:hideMark/>
          </w:tcPr>
          <w:p w14:paraId="78E76682"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0.7</w:t>
            </w:r>
          </w:p>
        </w:tc>
        <w:tc>
          <w:tcPr>
            <w:tcW w:w="0" w:type="auto"/>
            <w:tcBorders>
              <w:top w:val="single" w:sz="4" w:space="0" w:color="auto"/>
              <w:left w:val="nil"/>
              <w:bottom w:val="single" w:sz="4" w:space="0" w:color="auto"/>
              <w:right w:val="nil"/>
            </w:tcBorders>
            <w:shd w:val="clear" w:color="000000" w:fill="FFFFFF"/>
            <w:noWrap/>
            <w:vAlign w:val="center"/>
            <w:hideMark/>
          </w:tcPr>
          <w:p w14:paraId="605480F6"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58</w:t>
            </w:r>
          </w:p>
        </w:tc>
        <w:tc>
          <w:tcPr>
            <w:tcW w:w="0" w:type="auto"/>
            <w:tcBorders>
              <w:top w:val="single" w:sz="4" w:space="0" w:color="auto"/>
              <w:left w:val="nil"/>
              <w:bottom w:val="single" w:sz="4" w:space="0" w:color="auto"/>
              <w:right w:val="nil"/>
            </w:tcBorders>
            <w:shd w:val="clear" w:color="000000" w:fill="FFFFFF"/>
            <w:noWrap/>
            <w:vAlign w:val="center"/>
            <w:hideMark/>
          </w:tcPr>
          <w:p w14:paraId="24E44166"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4.4</w:t>
            </w:r>
          </w:p>
        </w:tc>
        <w:tc>
          <w:tcPr>
            <w:tcW w:w="0" w:type="auto"/>
            <w:tcBorders>
              <w:top w:val="single" w:sz="4" w:space="0" w:color="auto"/>
              <w:left w:val="nil"/>
              <w:bottom w:val="single" w:sz="4" w:space="0" w:color="auto"/>
              <w:right w:val="nil"/>
            </w:tcBorders>
            <w:shd w:val="clear" w:color="000000" w:fill="FFFFFF"/>
            <w:noWrap/>
            <w:vAlign w:val="center"/>
            <w:hideMark/>
          </w:tcPr>
          <w:p w14:paraId="63ADAC56"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291</w:t>
            </w:r>
          </w:p>
        </w:tc>
        <w:tc>
          <w:tcPr>
            <w:tcW w:w="0" w:type="auto"/>
            <w:tcBorders>
              <w:top w:val="single" w:sz="4" w:space="0" w:color="auto"/>
              <w:left w:val="nil"/>
              <w:bottom w:val="single" w:sz="4" w:space="0" w:color="auto"/>
              <w:right w:val="nil"/>
            </w:tcBorders>
            <w:shd w:val="clear" w:color="000000" w:fill="FFFFFF"/>
            <w:noWrap/>
            <w:vAlign w:val="center"/>
            <w:hideMark/>
          </w:tcPr>
          <w:p w14:paraId="18B9479F" w14:textId="77777777" w:rsidR="00E15049" w:rsidRPr="002F1984" w:rsidRDefault="00E15049" w:rsidP="00467BD8">
            <w:pPr>
              <w:spacing w:after="0" w:line="240" w:lineRule="auto"/>
              <w:jc w:val="right"/>
              <w:rPr>
                <w:rFonts w:ascii="Arial" w:hAnsi="Arial" w:cs="Arial"/>
                <w:b/>
                <w:bCs/>
                <w:color w:val="auto"/>
                <w:sz w:val="16"/>
                <w:szCs w:val="16"/>
              </w:rPr>
            </w:pPr>
            <w:r w:rsidRPr="002F1984">
              <w:rPr>
                <w:rFonts w:ascii="Arial" w:hAnsi="Arial" w:cs="Arial"/>
                <w:b/>
                <w:bCs/>
                <w:color w:val="auto"/>
                <w:sz w:val="16"/>
                <w:szCs w:val="16"/>
              </w:rPr>
              <w:t>0.4</w:t>
            </w:r>
          </w:p>
        </w:tc>
      </w:tr>
    </w:tbl>
    <w:p w14:paraId="0F6E1E27" w14:textId="77777777" w:rsidR="0014470B" w:rsidRPr="008475AB" w:rsidRDefault="0014470B" w:rsidP="0014470B">
      <w:pPr>
        <w:pStyle w:val="ChartorTableNote"/>
        <w:rPr>
          <w:color w:val="auto"/>
        </w:rPr>
      </w:pPr>
      <w:r w:rsidRPr="008475AB">
        <w:rPr>
          <w:color w:val="auto"/>
        </w:rPr>
        <w:t xml:space="preserve">Before republishing this data or comparing between years, thoroughly review the methodological and data caveats in Appendix B. </w:t>
      </w:r>
    </w:p>
    <w:p w14:paraId="0E87885A" w14:textId="5E380281" w:rsidR="0014470B" w:rsidRPr="008475AB" w:rsidRDefault="00BD4D19" w:rsidP="0014470B">
      <w:pPr>
        <w:pStyle w:val="Caveat"/>
        <w:numPr>
          <w:ilvl w:val="0"/>
          <w:numId w:val="48"/>
        </w:numPr>
        <w:rPr>
          <w:color w:val="auto"/>
        </w:rPr>
      </w:pPr>
      <w:r>
        <w:rPr>
          <w:color w:val="auto"/>
        </w:rPr>
        <w:t>‘</w:t>
      </w:r>
      <w:r w:rsidR="0014470B" w:rsidRPr="008475AB">
        <w:rPr>
          <w:color w:val="auto"/>
        </w:rPr>
        <w:t>Developer</w:t>
      </w:r>
      <w:r>
        <w:rPr>
          <w:color w:val="auto"/>
        </w:rPr>
        <w:t>’</w:t>
      </w:r>
      <w:r w:rsidR="0014470B" w:rsidRPr="008475AB">
        <w:rPr>
          <w:color w:val="auto"/>
        </w:rPr>
        <w:t xml:space="preserve"> includes new dwelling exemption certificates provided to real estate developers (previously off the plan approvals), as well as near new dwelling exemption certificates.</w:t>
      </w:r>
    </w:p>
    <w:p w14:paraId="0086916F" w14:textId="77777777" w:rsidR="0014470B" w:rsidRPr="008475AB" w:rsidRDefault="0014470B" w:rsidP="001E6053">
      <w:pPr>
        <w:pStyle w:val="ChartorTableNote"/>
      </w:pPr>
      <w:r w:rsidRPr="008475AB">
        <w:rPr>
          <w:color w:val="auto"/>
        </w:rPr>
        <w:t>This table excludes the developed, and for development exemption certificates for foreign persons shown in Table 3.13.</w:t>
      </w:r>
    </w:p>
    <w:p w14:paraId="4585ED4C" w14:textId="77777777" w:rsidR="007C4301" w:rsidRPr="00BC2CDA" w:rsidRDefault="007C4301" w:rsidP="002E2EFE">
      <w:pPr>
        <w:rPr>
          <w:sz w:val="24"/>
          <w:highlight w:val="yellow"/>
        </w:rPr>
      </w:pPr>
      <w:r w:rsidRPr="00BC2CDA">
        <w:rPr>
          <w:highlight w:val="yellow"/>
        </w:rPr>
        <w:br w:type="page"/>
      </w:r>
    </w:p>
    <w:p w14:paraId="3DED4943" w14:textId="77777777" w:rsidR="00F16FDC" w:rsidRPr="00982838" w:rsidRDefault="00F16FDC" w:rsidP="00F16FDC">
      <w:pPr>
        <w:pStyle w:val="Heading2"/>
        <w:rPr>
          <w:b w:val="0"/>
        </w:rPr>
      </w:pPr>
      <w:bookmarkStart w:id="136" w:name="_Toc31296905"/>
      <w:bookmarkStart w:id="137" w:name="_Toc31636023"/>
      <w:bookmarkStart w:id="138" w:name="_Toc31642792"/>
      <w:bookmarkStart w:id="139" w:name="_Toc32247801"/>
      <w:bookmarkStart w:id="140" w:name="_Toc63782932"/>
      <w:bookmarkStart w:id="141" w:name="_Toc75244061"/>
      <w:bookmarkStart w:id="142" w:name="_Toc32247804"/>
      <w:bookmarkStart w:id="143" w:name="_Toc31296908"/>
      <w:bookmarkStart w:id="144" w:name="_Toc31636026"/>
      <w:bookmarkStart w:id="145" w:name="_Toc31642795"/>
      <w:r w:rsidRPr="00982838">
        <w:t>New business approvals</w:t>
      </w:r>
      <w:bookmarkEnd w:id="136"/>
      <w:bookmarkEnd w:id="137"/>
      <w:bookmarkEnd w:id="138"/>
      <w:bookmarkEnd w:id="139"/>
      <w:bookmarkEnd w:id="140"/>
      <w:bookmarkEnd w:id="141"/>
    </w:p>
    <w:p w14:paraId="53206DAC" w14:textId="77777777" w:rsidR="00F16FDC" w:rsidRPr="00982838" w:rsidRDefault="00F16FDC" w:rsidP="00F16FDC">
      <w:r w:rsidRPr="00982838">
        <w:t>Foreign government investors require approval to start an Australian business.</w:t>
      </w:r>
      <w:r w:rsidRPr="00982838">
        <w:rPr>
          <w:rStyle w:val="FootnoteReference"/>
          <w:color w:val="auto"/>
        </w:rPr>
        <w:footnoteReference w:id="10"/>
      </w:r>
      <w:r w:rsidRPr="00982838">
        <w:t xml:space="preserve"> New business approvals in the agriculture, forestry and fishing sector, mineral exploration and development sector</w:t>
      </w:r>
      <w:r>
        <w:t xml:space="preserve"> and</w:t>
      </w:r>
      <w:r w:rsidRPr="00982838">
        <w:t xml:space="preserve"> manufacturing, electricity and gas sector remained stable in 2019</w:t>
      </w:r>
      <w:r w:rsidR="00F26A86">
        <w:t>–</w:t>
      </w:r>
      <w:r w:rsidRPr="00982838">
        <w:t xml:space="preserve">20, while the finance and insurance sector and the services sector approvals declined </w:t>
      </w:r>
      <w:r w:rsidR="00871D50">
        <w:t>compared to</w:t>
      </w:r>
      <w:r w:rsidRPr="00982838">
        <w:t xml:space="preserve"> 2018</w:t>
      </w:r>
      <w:r w:rsidR="00F26A86">
        <w:t>–</w:t>
      </w:r>
      <w:r w:rsidRPr="00982838">
        <w:t>19 approvals</w:t>
      </w:r>
      <w:r w:rsidR="00871D50">
        <w:t xml:space="preserve"> (see Table 3.16)</w:t>
      </w:r>
      <w:r w:rsidRPr="00982838">
        <w:t>.</w:t>
      </w:r>
    </w:p>
    <w:p w14:paraId="3FC0E96E" w14:textId="77777777" w:rsidR="00F16FDC" w:rsidRPr="00982838" w:rsidRDefault="00F16FDC" w:rsidP="00871D50">
      <w:pPr>
        <w:pStyle w:val="TableMainHeading"/>
        <w:keepLines/>
      </w:pPr>
      <w:bookmarkStart w:id="146" w:name="_Toc32247774"/>
      <w:bookmarkStart w:id="147" w:name="_Toc63798284"/>
      <w:bookmarkStart w:id="148" w:name="_Toc73984743"/>
      <w:r w:rsidRPr="00982838">
        <w:t>Table 3.1</w:t>
      </w:r>
      <w:r w:rsidR="00A359D3">
        <w:t>6</w:t>
      </w:r>
      <w:r w:rsidRPr="00982838">
        <w:t>: New business approvals by industry sector: 2016</w:t>
      </w:r>
      <w:r w:rsidR="00F26A86">
        <w:t>–</w:t>
      </w:r>
      <w:r w:rsidRPr="00982838">
        <w:t>17 to 2019</w:t>
      </w:r>
      <w:r w:rsidR="00F26A86">
        <w:t>–</w:t>
      </w:r>
      <w:r w:rsidRPr="00982838">
        <w:t>20</w:t>
      </w:r>
      <w:bookmarkEnd w:id="146"/>
      <w:bookmarkEnd w:id="147"/>
      <w:bookmarkEnd w:id="148"/>
    </w:p>
    <w:tbl>
      <w:tblPr>
        <w:tblW w:w="5000" w:type="pct"/>
        <w:tblLook w:val="04A0" w:firstRow="1" w:lastRow="0" w:firstColumn="1" w:lastColumn="0" w:noHBand="0" w:noVBand="1"/>
      </w:tblPr>
      <w:tblGrid>
        <w:gridCol w:w="3766"/>
        <w:gridCol w:w="981"/>
        <w:gridCol w:w="981"/>
        <w:gridCol w:w="981"/>
        <w:gridCol w:w="1001"/>
      </w:tblGrid>
      <w:tr w:rsidR="00F16FDC" w:rsidRPr="00A521D5" w14:paraId="66EF9639" w14:textId="77777777" w:rsidTr="00291872">
        <w:trPr>
          <w:trHeight w:val="225"/>
        </w:trPr>
        <w:tc>
          <w:tcPr>
            <w:tcW w:w="3766" w:type="dxa"/>
            <w:tcBorders>
              <w:top w:val="single" w:sz="2" w:space="0" w:color="000000" w:themeColor="text1"/>
              <w:left w:val="nil"/>
              <w:bottom w:val="nil"/>
              <w:right w:val="nil"/>
            </w:tcBorders>
            <w:shd w:val="clear" w:color="000000" w:fill="FFFFFF"/>
            <w:noWrap/>
            <w:hideMark/>
          </w:tcPr>
          <w:p w14:paraId="66C805AA" w14:textId="77777777" w:rsidR="00F16FDC" w:rsidRPr="00A521D5" w:rsidRDefault="00F16FDC" w:rsidP="00871D50">
            <w:pPr>
              <w:keepNext/>
              <w:keepLines/>
              <w:spacing w:after="0" w:line="240" w:lineRule="auto"/>
              <w:jc w:val="left"/>
              <w:rPr>
                <w:rFonts w:ascii="Arial" w:hAnsi="Arial" w:cs="Arial"/>
                <w:sz w:val="16"/>
                <w:szCs w:val="16"/>
              </w:rPr>
            </w:pPr>
          </w:p>
        </w:tc>
        <w:tc>
          <w:tcPr>
            <w:tcW w:w="981" w:type="dxa"/>
            <w:tcBorders>
              <w:top w:val="single" w:sz="2" w:space="0" w:color="000000" w:themeColor="text1"/>
              <w:left w:val="nil"/>
              <w:right w:val="nil"/>
            </w:tcBorders>
            <w:shd w:val="clear" w:color="000000" w:fill="FFFFFF"/>
            <w:noWrap/>
            <w:hideMark/>
          </w:tcPr>
          <w:p w14:paraId="228E2965"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2016</w:t>
            </w:r>
            <w:r w:rsidR="00F26A86">
              <w:rPr>
                <w:rFonts w:ascii="Arial" w:hAnsi="Arial" w:cs="Arial"/>
                <w:sz w:val="16"/>
                <w:szCs w:val="16"/>
              </w:rPr>
              <w:t>–</w:t>
            </w:r>
            <w:r w:rsidRPr="00A521D5">
              <w:rPr>
                <w:rFonts w:ascii="Arial" w:hAnsi="Arial" w:cs="Arial"/>
                <w:sz w:val="16"/>
                <w:szCs w:val="16"/>
              </w:rPr>
              <w:t>17</w:t>
            </w:r>
          </w:p>
        </w:tc>
        <w:tc>
          <w:tcPr>
            <w:tcW w:w="981" w:type="dxa"/>
            <w:tcBorders>
              <w:top w:val="single" w:sz="2" w:space="0" w:color="000000" w:themeColor="text1"/>
              <w:left w:val="nil"/>
              <w:right w:val="nil"/>
            </w:tcBorders>
            <w:shd w:val="clear" w:color="000000" w:fill="FFFFFF"/>
            <w:noWrap/>
            <w:hideMark/>
          </w:tcPr>
          <w:p w14:paraId="42D6CAFA"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2017</w:t>
            </w:r>
            <w:r w:rsidR="00F26A86">
              <w:rPr>
                <w:rFonts w:ascii="Arial" w:hAnsi="Arial" w:cs="Arial"/>
                <w:sz w:val="16"/>
                <w:szCs w:val="16"/>
              </w:rPr>
              <w:t>–</w:t>
            </w:r>
            <w:r w:rsidRPr="00A521D5">
              <w:rPr>
                <w:rFonts w:ascii="Arial" w:hAnsi="Arial" w:cs="Arial"/>
                <w:sz w:val="16"/>
                <w:szCs w:val="16"/>
              </w:rPr>
              <w:t>18</w:t>
            </w:r>
          </w:p>
        </w:tc>
        <w:tc>
          <w:tcPr>
            <w:tcW w:w="981" w:type="dxa"/>
            <w:tcBorders>
              <w:top w:val="single" w:sz="2" w:space="0" w:color="000000" w:themeColor="text1"/>
              <w:left w:val="nil"/>
              <w:right w:val="nil"/>
            </w:tcBorders>
            <w:shd w:val="clear" w:color="000000" w:fill="FFFFFF"/>
            <w:noWrap/>
            <w:hideMark/>
          </w:tcPr>
          <w:p w14:paraId="4535B701"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2018</w:t>
            </w:r>
            <w:r w:rsidR="00F26A86">
              <w:rPr>
                <w:rFonts w:ascii="Arial" w:hAnsi="Arial" w:cs="Arial"/>
                <w:sz w:val="16"/>
                <w:szCs w:val="16"/>
              </w:rPr>
              <w:t>–</w:t>
            </w:r>
            <w:r w:rsidRPr="00A521D5">
              <w:rPr>
                <w:rFonts w:ascii="Arial" w:hAnsi="Arial" w:cs="Arial"/>
                <w:sz w:val="16"/>
                <w:szCs w:val="16"/>
              </w:rPr>
              <w:t>19</w:t>
            </w:r>
          </w:p>
        </w:tc>
        <w:tc>
          <w:tcPr>
            <w:tcW w:w="1001" w:type="dxa"/>
            <w:tcBorders>
              <w:top w:val="single" w:sz="2" w:space="0" w:color="000000" w:themeColor="text1"/>
              <w:left w:val="nil"/>
              <w:right w:val="nil"/>
            </w:tcBorders>
            <w:shd w:val="clear" w:color="000000" w:fill="F2F2F2"/>
            <w:noWrap/>
            <w:hideMark/>
          </w:tcPr>
          <w:p w14:paraId="38BA8791"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2019</w:t>
            </w:r>
            <w:r w:rsidR="00F26A86">
              <w:rPr>
                <w:rFonts w:ascii="Arial" w:hAnsi="Arial" w:cs="Arial"/>
                <w:sz w:val="16"/>
                <w:szCs w:val="16"/>
              </w:rPr>
              <w:t>–</w:t>
            </w:r>
            <w:r w:rsidRPr="00A521D5">
              <w:rPr>
                <w:rFonts w:ascii="Arial" w:hAnsi="Arial" w:cs="Arial"/>
                <w:sz w:val="16"/>
                <w:szCs w:val="16"/>
              </w:rPr>
              <w:t>20</w:t>
            </w:r>
          </w:p>
        </w:tc>
      </w:tr>
      <w:tr w:rsidR="00F16FDC" w:rsidRPr="00A521D5" w14:paraId="5C5BC922" w14:textId="77777777" w:rsidTr="00291872">
        <w:trPr>
          <w:trHeight w:val="225"/>
        </w:trPr>
        <w:tc>
          <w:tcPr>
            <w:tcW w:w="3766" w:type="dxa"/>
            <w:tcBorders>
              <w:top w:val="nil"/>
              <w:left w:val="nil"/>
              <w:bottom w:val="single" w:sz="2" w:space="0" w:color="000000" w:themeColor="text1"/>
              <w:right w:val="nil"/>
            </w:tcBorders>
            <w:shd w:val="clear" w:color="000000" w:fill="FFFFFF"/>
            <w:hideMark/>
          </w:tcPr>
          <w:p w14:paraId="1062ECAA" w14:textId="77777777" w:rsidR="00F16FDC" w:rsidRPr="00A521D5" w:rsidRDefault="00F16FDC" w:rsidP="00871D50">
            <w:pPr>
              <w:keepNext/>
              <w:keepLines/>
              <w:spacing w:after="0" w:line="240" w:lineRule="auto"/>
              <w:jc w:val="left"/>
              <w:rPr>
                <w:rFonts w:ascii="Arial" w:hAnsi="Arial" w:cs="Arial"/>
                <w:color w:val="auto"/>
                <w:sz w:val="16"/>
                <w:szCs w:val="16"/>
              </w:rPr>
            </w:pPr>
            <w:r w:rsidRPr="00A521D5">
              <w:rPr>
                <w:rFonts w:ascii="Arial" w:hAnsi="Arial" w:cs="Arial"/>
                <w:sz w:val="16"/>
                <w:szCs w:val="16"/>
              </w:rPr>
              <w:t>Industry</w:t>
            </w:r>
          </w:p>
        </w:tc>
        <w:tc>
          <w:tcPr>
            <w:tcW w:w="981" w:type="dxa"/>
            <w:tcBorders>
              <w:left w:val="nil"/>
              <w:bottom w:val="single" w:sz="2" w:space="0" w:color="000000" w:themeColor="text1"/>
              <w:right w:val="nil"/>
            </w:tcBorders>
            <w:shd w:val="clear" w:color="000000" w:fill="FFFFFF"/>
            <w:hideMark/>
          </w:tcPr>
          <w:p w14:paraId="3E1DF513"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No.</w:t>
            </w:r>
          </w:p>
        </w:tc>
        <w:tc>
          <w:tcPr>
            <w:tcW w:w="981" w:type="dxa"/>
            <w:tcBorders>
              <w:left w:val="nil"/>
              <w:bottom w:val="single" w:sz="2" w:space="0" w:color="000000" w:themeColor="text1"/>
              <w:right w:val="nil"/>
            </w:tcBorders>
            <w:shd w:val="clear" w:color="000000" w:fill="FFFFFF"/>
            <w:hideMark/>
          </w:tcPr>
          <w:p w14:paraId="1E4FA00A"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No.</w:t>
            </w:r>
          </w:p>
        </w:tc>
        <w:tc>
          <w:tcPr>
            <w:tcW w:w="981" w:type="dxa"/>
            <w:tcBorders>
              <w:left w:val="nil"/>
              <w:bottom w:val="single" w:sz="2" w:space="0" w:color="000000" w:themeColor="text1"/>
              <w:right w:val="nil"/>
            </w:tcBorders>
            <w:shd w:val="clear" w:color="000000" w:fill="FFFFFF"/>
            <w:hideMark/>
          </w:tcPr>
          <w:p w14:paraId="6FBB53B5"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No.</w:t>
            </w:r>
          </w:p>
        </w:tc>
        <w:tc>
          <w:tcPr>
            <w:tcW w:w="1001" w:type="dxa"/>
            <w:tcBorders>
              <w:left w:val="nil"/>
              <w:bottom w:val="single" w:sz="2" w:space="0" w:color="000000" w:themeColor="text1"/>
              <w:right w:val="nil"/>
            </w:tcBorders>
            <w:shd w:val="clear" w:color="000000" w:fill="F2F2F2"/>
            <w:hideMark/>
          </w:tcPr>
          <w:p w14:paraId="008729D0"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No.</w:t>
            </w:r>
          </w:p>
        </w:tc>
      </w:tr>
      <w:tr w:rsidR="00F16FDC" w:rsidRPr="00A521D5" w14:paraId="38E70F2F" w14:textId="77777777" w:rsidTr="00291872">
        <w:trPr>
          <w:trHeight w:val="225"/>
        </w:trPr>
        <w:tc>
          <w:tcPr>
            <w:tcW w:w="3766" w:type="dxa"/>
            <w:tcBorders>
              <w:top w:val="single" w:sz="2" w:space="0" w:color="000000" w:themeColor="text1"/>
              <w:left w:val="nil"/>
              <w:bottom w:val="nil"/>
              <w:right w:val="nil"/>
            </w:tcBorders>
            <w:shd w:val="clear" w:color="000000" w:fill="FFFFFF"/>
            <w:hideMark/>
          </w:tcPr>
          <w:p w14:paraId="483FFC83" w14:textId="77777777" w:rsidR="00F16FDC" w:rsidRPr="00A521D5" w:rsidRDefault="00F16FDC" w:rsidP="00871D50">
            <w:pPr>
              <w:keepNext/>
              <w:keepLines/>
              <w:spacing w:after="0" w:line="240" w:lineRule="auto"/>
              <w:jc w:val="left"/>
              <w:rPr>
                <w:rFonts w:ascii="Arial" w:hAnsi="Arial" w:cs="Arial"/>
                <w:color w:val="auto"/>
                <w:sz w:val="16"/>
                <w:szCs w:val="16"/>
              </w:rPr>
            </w:pPr>
            <w:r w:rsidRPr="00A521D5">
              <w:rPr>
                <w:rFonts w:ascii="Arial" w:hAnsi="Arial" w:cs="Arial"/>
                <w:sz w:val="16"/>
                <w:szCs w:val="16"/>
              </w:rPr>
              <w:t>Agriculture, forestry &amp; fishing</w:t>
            </w:r>
          </w:p>
        </w:tc>
        <w:tc>
          <w:tcPr>
            <w:tcW w:w="981" w:type="dxa"/>
            <w:tcBorders>
              <w:top w:val="single" w:sz="2" w:space="0" w:color="000000" w:themeColor="text1"/>
              <w:left w:val="nil"/>
              <w:bottom w:val="nil"/>
              <w:right w:val="nil"/>
            </w:tcBorders>
            <w:shd w:val="clear" w:color="000000" w:fill="FFFFFF"/>
            <w:hideMark/>
          </w:tcPr>
          <w:p w14:paraId="59C706C1"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0</w:t>
            </w:r>
          </w:p>
        </w:tc>
        <w:tc>
          <w:tcPr>
            <w:tcW w:w="981" w:type="dxa"/>
            <w:tcBorders>
              <w:top w:val="single" w:sz="2" w:space="0" w:color="000000" w:themeColor="text1"/>
              <w:left w:val="nil"/>
              <w:bottom w:val="nil"/>
              <w:right w:val="nil"/>
            </w:tcBorders>
            <w:shd w:val="clear" w:color="000000" w:fill="FFFFFF"/>
            <w:hideMark/>
          </w:tcPr>
          <w:p w14:paraId="435AF9CC"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0</w:t>
            </w:r>
          </w:p>
        </w:tc>
        <w:tc>
          <w:tcPr>
            <w:tcW w:w="981" w:type="dxa"/>
            <w:tcBorders>
              <w:top w:val="single" w:sz="2" w:space="0" w:color="000000" w:themeColor="text1"/>
              <w:left w:val="nil"/>
              <w:bottom w:val="nil"/>
              <w:right w:val="nil"/>
            </w:tcBorders>
            <w:shd w:val="clear" w:color="000000" w:fill="FFFFFF"/>
            <w:hideMark/>
          </w:tcPr>
          <w:p w14:paraId="142DDF3A"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1</w:t>
            </w:r>
          </w:p>
        </w:tc>
        <w:tc>
          <w:tcPr>
            <w:tcW w:w="1001" w:type="dxa"/>
            <w:tcBorders>
              <w:top w:val="single" w:sz="2" w:space="0" w:color="000000" w:themeColor="text1"/>
              <w:left w:val="nil"/>
              <w:bottom w:val="nil"/>
              <w:right w:val="nil"/>
            </w:tcBorders>
            <w:shd w:val="clear" w:color="000000" w:fill="F2F2F2"/>
            <w:noWrap/>
            <w:hideMark/>
          </w:tcPr>
          <w:p w14:paraId="3ED97EED"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1</w:t>
            </w:r>
          </w:p>
        </w:tc>
      </w:tr>
      <w:tr w:rsidR="00F16FDC" w:rsidRPr="00A521D5" w14:paraId="45D49FE6" w14:textId="77777777" w:rsidTr="00291872">
        <w:trPr>
          <w:trHeight w:val="225"/>
        </w:trPr>
        <w:tc>
          <w:tcPr>
            <w:tcW w:w="3766" w:type="dxa"/>
            <w:tcBorders>
              <w:top w:val="nil"/>
              <w:left w:val="nil"/>
              <w:bottom w:val="nil"/>
              <w:right w:val="nil"/>
            </w:tcBorders>
            <w:shd w:val="clear" w:color="000000" w:fill="FFFFFF"/>
            <w:noWrap/>
            <w:hideMark/>
          </w:tcPr>
          <w:p w14:paraId="133E43B0" w14:textId="77777777" w:rsidR="00F16FDC" w:rsidRPr="00A521D5" w:rsidRDefault="00F16FDC" w:rsidP="00871D50">
            <w:pPr>
              <w:keepNext/>
              <w:keepLines/>
              <w:spacing w:after="0" w:line="240" w:lineRule="auto"/>
              <w:jc w:val="left"/>
              <w:rPr>
                <w:rFonts w:ascii="Arial" w:hAnsi="Arial" w:cs="Arial"/>
                <w:color w:val="auto"/>
                <w:sz w:val="16"/>
                <w:szCs w:val="16"/>
              </w:rPr>
            </w:pPr>
            <w:r w:rsidRPr="00A521D5">
              <w:rPr>
                <w:rFonts w:ascii="Arial" w:hAnsi="Arial" w:cs="Arial"/>
                <w:sz w:val="16"/>
                <w:szCs w:val="16"/>
              </w:rPr>
              <w:t>Finance &amp; insurance</w:t>
            </w:r>
          </w:p>
        </w:tc>
        <w:tc>
          <w:tcPr>
            <w:tcW w:w="981" w:type="dxa"/>
            <w:tcBorders>
              <w:top w:val="nil"/>
              <w:left w:val="nil"/>
              <w:bottom w:val="nil"/>
              <w:right w:val="nil"/>
            </w:tcBorders>
            <w:shd w:val="clear" w:color="000000" w:fill="FFFFFF"/>
            <w:noWrap/>
            <w:hideMark/>
          </w:tcPr>
          <w:p w14:paraId="56B76099"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2</w:t>
            </w:r>
          </w:p>
        </w:tc>
        <w:tc>
          <w:tcPr>
            <w:tcW w:w="981" w:type="dxa"/>
            <w:tcBorders>
              <w:top w:val="nil"/>
              <w:left w:val="nil"/>
              <w:bottom w:val="nil"/>
              <w:right w:val="nil"/>
            </w:tcBorders>
            <w:shd w:val="clear" w:color="000000" w:fill="FFFFFF"/>
            <w:noWrap/>
            <w:hideMark/>
          </w:tcPr>
          <w:p w14:paraId="5401A71F"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5</w:t>
            </w:r>
          </w:p>
        </w:tc>
        <w:tc>
          <w:tcPr>
            <w:tcW w:w="981" w:type="dxa"/>
            <w:tcBorders>
              <w:top w:val="nil"/>
              <w:left w:val="nil"/>
              <w:bottom w:val="nil"/>
              <w:right w:val="nil"/>
            </w:tcBorders>
            <w:shd w:val="clear" w:color="000000" w:fill="FFFFFF"/>
            <w:noWrap/>
            <w:hideMark/>
          </w:tcPr>
          <w:p w14:paraId="5E752C6C"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7</w:t>
            </w:r>
          </w:p>
        </w:tc>
        <w:tc>
          <w:tcPr>
            <w:tcW w:w="1001" w:type="dxa"/>
            <w:tcBorders>
              <w:top w:val="nil"/>
              <w:left w:val="nil"/>
              <w:bottom w:val="nil"/>
              <w:right w:val="nil"/>
            </w:tcBorders>
            <w:shd w:val="clear" w:color="000000" w:fill="F2F2F2"/>
            <w:noWrap/>
            <w:hideMark/>
          </w:tcPr>
          <w:p w14:paraId="5036151B"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4</w:t>
            </w:r>
          </w:p>
        </w:tc>
      </w:tr>
      <w:tr w:rsidR="00F16FDC" w:rsidRPr="00A521D5" w14:paraId="5BD06C66" w14:textId="77777777" w:rsidTr="00291872">
        <w:trPr>
          <w:trHeight w:val="225"/>
        </w:trPr>
        <w:tc>
          <w:tcPr>
            <w:tcW w:w="3766" w:type="dxa"/>
            <w:tcBorders>
              <w:top w:val="nil"/>
              <w:left w:val="nil"/>
              <w:bottom w:val="nil"/>
              <w:right w:val="nil"/>
            </w:tcBorders>
            <w:shd w:val="clear" w:color="000000" w:fill="FFFFFF"/>
            <w:hideMark/>
          </w:tcPr>
          <w:p w14:paraId="09071466" w14:textId="77777777" w:rsidR="00F16FDC" w:rsidRPr="00A521D5" w:rsidRDefault="00F16FDC" w:rsidP="00871D50">
            <w:pPr>
              <w:keepNext/>
              <w:keepLines/>
              <w:spacing w:after="0" w:line="240" w:lineRule="auto"/>
              <w:jc w:val="left"/>
              <w:rPr>
                <w:rFonts w:ascii="Arial" w:hAnsi="Arial" w:cs="Arial"/>
                <w:color w:val="auto"/>
                <w:sz w:val="16"/>
                <w:szCs w:val="16"/>
              </w:rPr>
            </w:pPr>
            <w:r w:rsidRPr="00A521D5">
              <w:rPr>
                <w:rFonts w:ascii="Arial" w:hAnsi="Arial" w:cs="Arial"/>
                <w:sz w:val="16"/>
                <w:szCs w:val="16"/>
              </w:rPr>
              <w:t>Manufacturing, electricity &amp; gas</w:t>
            </w:r>
          </w:p>
        </w:tc>
        <w:tc>
          <w:tcPr>
            <w:tcW w:w="981" w:type="dxa"/>
            <w:tcBorders>
              <w:top w:val="nil"/>
              <w:left w:val="nil"/>
              <w:bottom w:val="nil"/>
              <w:right w:val="nil"/>
            </w:tcBorders>
            <w:shd w:val="clear" w:color="000000" w:fill="FFFFFF"/>
            <w:hideMark/>
          </w:tcPr>
          <w:p w14:paraId="6FA6385C"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0</w:t>
            </w:r>
          </w:p>
        </w:tc>
        <w:tc>
          <w:tcPr>
            <w:tcW w:w="981" w:type="dxa"/>
            <w:tcBorders>
              <w:top w:val="nil"/>
              <w:left w:val="nil"/>
              <w:bottom w:val="nil"/>
              <w:right w:val="nil"/>
            </w:tcBorders>
            <w:shd w:val="clear" w:color="000000" w:fill="FFFFFF"/>
            <w:hideMark/>
          </w:tcPr>
          <w:p w14:paraId="56CD212C"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3</w:t>
            </w:r>
          </w:p>
        </w:tc>
        <w:tc>
          <w:tcPr>
            <w:tcW w:w="981" w:type="dxa"/>
            <w:tcBorders>
              <w:top w:val="nil"/>
              <w:left w:val="nil"/>
              <w:bottom w:val="nil"/>
              <w:right w:val="nil"/>
            </w:tcBorders>
            <w:shd w:val="clear" w:color="000000" w:fill="FFFFFF"/>
            <w:hideMark/>
          </w:tcPr>
          <w:p w14:paraId="167E89A7"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2</w:t>
            </w:r>
          </w:p>
        </w:tc>
        <w:tc>
          <w:tcPr>
            <w:tcW w:w="1001" w:type="dxa"/>
            <w:tcBorders>
              <w:top w:val="nil"/>
              <w:left w:val="nil"/>
              <w:bottom w:val="nil"/>
              <w:right w:val="nil"/>
            </w:tcBorders>
            <w:shd w:val="clear" w:color="000000" w:fill="F2F2F2"/>
            <w:noWrap/>
            <w:hideMark/>
          </w:tcPr>
          <w:p w14:paraId="0F737807"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2</w:t>
            </w:r>
          </w:p>
        </w:tc>
      </w:tr>
      <w:tr w:rsidR="00F16FDC" w:rsidRPr="00A521D5" w14:paraId="6754DAE5" w14:textId="77777777" w:rsidTr="00291872">
        <w:trPr>
          <w:trHeight w:val="225"/>
        </w:trPr>
        <w:tc>
          <w:tcPr>
            <w:tcW w:w="3766" w:type="dxa"/>
            <w:tcBorders>
              <w:top w:val="nil"/>
              <w:left w:val="nil"/>
              <w:bottom w:val="nil"/>
              <w:right w:val="nil"/>
            </w:tcBorders>
            <w:shd w:val="clear" w:color="000000" w:fill="FFFFFF"/>
            <w:hideMark/>
          </w:tcPr>
          <w:p w14:paraId="65DB664F" w14:textId="77777777" w:rsidR="00F16FDC" w:rsidRPr="00A521D5" w:rsidRDefault="00F16FDC" w:rsidP="00871D50">
            <w:pPr>
              <w:keepNext/>
              <w:keepLines/>
              <w:spacing w:after="0" w:line="240" w:lineRule="auto"/>
              <w:jc w:val="left"/>
              <w:rPr>
                <w:rFonts w:ascii="Arial" w:hAnsi="Arial" w:cs="Arial"/>
                <w:color w:val="auto"/>
                <w:sz w:val="16"/>
                <w:szCs w:val="16"/>
              </w:rPr>
            </w:pPr>
            <w:r w:rsidRPr="00A521D5">
              <w:rPr>
                <w:rFonts w:ascii="Arial" w:hAnsi="Arial" w:cs="Arial"/>
                <w:sz w:val="16"/>
                <w:szCs w:val="16"/>
              </w:rPr>
              <w:t>Mineral exploration &amp; development</w:t>
            </w:r>
          </w:p>
        </w:tc>
        <w:tc>
          <w:tcPr>
            <w:tcW w:w="981" w:type="dxa"/>
            <w:tcBorders>
              <w:top w:val="nil"/>
              <w:left w:val="nil"/>
              <w:bottom w:val="nil"/>
              <w:right w:val="nil"/>
            </w:tcBorders>
            <w:shd w:val="clear" w:color="000000" w:fill="FFFFFF"/>
            <w:hideMark/>
          </w:tcPr>
          <w:p w14:paraId="2CF0DC10"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1</w:t>
            </w:r>
          </w:p>
        </w:tc>
        <w:tc>
          <w:tcPr>
            <w:tcW w:w="981" w:type="dxa"/>
            <w:tcBorders>
              <w:top w:val="nil"/>
              <w:left w:val="nil"/>
              <w:bottom w:val="nil"/>
              <w:right w:val="nil"/>
            </w:tcBorders>
            <w:shd w:val="clear" w:color="000000" w:fill="FFFFFF"/>
            <w:hideMark/>
          </w:tcPr>
          <w:p w14:paraId="2F3712DA"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1</w:t>
            </w:r>
          </w:p>
        </w:tc>
        <w:tc>
          <w:tcPr>
            <w:tcW w:w="981" w:type="dxa"/>
            <w:tcBorders>
              <w:top w:val="nil"/>
              <w:left w:val="nil"/>
              <w:bottom w:val="nil"/>
              <w:right w:val="nil"/>
            </w:tcBorders>
            <w:shd w:val="clear" w:color="000000" w:fill="FFFFFF"/>
            <w:hideMark/>
          </w:tcPr>
          <w:p w14:paraId="6EDB0225"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0</w:t>
            </w:r>
          </w:p>
        </w:tc>
        <w:tc>
          <w:tcPr>
            <w:tcW w:w="1001" w:type="dxa"/>
            <w:tcBorders>
              <w:top w:val="nil"/>
              <w:left w:val="nil"/>
              <w:bottom w:val="nil"/>
              <w:right w:val="nil"/>
            </w:tcBorders>
            <w:shd w:val="clear" w:color="000000" w:fill="F2F2F2"/>
            <w:noWrap/>
            <w:hideMark/>
          </w:tcPr>
          <w:p w14:paraId="62EE342F"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0</w:t>
            </w:r>
          </w:p>
        </w:tc>
      </w:tr>
      <w:tr w:rsidR="00F16FDC" w:rsidRPr="00A521D5" w14:paraId="635EEC2A" w14:textId="77777777" w:rsidTr="00291872">
        <w:trPr>
          <w:trHeight w:val="225"/>
        </w:trPr>
        <w:tc>
          <w:tcPr>
            <w:tcW w:w="3766" w:type="dxa"/>
            <w:tcBorders>
              <w:top w:val="nil"/>
              <w:left w:val="nil"/>
              <w:right w:val="nil"/>
            </w:tcBorders>
            <w:shd w:val="clear" w:color="000000" w:fill="FFFFFF"/>
            <w:noWrap/>
            <w:hideMark/>
          </w:tcPr>
          <w:p w14:paraId="3D5E6BA4" w14:textId="77777777" w:rsidR="00F16FDC" w:rsidRPr="00A521D5" w:rsidRDefault="00F16FDC" w:rsidP="00871D50">
            <w:pPr>
              <w:keepNext/>
              <w:keepLines/>
              <w:spacing w:after="0" w:line="240" w:lineRule="auto"/>
              <w:jc w:val="left"/>
              <w:rPr>
                <w:rFonts w:ascii="Arial" w:hAnsi="Arial" w:cs="Arial"/>
                <w:color w:val="auto"/>
                <w:sz w:val="16"/>
                <w:szCs w:val="16"/>
              </w:rPr>
            </w:pPr>
            <w:r w:rsidRPr="00A521D5">
              <w:rPr>
                <w:rFonts w:ascii="Arial" w:hAnsi="Arial" w:cs="Arial"/>
                <w:sz w:val="16"/>
                <w:szCs w:val="16"/>
              </w:rPr>
              <w:t>Services</w:t>
            </w:r>
          </w:p>
        </w:tc>
        <w:tc>
          <w:tcPr>
            <w:tcW w:w="981" w:type="dxa"/>
            <w:tcBorders>
              <w:top w:val="nil"/>
              <w:left w:val="nil"/>
              <w:bottom w:val="single" w:sz="2" w:space="0" w:color="000000" w:themeColor="text1"/>
              <w:right w:val="nil"/>
            </w:tcBorders>
            <w:shd w:val="clear" w:color="000000" w:fill="FFFFFF"/>
            <w:noWrap/>
            <w:hideMark/>
          </w:tcPr>
          <w:p w14:paraId="6A54545B"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4</w:t>
            </w:r>
          </w:p>
        </w:tc>
        <w:tc>
          <w:tcPr>
            <w:tcW w:w="981" w:type="dxa"/>
            <w:tcBorders>
              <w:top w:val="nil"/>
              <w:left w:val="nil"/>
              <w:bottom w:val="single" w:sz="2" w:space="0" w:color="000000" w:themeColor="text1"/>
              <w:right w:val="nil"/>
            </w:tcBorders>
            <w:shd w:val="clear" w:color="000000" w:fill="FFFFFF"/>
            <w:noWrap/>
            <w:hideMark/>
          </w:tcPr>
          <w:p w14:paraId="403528D6"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11</w:t>
            </w:r>
          </w:p>
        </w:tc>
        <w:tc>
          <w:tcPr>
            <w:tcW w:w="981" w:type="dxa"/>
            <w:tcBorders>
              <w:top w:val="nil"/>
              <w:left w:val="nil"/>
              <w:bottom w:val="single" w:sz="2" w:space="0" w:color="000000" w:themeColor="text1"/>
              <w:right w:val="nil"/>
            </w:tcBorders>
            <w:shd w:val="clear" w:color="000000" w:fill="FFFFFF"/>
            <w:noWrap/>
            <w:hideMark/>
          </w:tcPr>
          <w:p w14:paraId="526C644C"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12</w:t>
            </w:r>
          </w:p>
        </w:tc>
        <w:tc>
          <w:tcPr>
            <w:tcW w:w="1001" w:type="dxa"/>
            <w:tcBorders>
              <w:top w:val="nil"/>
              <w:left w:val="nil"/>
              <w:bottom w:val="single" w:sz="2" w:space="0" w:color="000000" w:themeColor="text1"/>
              <w:right w:val="nil"/>
            </w:tcBorders>
            <w:shd w:val="clear" w:color="000000" w:fill="F2F2F2"/>
            <w:noWrap/>
            <w:hideMark/>
          </w:tcPr>
          <w:p w14:paraId="2350872F" w14:textId="77777777" w:rsidR="00F16FDC" w:rsidRPr="00A521D5" w:rsidRDefault="00F16FDC" w:rsidP="00871D50">
            <w:pPr>
              <w:keepNext/>
              <w:keepLines/>
              <w:spacing w:after="0" w:line="240" w:lineRule="auto"/>
              <w:jc w:val="right"/>
              <w:rPr>
                <w:rFonts w:ascii="Arial" w:hAnsi="Arial" w:cs="Arial"/>
                <w:color w:val="auto"/>
                <w:sz w:val="16"/>
                <w:szCs w:val="16"/>
              </w:rPr>
            </w:pPr>
            <w:r w:rsidRPr="00A521D5">
              <w:rPr>
                <w:rFonts w:ascii="Arial" w:hAnsi="Arial" w:cs="Arial"/>
                <w:sz w:val="16"/>
                <w:szCs w:val="16"/>
              </w:rPr>
              <w:t>4</w:t>
            </w:r>
          </w:p>
        </w:tc>
      </w:tr>
      <w:tr w:rsidR="00F16FDC" w:rsidRPr="00A521D5" w14:paraId="7217E227" w14:textId="77777777" w:rsidTr="00291872">
        <w:trPr>
          <w:trHeight w:val="225"/>
        </w:trPr>
        <w:tc>
          <w:tcPr>
            <w:tcW w:w="3766" w:type="dxa"/>
            <w:tcBorders>
              <w:left w:val="nil"/>
              <w:bottom w:val="single" w:sz="2" w:space="0" w:color="000000" w:themeColor="text1"/>
              <w:right w:val="nil"/>
            </w:tcBorders>
            <w:shd w:val="clear" w:color="000000" w:fill="FFFFFF"/>
            <w:noWrap/>
            <w:hideMark/>
          </w:tcPr>
          <w:p w14:paraId="4B96FC25" w14:textId="77777777" w:rsidR="00F16FDC" w:rsidRPr="00A521D5" w:rsidRDefault="00F16FDC" w:rsidP="00871D50">
            <w:pPr>
              <w:keepNext/>
              <w:keepLines/>
              <w:spacing w:after="0" w:line="240" w:lineRule="auto"/>
              <w:jc w:val="left"/>
              <w:rPr>
                <w:rFonts w:ascii="Arial" w:hAnsi="Arial" w:cs="Arial"/>
                <w:b/>
                <w:bCs/>
                <w:color w:val="auto"/>
                <w:sz w:val="16"/>
                <w:szCs w:val="16"/>
              </w:rPr>
            </w:pPr>
            <w:r w:rsidRPr="00A521D5">
              <w:rPr>
                <w:rFonts w:ascii="Arial" w:hAnsi="Arial" w:cs="Arial"/>
                <w:b/>
                <w:sz w:val="16"/>
                <w:szCs w:val="16"/>
              </w:rPr>
              <w:t>Total</w:t>
            </w:r>
          </w:p>
        </w:tc>
        <w:tc>
          <w:tcPr>
            <w:tcW w:w="981" w:type="dxa"/>
            <w:tcBorders>
              <w:top w:val="single" w:sz="2" w:space="0" w:color="000000" w:themeColor="text1"/>
              <w:left w:val="nil"/>
              <w:bottom w:val="single" w:sz="2" w:space="0" w:color="000000" w:themeColor="text1"/>
              <w:right w:val="nil"/>
            </w:tcBorders>
            <w:shd w:val="clear" w:color="000000" w:fill="FFFFFF"/>
            <w:noWrap/>
            <w:hideMark/>
          </w:tcPr>
          <w:p w14:paraId="7A53FF10" w14:textId="77777777" w:rsidR="00F16FDC" w:rsidRPr="00A521D5" w:rsidRDefault="00F16FDC" w:rsidP="00871D50">
            <w:pPr>
              <w:keepNext/>
              <w:keepLines/>
              <w:spacing w:after="0" w:line="240" w:lineRule="auto"/>
              <w:jc w:val="right"/>
              <w:rPr>
                <w:rFonts w:ascii="Arial" w:hAnsi="Arial" w:cs="Arial"/>
                <w:b/>
                <w:bCs/>
                <w:color w:val="auto"/>
                <w:sz w:val="16"/>
                <w:szCs w:val="16"/>
              </w:rPr>
            </w:pPr>
            <w:r w:rsidRPr="00A521D5">
              <w:rPr>
                <w:rFonts w:ascii="Arial" w:hAnsi="Arial" w:cs="Arial"/>
                <w:b/>
                <w:sz w:val="16"/>
                <w:szCs w:val="16"/>
              </w:rPr>
              <w:t>7</w:t>
            </w:r>
          </w:p>
        </w:tc>
        <w:tc>
          <w:tcPr>
            <w:tcW w:w="981" w:type="dxa"/>
            <w:tcBorders>
              <w:top w:val="single" w:sz="2" w:space="0" w:color="000000" w:themeColor="text1"/>
              <w:left w:val="nil"/>
              <w:bottom w:val="single" w:sz="2" w:space="0" w:color="000000" w:themeColor="text1"/>
              <w:right w:val="nil"/>
            </w:tcBorders>
            <w:shd w:val="clear" w:color="000000" w:fill="FFFFFF"/>
            <w:noWrap/>
            <w:hideMark/>
          </w:tcPr>
          <w:p w14:paraId="036D1109" w14:textId="77777777" w:rsidR="00F16FDC" w:rsidRPr="00A521D5" w:rsidRDefault="00F16FDC" w:rsidP="00871D50">
            <w:pPr>
              <w:keepNext/>
              <w:keepLines/>
              <w:spacing w:after="0" w:line="240" w:lineRule="auto"/>
              <w:jc w:val="right"/>
              <w:rPr>
                <w:rFonts w:ascii="Arial" w:hAnsi="Arial" w:cs="Arial"/>
                <w:b/>
                <w:bCs/>
                <w:color w:val="auto"/>
                <w:sz w:val="16"/>
                <w:szCs w:val="16"/>
              </w:rPr>
            </w:pPr>
            <w:r w:rsidRPr="00A521D5">
              <w:rPr>
                <w:rFonts w:ascii="Arial" w:hAnsi="Arial" w:cs="Arial"/>
                <w:b/>
                <w:sz w:val="16"/>
                <w:szCs w:val="16"/>
              </w:rPr>
              <w:t>20</w:t>
            </w:r>
          </w:p>
        </w:tc>
        <w:tc>
          <w:tcPr>
            <w:tcW w:w="981" w:type="dxa"/>
            <w:tcBorders>
              <w:top w:val="single" w:sz="2" w:space="0" w:color="000000" w:themeColor="text1"/>
              <w:left w:val="nil"/>
              <w:bottom w:val="single" w:sz="2" w:space="0" w:color="000000" w:themeColor="text1"/>
              <w:right w:val="nil"/>
            </w:tcBorders>
            <w:shd w:val="clear" w:color="000000" w:fill="FFFFFF"/>
            <w:noWrap/>
            <w:hideMark/>
          </w:tcPr>
          <w:p w14:paraId="0A334271" w14:textId="77777777" w:rsidR="00F16FDC" w:rsidRPr="00A521D5" w:rsidRDefault="00F16FDC" w:rsidP="00871D50">
            <w:pPr>
              <w:keepNext/>
              <w:keepLines/>
              <w:spacing w:after="0" w:line="240" w:lineRule="auto"/>
              <w:jc w:val="right"/>
              <w:rPr>
                <w:rFonts w:ascii="Arial" w:hAnsi="Arial" w:cs="Arial"/>
                <w:b/>
                <w:bCs/>
                <w:color w:val="auto"/>
                <w:sz w:val="16"/>
                <w:szCs w:val="16"/>
              </w:rPr>
            </w:pPr>
            <w:r w:rsidRPr="00A521D5">
              <w:rPr>
                <w:rFonts w:ascii="Arial" w:hAnsi="Arial" w:cs="Arial"/>
                <w:b/>
                <w:sz w:val="16"/>
                <w:szCs w:val="16"/>
              </w:rPr>
              <w:t>22</w:t>
            </w:r>
          </w:p>
        </w:tc>
        <w:tc>
          <w:tcPr>
            <w:tcW w:w="1001" w:type="dxa"/>
            <w:tcBorders>
              <w:top w:val="single" w:sz="2" w:space="0" w:color="000000" w:themeColor="text1"/>
              <w:left w:val="nil"/>
              <w:bottom w:val="single" w:sz="2" w:space="0" w:color="000000" w:themeColor="text1"/>
              <w:right w:val="nil"/>
            </w:tcBorders>
            <w:shd w:val="clear" w:color="000000" w:fill="F2F2F2"/>
            <w:noWrap/>
            <w:hideMark/>
          </w:tcPr>
          <w:p w14:paraId="6B88970E" w14:textId="77777777" w:rsidR="00F16FDC" w:rsidRPr="00A521D5" w:rsidRDefault="00F16FDC" w:rsidP="00871D50">
            <w:pPr>
              <w:keepNext/>
              <w:keepLines/>
              <w:spacing w:after="0" w:line="240" w:lineRule="auto"/>
              <w:jc w:val="right"/>
              <w:rPr>
                <w:rFonts w:ascii="Arial" w:hAnsi="Arial" w:cs="Arial"/>
                <w:b/>
                <w:bCs/>
                <w:color w:val="auto"/>
                <w:sz w:val="16"/>
                <w:szCs w:val="16"/>
              </w:rPr>
            </w:pPr>
            <w:r w:rsidRPr="00A521D5">
              <w:rPr>
                <w:rFonts w:ascii="Arial" w:hAnsi="Arial" w:cs="Arial"/>
                <w:b/>
                <w:sz w:val="16"/>
                <w:szCs w:val="16"/>
              </w:rPr>
              <w:t>11</w:t>
            </w:r>
          </w:p>
        </w:tc>
      </w:tr>
    </w:tbl>
    <w:p w14:paraId="194BEBEE" w14:textId="77777777" w:rsidR="00E458B4" w:rsidRDefault="00E458B4" w:rsidP="00E458B4">
      <w:pPr>
        <w:pStyle w:val="ChartorTableNote"/>
      </w:pPr>
      <w:r w:rsidRPr="00BF48CD">
        <w:t xml:space="preserve">Before republishing this data or comparing between years, thoroughly review the methodological and data caveats in Appendix B. </w:t>
      </w:r>
    </w:p>
    <w:p w14:paraId="10A6C362" w14:textId="77777777" w:rsidR="007117B6" w:rsidRPr="007117B6" w:rsidRDefault="007117B6" w:rsidP="00034B5E">
      <w:pPr>
        <w:pStyle w:val="SingleParagraph"/>
      </w:pPr>
      <w:bookmarkStart w:id="149" w:name="_Toc31296906"/>
      <w:bookmarkStart w:id="150" w:name="_Toc31636024"/>
      <w:bookmarkStart w:id="151" w:name="_Toc31642793"/>
      <w:bookmarkStart w:id="152" w:name="_Toc32247802"/>
      <w:bookmarkStart w:id="153" w:name="_Toc63782933"/>
    </w:p>
    <w:p w14:paraId="68A249BC" w14:textId="77777777" w:rsidR="00E458B4" w:rsidRPr="00820C89" w:rsidRDefault="00E458B4" w:rsidP="00E458B4">
      <w:pPr>
        <w:pStyle w:val="Heading2"/>
      </w:pPr>
      <w:bookmarkStart w:id="154" w:name="_Toc75244062"/>
      <w:r w:rsidRPr="00820C89">
        <w:t>Investor countries</w:t>
      </w:r>
      <w:bookmarkEnd w:id="149"/>
      <w:bookmarkEnd w:id="150"/>
      <w:bookmarkEnd w:id="151"/>
      <w:bookmarkEnd w:id="152"/>
      <w:bookmarkEnd w:id="153"/>
      <w:bookmarkEnd w:id="154"/>
    </w:p>
    <w:p w14:paraId="34F3A7E9" w14:textId="77777777" w:rsidR="00E458B4" w:rsidRPr="00820C89" w:rsidRDefault="00E458B4" w:rsidP="00E458B4">
      <w:pPr>
        <w:pStyle w:val="Heading3"/>
      </w:pPr>
      <w:r w:rsidRPr="00820C89">
        <w:t>Leading sources of proposed investment</w:t>
      </w:r>
    </w:p>
    <w:p w14:paraId="027D5DBB" w14:textId="77777777" w:rsidR="00E458B4" w:rsidRPr="002C48D7" w:rsidRDefault="00E458B4" w:rsidP="00E458B4">
      <w:pPr>
        <w:rPr>
          <w:color w:val="auto"/>
        </w:rPr>
      </w:pPr>
      <w:r w:rsidRPr="002C48D7">
        <w:rPr>
          <w:color w:val="auto"/>
        </w:rPr>
        <w:t>Table 3.1</w:t>
      </w:r>
      <w:r w:rsidR="00CF5163">
        <w:rPr>
          <w:color w:val="auto"/>
        </w:rPr>
        <w:t>7</w:t>
      </w:r>
      <w:r w:rsidRPr="002C48D7">
        <w:rPr>
          <w:color w:val="auto"/>
        </w:rPr>
        <w:t xml:space="preserve"> shows proposed investment approvals in 2019</w:t>
      </w:r>
      <w:r w:rsidR="00F26A86">
        <w:rPr>
          <w:color w:val="auto"/>
        </w:rPr>
        <w:t>–</w:t>
      </w:r>
      <w:r w:rsidRPr="002C48D7">
        <w:rPr>
          <w:color w:val="auto"/>
        </w:rPr>
        <w:t>20, disaggregated by industry sector, for the top</w:t>
      </w:r>
      <w:r w:rsidR="007117B6">
        <w:rPr>
          <w:color w:val="auto"/>
        </w:rPr>
        <w:t> </w:t>
      </w:r>
      <w:r w:rsidR="00A359D3">
        <w:rPr>
          <w:color w:val="auto"/>
        </w:rPr>
        <w:t>18</w:t>
      </w:r>
      <w:r w:rsidRPr="002C48D7">
        <w:rPr>
          <w:color w:val="auto"/>
        </w:rPr>
        <w:t xml:space="preserve"> countries by </w:t>
      </w:r>
      <w:r w:rsidR="00871D50">
        <w:rPr>
          <w:color w:val="auto"/>
        </w:rPr>
        <w:t xml:space="preserve">the value of </w:t>
      </w:r>
      <w:r w:rsidRPr="002C48D7">
        <w:rPr>
          <w:color w:val="auto"/>
        </w:rPr>
        <w:t>approvals. The United Stat</w:t>
      </w:r>
      <w:r>
        <w:rPr>
          <w:color w:val="auto"/>
        </w:rPr>
        <w:t>es and Japan</w:t>
      </w:r>
      <w:r w:rsidR="007117B6">
        <w:rPr>
          <w:color w:val="auto"/>
        </w:rPr>
        <w:t xml:space="preserve"> were the top </w:t>
      </w:r>
      <w:r w:rsidRPr="002C48D7">
        <w:rPr>
          <w:color w:val="auto"/>
        </w:rPr>
        <w:t>two</w:t>
      </w:r>
      <w:r w:rsidR="006C539E">
        <w:rPr>
          <w:color w:val="auto"/>
        </w:rPr>
        <w:t> </w:t>
      </w:r>
      <w:r w:rsidRPr="002C48D7">
        <w:rPr>
          <w:color w:val="auto"/>
        </w:rPr>
        <w:t>sources of propose</w:t>
      </w:r>
      <w:r>
        <w:rPr>
          <w:color w:val="auto"/>
        </w:rPr>
        <w:t>d investment by value. Singapore, Canada and United Kingdom</w:t>
      </w:r>
      <w:r w:rsidRPr="002C48D7">
        <w:rPr>
          <w:color w:val="auto"/>
        </w:rPr>
        <w:t xml:space="preserve"> were the third to fifth top investors by value.</w:t>
      </w:r>
    </w:p>
    <w:p w14:paraId="1E81785F" w14:textId="77777777" w:rsidR="00E458B4" w:rsidRDefault="00E458B4" w:rsidP="002035BE">
      <w:pPr>
        <w:rPr>
          <w:color w:val="auto"/>
        </w:rPr>
      </w:pPr>
      <w:r w:rsidRPr="002C48D7">
        <w:rPr>
          <w:rFonts w:ascii="Calibri" w:hAnsi="Calibri"/>
          <w:color w:val="auto"/>
        </w:rPr>
        <w:t xml:space="preserve">Key sectors for </w:t>
      </w:r>
      <w:r w:rsidR="00BE65F8">
        <w:rPr>
          <w:rFonts w:ascii="Calibri" w:hAnsi="Calibri"/>
          <w:color w:val="auto"/>
        </w:rPr>
        <w:t xml:space="preserve">the </w:t>
      </w:r>
      <w:r w:rsidRPr="002C48D7">
        <w:rPr>
          <w:rFonts w:ascii="Calibri" w:hAnsi="Calibri"/>
          <w:color w:val="auto"/>
        </w:rPr>
        <w:t xml:space="preserve">United States </w:t>
      </w:r>
      <w:r w:rsidR="00BE65F8">
        <w:rPr>
          <w:rFonts w:ascii="Calibri" w:hAnsi="Calibri"/>
          <w:color w:val="auto"/>
        </w:rPr>
        <w:t>in 2019</w:t>
      </w:r>
      <w:r w:rsidR="00F26A86">
        <w:rPr>
          <w:rFonts w:ascii="Calibri" w:hAnsi="Calibri"/>
          <w:color w:val="auto"/>
        </w:rPr>
        <w:t>–</w:t>
      </w:r>
      <w:r w:rsidR="00BE65F8">
        <w:rPr>
          <w:rFonts w:ascii="Calibri" w:hAnsi="Calibri"/>
          <w:color w:val="auto"/>
        </w:rPr>
        <w:t xml:space="preserve">20 </w:t>
      </w:r>
      <w:r w:rsidRPr="002C48D7">
        <w:rPr>
          <w:rFonts w:ascii="Calibri" w:hAnsi="Calibri"/>
          <w:color w:val="auto"/>
        </w:rPr>
        <w:t>included the finance and insurance sector (which increased in approvals value from $791.8</w:t>
      </w:r>
      <w:r w:rsidR="007117B6">
        <w:rPr>
          <w:rFonts w:ascii="Calibri" w:hAnsi="Calibri"/>
          <w:color w:val="auto"/>
        </w:rPr>
        <w:t> </w:t>
      </w:r>
      <w:r w:rsidRPr="002C48D7">
        <w:rPr>
          <w:rFonts w:ascii="Calibri" w:hAnsi="Calibri"/>
          <w:color w:val="auto"/>
        </w:rPr>
        <w:t>million in 2018</w:t>
      </w:r>
      <w:r w:rsidR="00F26A86">
        <w:rPr>
          <w:rFonts w:ascii="Calibri" w:hAnsi="Calibri"/>
          <w:color w:val="auto"/>
        </w:rPr>
        <w:t>–</w:t>
      </w:r>
      <w:r w:rsidRPr="002C48D7">
        <w:rPr>
          <w:rFonts w:ascii="Calibri" w:hAnsi="Calibri"/>
          <w:color w:val="auto"/>
        </w:rPr>
        <w:t>19 to $2.5</w:t>
      </w:r>
      <w:r w:rsidR="007117B6">
        <w:rPr>
          <w:rFonts w:ascii="Calibri" w:hAnsi="Calibri"/>
          <w:color w:val="auto"/>
        </w:rPr>
        <w:t> </w:t>
      </w:r>
      <w:r w:rsidRPr="002C48D7">
        <w:rPr>
          <w:rFonts w:ascii="Calibri" w:hAnsi="Calibri"/>
          <w:color w:val="auto"/>
        </w:rPr>
        <w:t>billion in 2019</w:t>
      </w:r>
      <w:r w:rsidR="00F26A86">
        <w:rPr>
          <w:rFonts w:ascii="Calibri" w:hAnsi="Calibri"/>
          <w:color w:val="auto"/>
        </w:rPr>
        <w:t>–</w:t>
      </w:r>
      <w:r w:rsidRPr="002C48D7">
        <w:rPr>
          <w:rFonts w:ascii="Calibri" w:hAnsi="Calibri"/>
          <w:color w:val="auto"/>
        </w:rPr>
        <w:t>20) and the mineral exploration and development sector (which increased in approvals value from $2.9</w:t>
      </w:r>
      <w:r w:rsidR="007117B6">
        <w:rPr>
          <w:rFonts w:ascii="Calibri" w:hAnsi="Calibri"/>
          <w:color w:val="auto"/>
        </w:rPr>
        <w:t> </w:t>
      </w:r>
      <w:r w:rsidRPr="002C48D7">
        <w:rPr>
          <w:rFonts w:ascii="Calibri" w:hAnsi="Calibri"/>
          <w:color w:val="auto"/>
        </w:rPr>
        <w:t>billion in 2018</w:t>
      </w:r>
      <w:r w:rsidR="00F26A86">
        <w:rPr>
          <w:rFonts w:ascii="Calibri" w:hAnsi="Calibri"/>
          <w:color w:val="auto"/>
        </w:rPr>
        <w:t>–</w:t>
      </w:r>
      <w:r w:rsidRPr="002C48D7">
        <w:rPr>
          <w:rFonts w:ascii="Calibri" w:hAnsi="Calibri"/>
          <w:color w:val="auto"/>
        </w:rPr>
        <w:t>19 to $4.7</w:t>
      </w:r>
      <w:r w:rsidR="007117B6">
        <w:rPr>
          <w:rFonts w:ascii="Calibri" w:hAnsi="Calibri"/>
          <w:color w:val="auto"/>
        </w:rPr>
        <w:t> </w:t>
      </w:r>
      <w:r w:rsidRPr="002C48D7">
        <w:rPr>
          <w:rFonts w:ascii="Calibri" w:hAnsi="Calibri"/>
          <w:color w:val="auto"/>
        </w:rPr>
        <w:t>billion in 2019</w:t>
      </w:r>
      <w:r w:rsidR="00F26A86">
        <w:rPr>
          <w:rFonts w:ascii="Calibri" w:hAnsi="Calibri"/>
          <w:color w:val="auto"/>
        </w:rPr>
        <w:t>–</w:t>
      </w:r>
      <w:r w:rsidRPr="002C48D7">
        <w:rPr>
          <w:rFonts w:ascii="Calibri" w:hAnsi="Calibri"/>
          <w:color w:val="auto"/>
        </w:rPr>
        <w:t>20).</w:t>
      </w:r>
      <w:r w:rsidRPr="002C48D7">
        <w:rPr>
          <w:color w:val="auto"/>
        </w:rPr>
        <w:t xml:space="preserve"> The value of proposed investment </w:t>
      </w:r>
      <w:r w:rsidR="00871D50">
        <w:rPr>
          <w:color w:val="auto"/>
        </w:rPr>
        <w:t xml:space="preserve">from the United States </w:t>
      </w:r>
      <w:r w:rsidRPr="002C48D7">
        <w:rPr>
          <w:color w:val="auto"/>
        </w:rPr>
        <w:t>in the real estate sector decreased from $</w:t>
      </w:r>
      <w:r>
        <w:rPr>
          <w:color w:val="auto"/>
        </w:rPr>
        <w:t>19.6</w:t>
      </w:r>
      <w:r w:rsidR="00871D50">
        <w:rPr>
          <w:color w:val="auto"/>
        </w:rPr>
        <w:t> </w:t>
      </w:r>
      <w:r>
        <w:rPr>
          <w:color w:val="auto"/>
        </w:rPr>
        <w:t>billion in 2018</w:t>
      </w:r>
      <w:r w:rsidR="00F26A86">
        <w:rPr>
          <w:color w:val="auto"/>
        </w:rPr>
        <w:t>–</w:t>
      </w:r>
      <w:r>
        <w:rPr>
          <w:color w:val="auto"/>
        </w:rPr>
        <w:t>19 to $1</w:t>
      </w:r>
      <w:r w:rsidR="00402ADB">
        <w:rPr>
          <w:color w:val="auto"/>
        </w:rPr>
        <w:t>3</w:t>
      </w:r>
      <w:r>
        <w:rPr>
          <w:color w:val="auto"/>
        </w:rPr>
        <w:t>.1</w:t>
      </w:r>
      <w:r w:rsidRPr="002C48D7">
        <w:rPr>
          <w:color w:val="auto"/>
        </w:rPr>
        <w:t> billion in 2019</w:t>
      </w:r>
      <w:r w:rsidR="00F26A86">
        <w:rPr>
          <w:color w:val="auto"/>
        </w:rPr>
        <w:t>–</w:t>
      </w:r>
      <w:r w:rsidRPr="002C48D7">
        <w:rPr>
          <w:color w:val="auto"/>
        </w:rPr>
        <w:t>20, and there was a decrease in approvals value from $31.2</w:t>
      </w:r>
      <w:r w:rsidR="007117B6">
        <w:rPr>
          <w:color w:val="auto"/>
        </w:rPr>
        <w:t> </w:t>
      </w:r>
      <w:r w:rsidR="00402ADB">
        <w:rPr>
          <w:color w:val="auto"/>
        </w:rPr>
        <w:t>billion in 2018</w:t>
      </w:r>
      <w:r w:rsidR="00F26A86">
        <w:rPr>
          <w:color w:val="auto"/>
        </w:rPr>
        <w:t>–</w:t>
      </w:r>
      <w:r w:rsidR="00402ADB">
        <w:rPr>
          <w:color w:val="auto"/>
        </w:rPr>
        <w:t>19 to $27.9 </w:t>
      </w:r>
      <w:r w:rsidRPr="002C48D7">
        <w:rPr>
          <w:color w:val="auto"/>
        </w:rPr>
        <w:t>billion in 2019</w:t>
      </w:r>
      <w:r w:rsidR="00F26A86">
        <w:rPr>
          <w:color w:val="auto"/>
        </w:rPr>
        <w:t>–</w:t>
      </w:r>
      <w:r w:rsidRPr="002C48D7">
        <w:rPr>
          <w:color w:val="auto"/>
        </w:rPr>
        <w:t>20 in the s</w:t>
      </w:r>
      <w:r w:rsidR="002035BE">
        <w:rPr>
          <w:color w:val="auto"/>
        </w:rPr>
        <w:t>ervices sector.</w:t>
      </w:r>
    </w:p>
    <w:p w14:paraId="67F39925" w14:textId="77777777" w:rsidR="002035BE" w:rsidRPr="002C48D7" w:rsidRDefault="002035BE" w:rsidP="002035BE">
      <w:r w:rsidRPr="002C48D7">
        <w:t>Proposed</w:t>
      </w:r>
      <w:r>
        <w:t xml:space="preserve"> approved investment from Japan</w:t>
      </w:r>
      <w:r w:rsidRPr="002C48D7">
        <w:t xml:space="preserve"> increased by $</w:t>
      </w:r>
      <w:r>
        <w:t>7.0</w:t>
      </w:r>
      <w:r w:rsidR="007117B6">
        <w:t> </w:t>
      </w:r>
      <w:r w:rsidRPr="002C48D7">
        <w:t>billion</w:t>
      </w:r>
      <w:r>
        <w:t>, shifting Japan</w:t>
      </w:r>
      <w:r w:rsidRPr="002C48D7">
        <w:t xml:space="preserve"> to the second largest s</w:t>
      </w:r>
      <w:r>
        <w:t xml:space="preserve">ource country by value. </w:t>
      </w:r>
      <w:r w:rsidRPr="002C48D7">
        <w:t xml:space="preserve">There was significant growth in the value of approvals for </w:t>
      </w:r>
      <w:r>
        <w:t xml:space="preserve">Japanese </w:t>
      </w:r>
      <w:r w:rsidRPr="002C48D7">
        <w:t xml:space="preserve">investors in the </w:t>
      </w:r>
      <w:r>
        <w:t>manufacturing, electricity and gas</w:t>
      </w:r>
      <w:r w:rsidRPr="002C48D7">
        <w:t xml:space="preserve"> sector (which increased in value from $</w:t>
      </w:r>
      <w:r>
        <w:t>2.5</w:t>
      </w:r>
      <w:r w:rsidR="007117B6">
        <w:t> </w:t>
      </w:r>
      <w:r>
        <w:t>billion</w:t>
      </w:r>
      <w:r w:rsidRPr="002C48D7">
        <w:t xml:space="preserve"> in 2</w:t>
      </w:r>
      <w:r>
        <w:t>018</w:t>
      </w:r>
      <w:r w:rsidR="00F26A86">
        <w:t>–</w:t>
      </w:r>
      <w:r>
        <w:t>19 to $17.5</w:t>
      </w:r>
      <w:r w:rsidR="007117B6">
        <w:t> </w:t>
      </w:r>
      <w:r>
        <w:t>billion in 2019</w:t>
      </w:r>
      <w:r w:rsidR="00F26A86">
        <w:t>–</w:t>
      </w:r>
      <w:r>
        <w:t xml:space="preserve">20). </w:t>
      </w:r>
    </w:p>
    <w:p w14:paraId="07471FF9" w14:textId="4658EEC7" w:rsidR="00E458B4" w:rsidRPr="002C48D7" w:rsidRDefault="00E458B4" w:rsidP="00E458B4">
      <w:pPr>
        <w:rPr>
          <w:color w:val="auto"/>
        </w:rPr>
      </w:pPr>
      <w:r w:rsidRPr="002C48D7">
        <w:rPr>
          <w:color w:val="auto"/>
        </w:rPr>
        <w:t>While the value of proposed investment from China in 2019</w:t>
      </w:r>
      <w:r w:rsidR="00F26A86">
        <w:rPr>
          <w:color w:val="auto"/>
        </w:rPr>
        <w:t>–</w:t>
      </w:r>
      <w:r w:rsidR="00BB04BD">
        <w:rPr>
          <w:color w:val="auto"/>
        </w:rPr>
        <w:t>2</w:t>
      </w:r>
      <w:r w:rsidRPr="002C48D7">
        <w:rPr>
          <w:color w:val="auto"/>
        </w:rPr>
        <w:t>0 ($12.</w:t>
      </w:r>
      <w:r w:rsidR="00402ADB">
        <w:rPr>
          <w:color w:val="auto"/>
        </w:rPr>
        <w:t>8</w:t>
      </w:r>
      <w:r w:rsidR="007117B6">
        <w:rPr>
          <w:color w:val="auto"/>
        </w:rPr>
        <w:t> </w:t>
      </w:r>
      <w:r w:rsidRPr="002C48D7">
        <w:rPr>
          <w:color w:val="auto"/>
        </w:rPr>
        <w:t>billion) remain</w:t>
      </w:r>
      <w:r w:rsidR="00050886">
        <w:rPr>
          <w:color w:val="auto"/>
        </w:rPr>
        <w:t>ed</w:t>
      </w:r>
      <w:r w:rsidRPr="002C48D7">
        <w:rPr>
          <w:color w:val="auto"/>
        </w:rPr>
        <w:t xml:space="preserve"> relatively steady compared to 2018</w:t>
      </w:r>
      <w:r w:rsidR="00F26A86">
        <w:rPr>
          <w:color w:val="auto"/>
        </w:rPr>
        <w:t>–</w:t>
      </w:r>
      <w:r w:rsidRPr="002C48D7">
        <w:rPr>
          <w:color w:val="auto"/>
        </w:rPr>
        <w:t xml:space="preserve">19 </w:t>
      </w:r>
      <w:r>
        <w:rPr>
          <w:color w:val="auto"/>
        </w:rPr>
        <w:t>($13.1</w:t>
      </w:r>
      <w:r w:rsidR="007117B6">
        <w:rPr>
          <w:color w:val="auto"/>
        </w:rPr>
        <w:t> </w:t>
      </w:r>
      <w:r>
        <w:rPr>
          <w:color w:val="auto"/>
        </w:rPr>
        <w:t xml:space="preserve">billion), China was the </w:t>
      </w:r>
      <w:r w:rsidR="006F2A01">
        <w:rPr>
          <w:color w:val="auto"/>
        </w:rPr>
        <w:t>sixth</w:t>
      </w:r>
      <w:r w:rsidRPr="002C48D7">
        <w:rPr>
          <w:color w:val="auto"/>
        </w:rPr>
        <w:t xml:space="preserve"> top source of approved investment in 2019</w:t>
      </w:r>
      <w:r w:rsidR="00F26A86">
        <w:rPr>
          <w:color w:val="auto"/>
        </w:rPr>
        <w:t>–</w:t>
      </w:r>
      <w:r w:rsidRPr="002C48D7">
        <w:rPr>
          <w:color w:val="auto"/>
        </w:rPr>
        <w:t xml:space="preserve">20 (down from </w:t>
      </w:r>
      <w:r w:rsidR="006F2A01">
        <w:rPr>
          <w:color w:val="auto"/>
        </w:rPr>
        <w:t>fifth</w:t>
      </w:r>
      <w:r w:rsidRPr="002C48D7">
        <w:rPr>
          <w:color w:val="auto"/>
        </w:rPr>
        <w:t xml:space="preserve"> largest source country in 2018</w:t>
      </w:r>
      <w:r w:rsidR="00F26A86">
        <w:rPr>
          <w:color w:val="auto"/>
        </w:rPr>
        <w:t>–</w:t>
      </w:r>
      <w:r w:rsidRPr="002C48D7">
        <w:rPr>
          <w:color w:val="auto"/>
        </w:rPr>
        <w:t>19). In</w:t>
      </w:r>
      <w:r w:rsidR="006C539E">
        <w:rPr>
          <w:color w:val="auto"/>
        </w:rPr>
        <w:t> </w:t>
      </w:r>
      <w:r w:rsidRPr="002C48D7">
        <w:rPr>
          <w:color w:val="auto"/>
        </w:rPr>
        <w:t>2019</w:t>
      </w:r>
      <w:r w:rsidR="00BD4D19">
        <w:rPr>
          <w:color w:val="auto"/>
        </w:rPr>
        <w:noBreakHyphen/>
      </w:r>
      <w:r w:rsidRPr="002C48D7">
        <w:rPr>
          <w:color w:val="auto"/>
        </w:rPr>
        <w:t xml:space="preserve">20, the value of proposed investment </w:t>
      </w:r>
      <w:r w:rsidR="002035BE">
        <w:rPr>
          <w:color w:val="auto"/>
        </w:rPr>
        <w:t xml:space="preserve">from China </w:t>
      </w:r>
      <w:r w:rsidRPr="002C48D7">
        <w:rPr>
          <w:color w:val="auto"/>
        </w:rPr>
        <w:t xml:space="preserve">increased in the agriculture, forestry and fishing sector, finance and insurance sector, manufacturing, electricity and gas sector and the real estate sector. There was a </w:t>
      </w:r>
      <w:r w:rsidR="00264DAF">
        <w:rPr>
          <w:color w:val="auto"/>
        </w:rPr>
        <w:t>decrease</w:t>
      </w:r>
      <w:r w:rsidRPr="002C48D7">
        <w:rPr>
          <w:color w:val="auto"/>
        </w:rPr>
        <w:t xml:space="preserve"> in the value of approvals from China in the mineral exploration and development sector (</w:t>
      </w:r>
      <w:r w:rsidR="00402ADB">
        <w:rPr>
          <w:color w:val="auto"/>
        </w:rPr>
        <w:t>$2.7</w:t>
      </w:r>
      <w:r w:rsidR="00264DAF">
        <w:rPr>
          <w:color w:val="auto"/>
        </w:rPr>
        <w:t> </w:t>
      </w:r>
      <w:r>
        <w:rPr>
          <w:color w:val="auto"/>
        </w:rPr>
        <w:t>billion in 2018</w:t>
      </w:r>
      <w:r w:rsidR="00F26A86">
        <w:rPr>
          <w:color w:val="auto"/>
        </w:rPr>
        <w:t>–</w:t>
      </w:r>
      <w:r>
        <w:rPr>
          <w:color w:val="auto"/>
        </w:rPr>
        <w:t>19 to $0.8</w:t>
      </w:r>
      <w:r w:rsidR="00065FB2">
        <w:rPr>
          <w:color w:val="auto"/>
        </w:rPr>
        <w:t> </w:t>
      </w:r>
      <w:r>
        <w:rPr>
          <w:color w:val="auto"/>
        </w:rPr>
        <w:t>billion</w:t>
      </w:r>
      <w:r w:rsidRPr="002C48D7">
        <w:rPr>
          <w:color w:val="auto"/>
        </w:rPr>
        <w:t xml:space="preserve"> in 2019</w:t>
      </w:r>
      <w:r w:rsidR="00F26A86">
        <w:rPr>
          <w:color w:val="auto"/>
        </w:rPr>
        <w:t>–</w:t>
      </w:r>
      <w:r w:rsidRPr="002C48D7">
        <w:rPr>
          <w:color w:val="auto"/>
        </w:rPr>
        <w:t>20), and in the services sector (</w:t>
      </w:r>
      <w:r w:rsidR="00264DAF">
        <w:rPr>
          <w:color w:val="auto"/>
        </w:rPr>
        <w:t>$3.5 </w:t>
      </w:r>
      <w:r w:rsidRPr="002C48D7">
        <w:rPr>
          <w:color w:val="auto"/>
        </w:rPr>
        <w:t>billion in 2018</w:t>
      </w:r>
      <w:r w:rsidR="00F26A86">
        <w:rPr>
          <w:color w:val="auto"/>
        </w:rPr>
        <w:t>–</w:t>
      </w:r>
      <w:r w:rsidRPr="002C48D7">
        <w:rPr>
          <w:color w:val="auto"/>
        </w:rPr>
        <w:t>19 to $1.5</w:t>
      </w:r>
      <w:r w:rsidR="00065FB2">
        <w:rPr>
          <w:color w:val="auto"/>
        </w:rPr>
        <w:t> </w:t>
      </w:r>
      <w:r w:rsidRPr="002C48D7">
        <w:rPr>
          <w:color w:val="auto"/>
        </w:rPr>
        <w:t>billion in 2019</w:t>
      </w:r>
      <w:r w:rsidR="00F26A86">
        <w:rPr>
          <w:color w:val="auto"/>
        </w:rPr>
        <w:t>–</w:t>
      </w:r>
      <w:r w:rsidRPr="002C48D7">
        <w:rPr>
          <w:color w:val="auto"/>
        </w:rPr>
        <w:t>20).</w:t>
      </w:r>
    </w:p>
    <w:p w14:paraId="4EA24CC7" w14:textId="77777777" w:rsidR="00E458B4" w:rsidRPr="00F01C22" w:rsidRDefault="00E458B4" w:rsidP="00820C89"/>
    <w:p w14:paraId="5300C615" w14:textId="77777777" w:rsidR="00E458B4" w:rsidRDefault="00E458B4" w:rsidP="00F16FDC">
      <w:pPr>
        <w:sectPr w:rsidR="00E458B4" w:rsidSect="000376F1">
          <w:headerReference w:type="first" r:id="rId62"/>
          <w:type w:val="oddPage"/>
          <w:pgSz w:w="11906" w:h="16838" w:code="9"/>
          <w:pgMar w:top="2466" w:right="2098" w:bottom="2466" w:left="2098" w:header="1899" w:footer="1899" w:gutter="0"/>
          <w:cols w:space="708"/>
          <w:titlePg/>
          <w:docGrid w:linePitch="360"/>
        </w:sectPr>
      </w:pPr>
    </w:p>
    <w:p w14:paraId="5FBBFF99" w14:textId="77777777" w:rsidR="00E458B4" w:rsidRDefault="00BB04BD" w:rsidP="00820C89">
      <w:pPr>
        <w:pStyle w:val="TableMainHeading"/>
      </w:pPr>
      <w:bookmarkStart w:id="155" w:name="_Toc63798285"/>
      <w:bookmarkStart w:id="156" w:name="_Toc73984744"/>
      <w:r w:rsidRPr="00BB04BD">
        <w:t>Table 3.1</w:t>
      </w:r>
      <w:r w:rsidR="001B57FA">
        <w:t>7</w:t>
      </w:r>
      <w:r w:rsidRPr="00BB04BD">
        <w:t xml:space="preserve"> Approvals by country of investor, by industry sector</w:t>
      </w:r>
      <w:bookmarkEnd w:id="155"/>
      <w:bookmarkEnd w:id="156"/>
    </w:p>
    <w:tbl>
      <w:tblPr>
        <w:tblW w:w="5000" w:type="pct"/>
        <w:tblCellMar>
          <w:left w:w="0" w:type="dxa"/>
          <w:right w:w="28" w:type="dxa"/>
        </w:tblCellMar>
        <w:tblLook w:val="04A0" w:firstRow="1" w:lastRow="0" w:firstColumn="1" w:lastColumn="0" w:noHBand="0" w:noVBand="1"/>
      </w:tblPr>
      <w:tblGrid>
        <w:gridCol w:w="2675"/>
        <w:gridCol w:w="73"/>
        <w:gridCol w:w="1084"/>
        <w:gridCol w:w="1085"/>
        <w:gridCol w:w="1025"/>
        <w:gridCol w:w="1302"/>
        <w:gridCol w:w="1123"/>
        <w:gridCol w:w="909"/>
        <w:gridCol w:w="985"/>
        <w:gridCol w:w="1645"/>
      </w:tblGrid>
      <w:tr w:rsidR="00B546C3" w:rsidRPr="00A521D5" w14:paraId="5A325BE4" w14:textId="77777777" w:rsidTr="00AC1D53">
        <w:trPr>
          <w:trHeight w:val="255"/>
        </w:trPr>
        <w:tc>
          <w:tcPr>
            <w:tcW w:w="1103" w:type="pct"/>
            <w:tcBorders>
              <w:top w:val="single" w:sz="4" w:space="0" w:color="auto"/>
              <w:left w:val="nil"/>
              <w:bottom w:val="nil"/>
              <w:right w:val="nil"/>
            </w:tcBorders>
            <w:shd w:val="clear" w:color="000000" w:fill="FFFFFF"/>
            <w:vAlign w:val="bottom"/>
            <w:hideMark/>
          </w:tcPr>
          <w:p w14:paraId="4A4986F8" w14:textId="77777777" w:rsidR="00256957" w:rsidRPr="00A521D5" w:rsidRDefault="00256957">
            <w:pPr>
              <w:spacing w:after="0" w:line="240" w:lineRule="auto"/>
              <w:jc w:val="left"/>
              <w:rPr>
                <w:rFonts w:ascii="Arial" w:hAnsi="Arial" w:cs="Arial"/>
                <w:color w:val="auto"/>
                <w:sz w:val="16"/>
                <w:szCs w:val="16"/>
              </w:rPr>
            </w:pPr>
            <w:r w:rsidRPr="00A521D5">
              <w:rPr>
                <w:rFonts w:ascii="Arial" w:hAnsi="Arial" w:cs="Arial"/>
                <w:color w:val="auto"/>
                <w:sz w:val="16"/>
                <w:szCs w:val="16"/>
              </w:rPr>
              <w:t>Country</w:t>
            </w:r>
          </w:p>
        </w:tc>
        <w:tc>
          <w:tcPr>
            <w:tcW w:w="0" w:type="pct"/>
            <w:tcBorders>
              <w:top w:val="single" w:sz="4" w:space="0" w:color="auto"/>
              <w:left w:val="nil"/>
              <w:bottom w:val="nil"/>
              <w:right w:val="nil"/>
            </w:tcBorders>
            <w:shd w:val="clear" w:color="000000" w:fill="FFFFFF"/>
            <w:vAlign w:val="center"/>
            <w:hideMark/>
          </w:tcPr>
          <w:p w14:paraId="01CBB1A3"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449" w:type="pct"/>
            <w:tcBorders>
              <w:top w:val="single" w:sz="4" w:space="0" w:color="auto"/>
              <w:left w:val="nil"/>
              <w:bottom w:val="nil"/>
              <w:right w:val="nil"/>
            </w:tcBorders>
            <w:shd w:val="clear" w:color="000000" w:fill="FFFFFF"/>
            <w:vAlign w:val="center"/>
            <w:hideMark/>
          </w:tcPr>
          <w:p w14:paraId="7E6A7003"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 xml:space="preserve"> Number of</w:t>
            </w:r>
            <w:r w:rsidRPr="00A521D5">
              <w:rPr>
                <w:rFonts w:ascii="Arial" w:hAnsi="Arial" w:cs="Arial"/>
                <w:color w:val="auto"/>
                <w:sz w:val="16"/>
                <w:szCs w:val="16"/>
              </w:rPr>
              <w:br/>
              <w:t xml:space="preserve">approvals </w:t>
            </w:r>
          </w:p>
        </w:tc>
        <w:tc>
          <w:tcPr>
            <w:tcW w:w="449" w:type="pct"/>
            <w:tcBorders>
              <w:top w:val="single" w:sz="4" w:space="0" w:color="auto"/>
              <w:left w:val="nil"/>
              <w:bottom w:val="nil"/>
              <w:right w:val="nil"/>
            </w:tcBorders>
            <w:shd w:val="clear" w:color="000000" w:fill="FFFFFF"/>
            <w:vAlign w:val="center"/>
            <w:hideMark/>
          </w:tcPr>
          <w:p w14:paraId="54580CF7"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Agriculture,</w:t>
            </w:r>
            <w:r w:rsidRPr="00A521D5">
              <w:rPr>
                <w:rFonts w:ascii="Arial" w:hAnsi="Arial" w:cs="Arial"/>
                <w:color w:val="auto"/>
                <w:sz w:val="16"/>
                <w:szCs w:val="16"/>
              </w:rPr>
              <w:br/>
              <w:t>forestry</w:t>
            </w:r>
            <w:r w:rsidRPr="00A521D5">
              <w:rPr>
                <w:rFonts w:ascii="Arial" w:hAnsi="Arial" w:cs="Arial"/>
                <w:color w:val="auto"/>
                <w:sz w:val="16"/>
                <w:szCs w:val="16"/>
              </w:rPr>
              <w:br/>
              <w:t>and fishing</w:t>
            </w:r>
          </w:p>
        </w:tc>
        <w:tc>
          <w:tcPr>
            <w:tcW w:w="425" w:type="pct"/>
            <w:tcBorders>
              <w:top w:val="single" w:sz="4" w:space="0" w:color="auto"/>
              <w:left w:val="nil"/>
              <w:bottom w:val="nil"/>
              <w:right w:val="nil"/>
            </w:tcBorders>
            <w:shd w:val="clear" w:color="000000" w:fill="FFFFFF"/>
            <w:vAlign w:val="center"/>
            <w:hideMark/>
          </w:tcPr>
          <w:p w14:paraId="50F64376"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Finance &amp;</w:t>
            </w:r>
            <w:r w:rsidRPr="00A521D5">
              <w:rPr>
                <w:rFonts w:ascii="Arial" w:hAnsi="Arial" w:cs="Arial"/>
                <w:color w:val="auto"/>
                <w:sz w:val="16"/>
                <w:szCs w:val="16"/>
              </w:rPr>
              <w:br/>
              <w:t>insurance</w:t>
            </w:r>
          </w:p>
        </w:tc>
        <w:tc>
          <w:tcPr>
            <w:tcW w:w="538" w:type="pct"/>
            <w:tcBorders>
              <w:top w:val="single" w:sz="4" w:space="0" w:color="auto"/>
              <w:left w:val="nil"/>
              <w:bottom w:val="nil"/>
              <w:right w:val="nil"/>
            </w:tcBorders>
            <w:shd w:val="clear" w:color="000000" w:fill="FFFFFF"/>
            <w:vAlign w:val="center"/>
            <w:hideMark/>
          </w:tcPr>
          <w:p w14:paraId="1286D6A5"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Manufacturing,</w:t>
            </w:r>
            <w:r w:rsidRPr="00A521D5">
              <w:rPr>
                <w:rFonts w:ascii="Arial" w:hAnsi="Arial" w:cs="Arial"/>
                <w:color w:val="auto"/>
                <w:sz w:val="16"/>
                <w:szCs w:val="16"/>
              </w:rPr>
              <w:br/>
              <w:t>electricity &amp;</w:t>
            </w:r>
            <w:r w:rsidRPr="00A521D5">
              <w:rPr>
                <w:rFonts w:ascii="Arial" w:hAnsi="Arial" w:cs="Arial"/>
                <w:color w:val="auto"/>
                <w:sz w:val="16"/>
                <w:szCs w:val="16"/>
              </w:rPr>
              <w:br/>
              <w:t>gas</w:t>
            </w:r>
          </w:p>
        </w:tc>
        <w:tc>
          <w:tcPr>
            <w:tcW w:w="465" w:type="pct"/>
            <w:tcBorders>
              <w:top w:val="single" w:sz="4" w:space="0" w:color="auto"/>
              <w:left w:val="nil"/>
              <w:bottom w:val="nil"/>
              <w:right w:val="nil"/>
            </w:tcBorders>
            <w:shd w:val="clear" w:color="000000" w:fill="FFFFFF"/>
            <w:vAlign w:val="center"/>
            <w:hideMark/>
          </w:tcPr>
          <w:p w14:paraId="59E52413"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Mineral</w:t>
            </w:r>
            <w:r w:rsidRPr="00A521D5">
              <w:rPr>
                <w:rFonts w:ascii="Arial" w:hAnsi="Arial" w:cs="Arial"/>
                <w:color w:val="auto"/>
                <w:sz w:val="16"/>
                <w:szCs w:val="16"/>
              </w:rPr>
              <w:br/>
              <w:t>exploration &amp;</w:t>
            </w:r>
            <w:r w:rsidRPr="00A521D5">
              <w:rPr>
                <w:rFonts w:ascii="Arial" w:hAnsi="Arial" w:cs="Arial"/>
                <w:color w:val="auto"/>
                <w:sz w:val="16"/>
                <w:szCs w:val="16"/>
              </w:rPr>
              <w:br/>
              <w:t>development</w:t>
            </w:r>
          </w:p>
        </w:tc>
        <w:tc>
          <w:tcPr>
            <w:tcW w:w="377" w:type="pct"/>
            <w:tcBorders>
              <w:top w:val="single" w:sz="4" w:space="0" w:color="auto"/>
              <w:left w:val="nil"/>
              <w:bottom w:val="nil"/>
              <w:right w:val="nil"/>
            </w:tcBorders>
            <w:shd w:val="clear" w:color="000000" w:fill="FFFFFF"/>
            <w:vAlign w:val="center"/>
            <w:hideMark/>
          </w:tcPr>
          <w:p w14:paraId="46A5C637"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Real</w:t>
            </w:r>
            <w:r w:rsidRPr="00A521D5">
              <w:rPr>
                <w:rFonts w:ascii="Arial" w:hAnsi="Arial" w:cs="Arial"/>
                <w:color w:val="auto"/>
                <w:sz w:val="16"/>
                <w:szCs w:val="16"/>
              </w:rPr>
              <w:br/>
              <w:t>estate</w:t>
            </w:r>
          </w:p>
        </w:tc>
        <w:tc>
          <w:tcPr>
            <w:tcW w:w="408" w:type="pct"/>
            <w:tcBorders>
              <w:top w:val="single" w:sz="4" w:space="0" w:color="auto"/>
              <w:left w:val="nil"/>
              <w:bottom w:val="nil"/>
              <w:right w:val="nil"/>
            </w:tcBorders>
            <w:shd w:val="clear" w:color="000000" w:fill="FFFFFF"/>
            <w:vAlign w:val="center"/>
            <w:hideMark/>
          </w:tcPr>
          <w:p w14:paraId="60B21999"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Services</w:t>
            </w:r>
          </w:p>
        </w:tc>
        <w:tc>
          <w:tcPr>
            <w:tcW w:w="679" w:type="pct"/>
            <w:tcBorders>
              <w:top w:val="single" w:sz="4" w:space="0" w:color="auto"/>
              <w:left w:val="nil"/>
              <w:bottom w:val="nil"/>
              <w:right w:val="nil"/>
            </w:tcBorders>
            <w:shd w:val="clear" w:color="000000" w:fill="FFFFFF"/>
            <w:vAlign w:val="center"/>
            <w:hideMark/>
          </w:tcPr>
          <w:p w14:paraId="2B8CF8D2"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 xml:space="preserve"> Total  </w:t>
            </w:r>
          </w:p>
        </w:tc>
      </w:tr>
      <w:tr w:rsidR="00B546C3" w:rsidRPr="00A521D5" w14:paraId="12C9283C" w14:textId="77777777" w:rsidTr="00AC1D53">
        <w:trPr>
          <w:trHeight w:val="255"/>
        </w:trPr>
        <w:tc>
          <w:tcPr>
            <w:tcW w:w="1103" w:type="pct"/>
            <w:tcBorders>
              <w:top w:val="nil"/>
              <w:left w:val="nil"/>
              <w:bottom w:val="single" w:sz="4" w:space="0" w:color="auto"/>
              <w:right w:val="nil"/>
            </w:tcBorders>
            <w:shd w:val="clear" w:color="000000" w:fill="FFFFFF"/>
            <w:vAlign w:val="center"/>
            <w:hideMark/>
          </w:tcPr>
          <w:p w14:paraId="58FC1E3B" w14:textId="77777777" w:rsidR="00256957" w:rsidRPr="00A521D5" w:rsidRDefault="00256957" w:rsidP="00256957">
            <w:pPr>
              <w:spacing w:after="0" w:line="240" w:lineRule="auto"/>
              <w:jc w:val="left"/>
              <w:rPr>
                <w:rFonts w:ascii="Arial" w:hAnsi="Arial" w:cs="Arial"/>
                <w:color w:val="auto"/>
                <w:sz w:val="16"/>
                <w:szCs w:val="16"/>
              </w:rPr>
            </w:pPr>
            <w:r w:rsidRPr="00A521D5">
              <w:rPr>
                <w:rFonts w:ascii="Arial" w:hAnsi="Arial" w:cs="Arial"/>
                <w:color w:val="auto"/>
                <w:sz w:val="16"/>
                <w:szCs w:val="16"/>
              </w:rPr>
              <w:t> </w:t>
            </w:r>
          </w:p>
        </w:tc>
        <w:tc>
          <w:tcPr>
            <w:tcW w:w="0" w:type="pct"/>
            <w:tcBorders>
              <w:top w:val="nil"/>
              <w:left w:val="nil"/>
              <w:bottom w:val="single" w:sz="4" w:space="0" w:color="auto"/>
              <w:right w:val="nil"/>
            </w:tcBorders>
            <w:shd w:val="clear" w:color="000000" w:fill="FFFFFF"/>
            <w:vAlign w:val="center"/>
            <w:hideMark/>
          </w:tcPr>
          <w:p w14:paraId="5B20A68F"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449" w:type="pct"/>
            <w:tcBorders>
              <w:top w:val="nil"/>
              <w:left w:val="nil"/>
              <w:bottom w:val="single" w:sz="4" w:space="0" w:color="auto"/>
              <w:right w:val="nil"/>
            </w:tcBorders>
            <w:shd w:val="clear" w:color="000000" w:fill="FFFFFF"/>
            <w:vAlign w:val="center"/>
            <w:hideMark/>
          </w:tcPr>
          <w:p w14:paraId="0EA28FB9"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 </w:t>
            </w:r>
          </w:p>
        </w:tc>
        <w:tc>
          <w:tcPr>
            <w:tcW w:w="449" w:type="pct"/>
            <w:tcBorders>
              <w:top w:val="nil"/>
              <w:left w:val="nil"/>
              <w:bottom w:val="single" w:sz="4" w:space="0" w:color="auto"/>
              <w:right w:val="nil"/>
            </w:tcBorders>
            <w:shd w:val="clear" w:color="000000" w:fill="FFFFFF"/>
            <w:vAlign w:val="center"/>
            <w:hideMark/>
          </w:tcPr>
          <w:p w14:paraId="0D706289"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$m</w:t>
            </w:r>
          </w:p>
        </w:tc>
        <w:tc>
          <w:tcPr>
            <w:tcW w:w="425" w:type="pct"/>
            <w:tcBorders>
              <w:top w:val="nil"/>
              <w:left w:val="nil"/>
              <w:bottom w:val="single" w:sz="4" w:space="0" w:color="auto"/>
              <w:right w:val="nil"/>
            </w:tcBorders>
            <w:shd w:val="clear" w:color="000000" w:fill="FFFFFF"/>
            <w:vAlign w:val="center"/>
            <w:hideMark/>
          </w:tcPr>
          <w:p w14:paraId="2B80C955"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$m</w:t>
            </w:r>
          </w:p>
        </w:tc>
        <w:tc>
          <w:tcPr>
            <w:tcW w:w="538" w:type="pct"/>
            <w:tcBorders>
              <w:top w:val="nil"/>
              <w:left w:val="nil"/>
              <w:bottom w:val="single" w:sz="4" w:space="0" w:color="auto"/>
              <w:right w:val="nil"/>
            </w:tcBorders>
            <w:shd w:val="clear" w:color="000000" w:fill="FFFFFF"/>
            <w:vAlign w:val="center"/>
            <w:hideMark/>
          </w:tcPr>
          <w:p w14:paraId="06B89820"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$m</w:t>
            </w:r>
          </w:p>
        </w:tc>
        <w:tc>
          <w:tcPr>
            <w:tcW w:w="465" w:type="pct"/>
            <w:tcBorders>
              <w:top w:val="nil"/>
              <w:left w:val="nil"/>
              <w:bottom w:val="single" w:sz="4" w:space="0" w:color="auto"/>
              <w:right w:val="nil"/>
            </w:tcBorders>
            <w:shd w:val="clear" w:color="000000" w:fill="FFFFFF"/>
            <w:vAlign w:val="center"/>
            <w:hideMark/>
          </w:tcPr>
          <w:p w14:paraId="72B0B9B8"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$m</w:t>
            </w:r>
          </w:p>
        </w:tc>
        <w:tc>
          <w:tcPr>
            <w:tcW w:w="377" w:type="pct"/>
            <w:tcBorders>
              <w:top w:val="nil"/>
              <w:left w:val="nil"/>
              <w:bottom w:val="single" w:sz="4" w:space="0" w:color="auto"/>
              <w:right w:val="nil"/>
            </w:tcBorders>
            <w:shd w:val="clear" w:color="000000" w:fill="FFFFFF"/>
            <w:vAlign w:val="center"/>
            <w:hideMark/>
          </w:tcPr>
          <w:p w14:paraId="00D1CD98"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$m</w:t>
            </w:r>
          </w:p>
        </w:tc>
        <w:tc>
          <w:tcPr>
            <w:tcW w:w="408" w:type="pct"/>
            <w:tcBorders>
              <w:top w:val="nil"/>
              <w:left w:val="nil"/>
              <w:bottom w:val="single" w:sz="4" w:space="0" w:color="auto"/>
              <w:right w:val="nil"/>
            </w:tcBorders>
            <w:shd w:val="clear" w:color="000000" w:fill="FFFFFF"/>
            <w:vAlign w:val="center"/>
            <w:hideMark/>
          </w:tcPr>
          <w:p w14:paraId="0BC8FC8A"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$m</w:t>
            </w:r>
          </w:p>
        </w:tc>
        <w:tc>
          <w:tcPr>
            <w:tcW w:w="679" w:type="pct"/>
            <w:tcBorders>
              <w:top w:val="nil"/>
              <w:left w:val="nil"/>
              <w:bottom w:val="single" w:sz="4" w:space="0" w:color="auto"/>
              <w:right w:val="nil"/>
            </w:tcBorders>
            <w:shd w:val="clear" w:color="000000" w:fill="FFFFFF"/>
            <w:vAlign w:val="center"/>
            <w:hideMark/>
          </w:tcPr>
          <w:p w14:paraId="388CF614" w14:textId="77777777" w:rsidR="00256957" w:rsidRPr="00A521D5" w:rsidRDefault="00256957" w:rsidP="00FB0E75">
            <w:pPr>
              <w:spacing w:after="0" w:line="240" w:lineRule="auto"/>
              <w:jc w:val="right"/>
              <w:rPr>
                <w:rFonts w:ascii="Arial" w:hAnsi="Arial" w:cs="Arial"/>
                <w:color w:val="auto"/>
                <w:sz w:val="16"/>
                <w:szCs w:val="16"/>
              </w:rPr>
            </w:pPr>
            <w:r w:rsidRPr="00A521D5">
              <w:rPr>
                <w:rFonts w:ascii="Arial" w:hAnsi="Arial" w:cs="Arial"/>
                <w:color w:val="auto"/>
                <w:sz w:val="16"/>
                <w:szCs w:val="16"/>
              </w:rPr>
              <w:t xml:space="preserve"> $m </w:t>
            </w:r>
          </w:p>
        </w:tc>
      </w:tr>
      <w:tr w:rsidR="00B546C3" w:rsidRPr="00A521D5" w14:paraId="64C46074" w14:textId="77777777" w:rsidTr="00AC1D53">
        <w:trPr>
          <w:trHeight w:val="255"/>
        </w:trPr>
        <w:tc>
          <w:tcPr>
            <w:tcW w:w="1103" w:type="pct"/>
            <w:tcBorders>
              <w:top w:val="nil"/>
              <w:left w:val="nil"/>
              <w:bottom w:val="nil"/>
              <w:right w:val="nil"/>
            </w:tcBorders>
            <w:shd w:val="clear" w:color="000000" w:fill="FFFFFF"/>
            <w:noWrap/>
            <w:vAlign w:val="center"/>
            <w:hideMark/>
          </w:tcPr>
          <w:p w14:paraId="4A194230"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UNITED STATES </w:t>
            </w:r>
          </w:p>
        </w:tc>
        <w:tc>
          <w:tcPr>
            <w:tcW w:w="0" w:type="pct"/>
            <w:tcBorders>
              <w:top w:val="nil"/>
              <w:left w:val="nil"/>
              <w:bottom w:val="nil"/>
              <w:right w:val="nil"/>
            </w:tcBorders>
            <w:shd w:val="clear" w:color="000000" w:fill="FFFFFF"/>
            <w:noWrap/>
            <w:vAlign w:val="center"/>
            <w:hideMark/>
          </w:tcPr>
          <w:p w14:paraId="460D14B6" w14:textId="77777777" w:rsidR="00256957" w:rsidRPr="00A521D5" w:rsidRDefault="006225EA" w:rsidP="00AC1D53">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7EE06BD2"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305 </w:t>
            </w:r>
          </w:p>
        </w:tc>
        <w:tc>
          <w:tcPr>
            <w:tcW w:w="449" w:type="pct"/>
            <w:tcBorders>
              <w:top w:val="nil"/>
              <w:left w:val="nil"/>
              <w:bottom w:val="nil"/>
              <w:right w:val="nil"/>
            </w:tcBorders>
            <w:shd w:val="clear" w:color="000000" w:fill="FFFFFF"/>
            <w:noWrap/>
            <w:vAlign w:val="center"/>
            <w:hideMark/>
          </w:tcPr>
          <w:p w14:paraId="0295521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716.8 </w:t>
            </w:r>
          </w:p>
        </w:tc>
        <w:tc>
          <w:tcPr>
            <w:tcW w:w="425" w:type="pct"/>
            <w:tcBorders>
              <w:top w:val="nil"/>
              <w:left w:val="nil"/>
              <w:bottom w:val="nil"/>
              <w:right w:val="nil"/>
            </w:tcBorders>
            <w:shd w:val="clear" w:color="000000" w:fill="FFFFFF"/>
            <w:noWrap/>
            <w:vAlign w:val="center"/>
            <w:hideMark/>
          </w:tcPr>
          <w:p w14:paraId="357B57D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2,540.5 </w:t>
            </w:r>
          </w:p>
        </w:tc>
        <w:tc>
          <w:tcPr>
            <w:tcW w:w="538" w:type="pct"/>
            <w:tcBorders>
              <w:top w:val="nil"/>
              <w:left w:val="nil"/>
              <w:bottom w:val="nil"/>
              <w:right w:val="nil"/>
            </w:tcBorders>
            <w:shd w:val="clear" w:color="000000" w:fill="FFFFFF"/>
            <w:noWrap/>
            <w:vAlign w:val="center"/>
            <w:hideMark/>
          </w:tcPr>
          <w:p w14:paraId="57E55C8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283.9 </w:t>
            </w:r>
          </w:p>
        </w:tc>
        <w:tc>
          <w:tcPr>
            <w:tcW w:w="465" w:type="pct"/>
            <w:tcBorders>
              <w:top w:val="nil"/>
              <w:left w:val="nil"/>
              <w:bottom w:val="nil"/>
              <w:right w:val="nil"/>
            </w:tcBorders>
            <w:shd w:val="clear" w:color="000000" w:fill="FFFFFF"/>
            <w:noWrap/>
            <w:vAlign w:val="center"/>
            <w:hideMark/>
          </w:tcPr>
          <w:p w14:paraId="151C535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4,681.9 </w:t>
            </w:r>
          </w:p>
        </w:tc>
        <w:tc>
          <w:tcPr>
            <w:tcW w:w="377" w:type="pct"/>
            <w:tcBorders>
              <w:top w:val="nil"/>
              <w:left w:val="nil"/>
              <w:bottom w:val="nil"/>
              <w:right w:val="nil"/>
            </w:tcBorders>
            <w:shd w:val="clear" w:color="000000" w:fill="FFFFFF"/>
            <w:noWrap/>
            <w:vAlign w:val="center"/>
            <w:hideMark/>
          </w:tcPr>
          <w:p w14:paraId="7AB6A47E"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13,088.8 </w:t>
            </w:r>
          </w:p>
        </w:tc>
        <w:tc>
          <w:tcPr>
            <w:tcW w:w="408" w:type="pct"/>
            <w:tcBorders>
              <w:top w:val="nil"/>
              <w:left w:val="nil"/>
              <w:bottom w:val="nil"/>
              <w:right w:val="nil"/>
            </w:tcBorders>
            <w:shd w:val="clear" w:color="000000" w:fill="FFFFFF"/>
            <w:noWrap/>
            <w:vAlign w:val="center"/>
            <w:hideMark/>
          </w:tcPr>
          <w:p w14:paraId="4BD17F31"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27,877.5 </w:t>
            </w:r>
          </w:p>
        </w:tc>
        <w:tc>
          <w:tcPr>
            <w:tcW w:w="679" w:type="pct"/>
            <w:tcBorders>
              <w:top w:val="nil"/>
              <w:left w:val="nil"/>
              <w:bottom w:val="nil"/>
              <w:right w:val="nil"/>
            </w:tcBorders>
            <w:shd w:val="clear" w:color="000000" w:fill="FFFFFF"/>
            <w:noWrap/>
            <w:vAlign w:val="center"/>
            <w:hideMark/>
          </w:tcPr>
          <w:p w14:paraId="3F0959B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49,189.3 </w:t>
            </w:r>
          </w:p>
        </w:tc>
      </w:tr>
      <w:tr w:rsidR="00B546C3" w:rsidRPr="00A521D5" w14:paraId="371CF8EB" w14:textId="77777777" w:rsidTr="00AC1D53">
        <w:trPr>
          <w:trHeight w:val="255"/>
        </w:trPr>
        <w:tc>
          <w:tcPr>
            <w:tcW w:w="1103" w:type="pct"/>
            <w:tcBorders>
              <w:top w:val="nil"/>
              <w:left w:val="nil"/>
              <w:bottom w:val="nil"/>
              <w:right w:val="nil"/>
            </w:tcBorders>
            <w:shd w:val="clear" w:color="000000" w:fill="FFFFFF"/>
            <w:noWrap/>
            <w:vAlign w:val="center"/>
            <w:hideMark/>
          </w:tcPr>
          <w:p w14:paraId="5CB53634"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JAPAN </w:t>
            </w:r>
          </w:p>
        </w:tc>
        <w:tc>
          <w:tcPr>
            <w:tcW w:w="0" w:type="pct"/>
            <w:tcBorders>
              <w:top w:val="nil"/>
              <w:left w:val="nil"/>
              <w:bottom w:val="nil"/>
              <w:right w:val="nil"/>
            </w:tcBorders>
            <w:shd w:val="clear" w:color="000000" w:fill="FFFFFF"/>
            <w:noWrap/>
            <w:vAlign w:val="center"/>
            <w:hideMark/>
          </w:tcPr>
          <w:p w14:paraId="2EED5098" w14:textId="77777777" w:rsidR="00256957" w:rsidRPr="00A521D5" w:rsidRDefault="006225EA" w:rsidP="00AC1D53">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613999AE"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129 </w:t>
            </w:r>
          </w:p>
        </w:tc>
        <w:tc>
          <w:tcPr>
            <w:tcW w:w="449" w:type="pct"/>
            <w:tcBorders>
              <w:top w:val="nil"/>
              <w:left w:val="nil"/>
              <w:bottom w:val="nil"/>
              <w:right w:val="nil"/>
            </w:tcBorders>
            <w:shd w:val="clear" w:color="000000" w:fill="FFFFFF"/>
            <w:noWrap/>
            <w:vAlign w:val="center"/>
            <w:hideMark/>
          </w:tcPr>
          <w:p w14:paraId="79C9867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197.8 </w:t>
            </w:r>
          </w:p>
        </w:tc>
        <w:tc>
          <w:tcPr>
            <w:tcW w:w="425" w:type="pct"/>
            <w:tcBorders>
              <w:top w:val="nil"/>
              <w:left w:val="nil"/>
              <w:bottom w:val="nil"/>
              <w:right w:val="nil"/>
            </w:tcBorders>
            <w:shd w:val="clear" w:color="000000" w:fill="FFFFFF"/>
            <w:noWrap/>
            <w:vAlign w:val="center"/>
            <w:hideMark/>
          </w:tcPr>
          <w:p w14:paraId="433896C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1,334.0 </w:t>
            </w:r>
          </w:p>
        </w:tc>
        <w:tc>
          <w:tcPr>
            <w:tcW w:w="538" w:type="pct"/>
            <w:tcBorders>
              <w:top w:val="nil"/>
              <w:left w:val="nil"/>
              <w:bottom w:val="nil"/>
              <w:right w:val="nil"/>
            </w:tcBorders>
            <w:shd w:val="clear" w:color="000000" w:fill="FFFFFF"/>
            <w:noWrap/>
            <w:vAlign w:val="center"/>
            <w:hideMark/>
          </w:tcPr>
          <w:p w14:paraId="6CFCA9B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17,487.9 </w:t>
            </w:r>
          </w:p>
        </w:tc>
        <w:tc>
          <w:tcPr>
            <w:tcW w:w="465" w:type="pct"/>
            <w:tcBorders>
              <w:top w:val="nil"/>
              <w:left w:val="nil"/>
              <w:bottom w:val="nil"/>
              <w:right w:val="nil"/>
            </w:tcBorders>
            <w:shd w:val="clear" w:color="000000" w:fill="FFFFFF"/>
            <w:noWrap/>
            <w:vAlign w:val="center"/>
            <w:hideMark/>
          </w:tcPr>
          <w:p w14:paraId="340749B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226.7 </w:t>
            </w:r>
          </w:p>
        </w:tc>
        <w:tc>
          <w:tcPr>
            <w:tcW w:w="377" w:type="pct"/>
            <w:tcBorders>
              <w:top w:val="nil"/>
              <w:left w:val="nil"/>
              <w:bottom w:val="nil"/>
              <w:right w:val="nil"/>
            </w:tcBorders>
            <w:shd w:val="clear" w:color="000000" w:fill="FFFFFF"/>
            <w:noWrap/>
            <w:vAlign w:val="center"/>
            <w:hideMark/>
          </w:tcPr>
          <w:p w14:paraId="16A2C2F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1,059.9 </w:t>
            </w:r>
          </w:p>
        </w:tc>
        <w:tc>
          <w:tcPr>
            <w:tcW w:w="408" w:type="pct"/>
            <w:tcBorders>
              <w:top w:val="nil"/>
              <w:left w:val="nil"/>
              <w:bottom w:val="nil"/>
              <w:right w:val="nil"/>
            </w:tcBorders>
            <w:shd w:val="clear" w:color="000000" w:fill="FFFFFF"/>
            <w:noWrap/>
            <w:vAlign w:val="center"/>
            <w:hideMark/>
          </w:tcPr>
          <w:p w14:paraId="7D1EA2B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1,774.9 </w:t>
            </w:r>
          </w:p>
        </w:tc>
        <w:tc>
          <w:tcPr>
            <w:tcW w:w="679" w:type="pct"/>
            <w:tcBorders>
              <w:top w:val="nil"/>
              <w:left w:val="nil"/>
              <w:bottom w:val="nil"/>
              <w:right w:val="nil"/>
            </w:tcBorders>
            <w:shd w:val="clear" w:color="000000" w:fill="FFFFFF"/>
            <w:noWrap/>
            <w:vAlign w:val="center"/>
            <w:hideMark/>
          </w:tcPr>
          <w:p w14:paraId="1B556C0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22,081.1 </w:t>
            </w:r>
          </w:p>
        </w:tc>
      </w:tr>
      <w:tr w:rsidR="00B546C3" w:rsidRPr="00A521D5" w14:paraId="39B649C2" w14:textId="77777777" w:rsidTr="00AC1D53">
        <w:trPr>
          <w:trHeight w:val="255"/>
        </w:trPr>
        <w:tc>
          <w:tcPr>
            <w:tcW w:w="1103" w:type="pct"/>
            <w:tcBorders>
              <w:top w:val="nil"/>
              <w:left w:val="nil"/>
              <w:bottom w:val="nil"/>
              <w:right w:val="nil"/>
            </w:tcBorders>
            <w:shd w:val="clear" w:color="000000" w:fill="FFFFFF"/>
            <w:noWrap/>
            <w:vAlign w:val="center"/>
            <w:hideMark/>
          </w:tcPr>
          <w:p w14:paraId="6D861CB2"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SINGAPORE </w:t>
            </w:r>
          </w:p>
        </w:tc>
        <w:tc>
          <w:tcPr>
            <w:tcW w:w="0" w:type="pct"/>
            <w:tcBorders>
              <w:top w:val="nil"/>
              <w:left w:val="nil"/>
              <w:bottom w:val="nil"/>
              <w:right w:val="nil"/>
            </w:tcBorders>
            <w:shd w:val="clear" w:color="000000" w:fill="FFFFFF"/>
            <w:noWrap/>
            <w:vAlign w:val="center"/>
            <w:hideMark/>
          </w:tcPr>
          <w:p w14:paraId="4D07C3E3" w14:textId="77777777" w:rsidR="00256957" w:rsidRPr="00A521D5" w:rsidRDefault="006225EA" w:rsidP="00FB0E75">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3DF2B29B"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423 </w:t>
            </w:r>
          </w:p>
        </w:tc>
        <w:tc>
          <w:tcPr>
            <w:tcW w:w="449" w:type="pct"/>
            <w:tcBorders>
              <w:top w:val="nil"/>
              <w:left w:val="nil"/>
              <w:bottom w:val="nil"/>
              <w:right w:val="nil"/>
            </w:tcBorders>
            <w:shd w:val="clear" w:color="000000" w:fill="FFFFFF"/>
            <w:noWrap/>
            <w:vAlign w:val="center"/>
            <w:hideMark/>
          </w:tcPr>
          <w:p w14:paraId="22BAC7A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1,374.8 </w:t>
            </w:r>
          </w:p>
        </w:tc>
        <w:tc>
          <w:tcPr>
            <w:tcW w:w="425" w:type="pct"/>
            <w:tcBorders>
              <w:top w:val="nil"/>
              <w:left w:val="nil"/>
              <w:bottom w:val="nil"/>
              <w:right w:val="nil"/>
            </w:tcBorders>
            <w:shd w:val="clear" w:color="000000" w:fill="FFFFFF"/>
            <w:noWrap/>
            <w:vAlign w:val="center"/>
            <w:hideMark/>
          </w:tcPr>
          <w:p w14:paraId="728A990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1,727.4 </w:t>
            </w:r>
          </w:p>
        </w:tc>
        <w:tc>
          <w:tcPr>
            <w:tcW w:w="538" w:type="pct"/>
            <w:tcBorders>
              <w:top w:val="nil"/>
              <w:left w:val="nil"/>
              <w:bottom w:val="nil"/>
              <w:right w:val="nil"/>
            </w:tcBorders>
            <w:shd w:val="clear" w:color="000000" w:fill="FFFFFF"/>
            <w:noWrap/>
            <w:vAlign w:val="center"/>
            <w:hideMark/>
          </w:tcPr>
          <w:p w14:paraId="4A1E6ED3"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798.3 </w:t>
            </w:r>
          </w:p>
        </w:tc>
        <w:tc>
          <w:tcPr>
            <w:tcW w:w="465" w:type="pct"/>
            <w:tcBorders>
              <w:top w:val="nil"/>
              <w:left w:val="nil"/>
              <w:bottom w:val="nil"/>
              <w:right w:val="nil"/>
            </w:tcBorders>
            <w:shd w:val="clear" w:color="000000" w:fill="FFFFFF"/>
            <w:noWrap/>
            <w:vAlign w:val="center"/>
            <w:hideMark/>
          </w:tcPr>
          <w:p w14:paraId="0C8E6C19"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8.9 </w:t>
            </w:r>
          </w:p>
        </w:tc>
        <w:tc>
          <w:tcPr>
            <w:tcW w:w="377" w:type="pct"/>
            <w:tcBorders>
              <w:top w:val="nil"/>
              <w:left w:val="nil"/>
              <w:bottom w:val="nil"/>
              <w:right w:val="nil"/>
            </w:tcBorders>
            <w:shd w:val="clear" w:color="000000" w:fill="FFFFFF"/>
            <w:noWrap/>
            <w:vAlign w:val="center"/>
            <w:hideMark/>
          </w:tcPr>
          <w:p w14:paraId="4ED5AD9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9,541.6 </w:t>
            </w:r>
          </w:p>
        </w:tc>
        <w:tc>
          <w:tcPr>
            <w:tcW w:w="408" w:type="pct"/>
            <w:tcBorders>
              <w:top w:val="nil"/>
              <w:left w:val="nil"/>
              <w:bottom w:val="nil"/>
              <w:right w:val="nil"/>
            </w:tcBorders>
            <w:shd w:val="clear" w:color="000000" w:fill="FFFFFF"/>
            <w:noWrap/>
            <w:vAlign w:val="center"/>
            <w:hideMark/>
          </w:tcPr>
          <w:p w14:paraId="7671174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2,740.4 </w:t>
            </w:r>
          </w:p>
        </w:tc>
        <w:tc>
          <w:tcPr>
            <w:tcW w:w="679" w:type="pct"/>
            <w:tcBorders>
              <w:top w:val="nil"/>
              <w:left w:val="nil"/>
              <w:bottom w:val="nil"/>
              <w:right w:val="nil"/>
            </w:tcBorders>
            <w:shd w:val="clear" w:color="000000" w:fill="FFFFFF"/>
            <w:noWrap/>
            <w:vAlign w:val="center"/>
            <w:hideMark/>
          </w:tcPr>
          <w:p w14:paraId="6B97CD92"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16,191.3 </w:t>
            </w:r>
          </w:p>
        </w:tc>
      </w:tr>
      <w:tr w:rsidR="00B546C3" w:rsidRPr="00A521D5" w14:paraId="45CB0F85" w14:textId="77777777" w:rsidTr="00AC1D53">
        <w:trPr>
          <w:trHeight w:val="255"/>
        </w:trPr>
        <w:tc>
          <w:tcPr>
            <w:tcW w:w="1103" w:type="pct"/>
            <w:tcBorders>
              <w:top w:val="nil"/>
              <w:left w:val="nil"/>
              <w:bottom w:val="nil"/>
              <w:right w:val="nil"/>
            </w:tcBorders>
            <w:shd w:val="clear" w:color="000000" w:fill="FFFFFF"/>
            <w:noWrap/>
            <w:vAlign w:val="center"/>
            <w:hideMark/>
          </w:tcPr>
          <w:p w14:paraId="21386AB9"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CANADA </w:t>
            </w:r>
          </w:p>
        </w:tc>
        <w:tc>
          <w:tcPr>
            <w:tcW w:w="0" w:type="pct"/>
            <w:tcBorders>
              <w:top w:val="nil"/>
              <w:left w:val="nil"/>
              <w:bottom w:val="nil"/>
              <w:right w:val="nil"/>
            </w:tcBorders>
            <w:shd w:val="clear" w:color="000000" w:fill="FFFFFF"/>
            <w:noWrap/>
            <w:vAlign w:val="center"/>
            <w:hideMark/>
          </w:tcPr>
          <w:p w14:paraId="0C630D7B" w14:textId="77777777" w:rsidR="00256957" w:rsidRPr="00A521D5" w:rsidRDefault="006225EA" w:rsidP="00AC1D53">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4F08EC1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260 </w:t>
            </w:r>
          </w:p>
        </w:tc>
        <w:tc>
          <w:tcPr>
            <w:tcW w:w="449" w:type="pct"/>
            <w:tcBorders>
              <w:top w:val="nil"/>
              <w:left w:val="nil"/>
              <w:bottom w:val="nil"/>
              <w:right w:val="nil"/>
            </w:tcBorders>
            <w:shd w:val="clear" w:color="000000" w:fill="FFFFFF"/>
            <w:noWrap/>
            <w:vAlign w:val="center"/>
            <w:hideMark/>
          </w:tcPr>
          <w:p w14:paraId="2456285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2,550.4 </w:t>
            </w:r>
          </w:p>
        </w:tc>
        <w:tc>
          <w:tcPr>
            <w:tcW w:w="425" w:type="pct"/>
            <w:tcBorders>
              <w:top w:val="nil"/>
              <w:left w:val="nil"/>
              <w:bottom w:val="nil"/>
              <w:right w:val="nil"/>
            </w:tcBorders>
            <w:shd w:val="clear" w:color="000000" w:fill="FFFFFF"/>
            <w:noWrap/>
            <w:vAlign w:val="center"/>
            <w:hideMark/>
          </w:tcPr>
          <w:p w14:paraId="1856605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195.0 </w:t>
            </w:r>
          </w:p>
        </w:tc>
        <w:tc>
          <w:tcPr>
            <w:tcW w:w="538" w:type="pct"/>
            <w:tcBorders>
              <w:top w:val="nil"/>
              <w:left w:val="nil"/>
              <w:bottom w:val="nil"/>
              <w:right w:val="nil"/>
            </w:tcBorders>
            <w:shd w:val="clear" w:color="000000" w:fill="FFFFFF"/>
            <w:noWrap/>
            <w:vAlign w:val="center"/>
            <w:hideMark/>
          </w:tcPr>
          <w:p w14:paraId="44BB593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2,048.2 </w:t>
            </w:r>
          </w:p>
        </w:tc>
        <w:tc>
          <w:tcPr>
            <w:tcW w:w="465" w:type="pct"/>
            <w:tcBorders>
              <w:top w:val="nil"/>
              <w:left w:val="nil"/>
              <w:bottom w:val="nil"/>
              <w:right w:val="nil"/>
            </w:tcBorders>
            <w:shd w:val="clear" w:color="000000" w:fill="FFFFFF"/>
            <w:noWrap/>
            <w:vAlign w:val="center"/>
            <w:hideMark/>
          </w:tcPr>
          <w:p w14:paraId="625ADB9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597.2 </w:t>
            </w:r>
          </w:p>
        </w:tc>
        <w:tc>
          <w:tcPr>
            <w:tcW w:w="377" w:type="pct"/>
            <w:tcBorders>
              <w:top w:val="nil"/>
              <w:left w:val="nil"/>
              <w:bottom w:val="nil"/>
              <w:right w:val="nil"/>
            </w:tcBorders>
            <w:shd w:val="clear" w:color="000000" w:fill="FFFFFF"/>
            <w:noWrap/>
            <w:vAlign w:val="center"/>
            <w:hideMark/>
          </w:tcPr>
          <w:p w14:paraId="52A606D1"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3,307.1 </w:t>
            </w:r>
          </w:p>
        </w:tc>
        <w:tc>
          <w:tcPr>
            <w:tcW w:w="408" w:type="pct"/>
            <w:tcBorders>
              <w:top w:val="nil"/>
              <w:left w:val="nil"/>
              <w:bottom w:val="nil"/>
              <w:right w:val="nil"/>
            </w:tcBorders>
            <w:shd w:val="clear" w:color="000000" w:fill="FFFFFF"/>
            <w:noWrap/>
            <w:vAlign w:val="center"/>
            <w:hideMark/>
          </w:tcPr>
          <w:p w14:paraId="4660622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7,325.9 </w:t>
            </w:r>
          </w:p>
        </w:tc>
        <w:tc>
          <w:tcPr>
            <w:tcW w:w="679" w:type="pct"/>
            <w:tcBorders>
              <w:top w:val="nil"/>
              <w:left w:val="nil"/>
              <w:bottom w:val="nil"/>
              <w:right w:val="nil"/>
            </w:tcBorders>
            <w:shd w:val="clear" w:color="000000" w:fill="FFFFFF"/>
            <w:noWrap/>
            <w:vAlign w:val="center"/>
            <w:hideMark/>
          </w:tcPr>
          <w:p w14:paraId="7AA27763"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16,023.8 </w:t>
            </w:r>
          </w:p>
        </w:tc>
      </w:tr>
      <w:tr w:rsidR="00B546C3" w:rsidRPr="00A521D5" w14:paraId="3516AB98" w14:textId="77777777" w:rsidTr="00AC1D53">
        <w:trPr>
          <w:trHeight w:val="255"/>
        </w:trPr>
        <w:tc>
          <w:tcPr>
            <w:tcW w:w="1103" w:type="pct"/>
            <w:tcBorders>
              <w:top w:val="nil"/>
              <w:left w:val="nil"/>
              <w:bottom w:val="nil"/>
              <w:right w:val="nil"/>
            </w:tcBorders>
            <w:shd w:val="clear" w:color="000000" w:fill="FFFFFF"/>
            <w:noWrap/>
            <w:vAlign w:val="center"/>
            <w:hideMark/>
          </w:tcPr>
          <w:p w14:paraId="1A1F3337"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UNITED KINGDOM </w:t>
            </w:r>
          </w:p>
        </w:tc>
        <w:tc>
          <w:tcPr>
            <w:tcW w:w="0" w:type="pct"/>
            <w:tcBorders>
              <w:top w:val="nil"/>
              <w:left w:val="nil"/>
              <w:bottom w:val="nil"/>
              <w:right w:val="nil"/>
            </w:tcBorders>
            <w:shd w:val="clear" w:color="000000" w:fill="FFFFFF"/>
            <w:noWrap/>
            <w:vAlign w:val="center"/>
            <w:hideMark/>
          </w:tcPr>
          <w:p w14:paraId="39FC8CEA" w14:textId="77777777" w:rsidR="00256957" w:rsidRPr="00A521D5" w:rsidRDefault="006225EA" w:rsidP="00FB0E75">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28B6AED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350 </w:t>
            </w:r>
          </w:p>
        </w:tc>
        <w:tc>
          <w:tcPr>
            <w:tcW w:w="449" w:type="pct"/>
            <w:tcBorders>
              <w:top w:val="nil"/>
              <w:left w:val="nil"/>
              <w:bottom w:val="nil"/>
              <w:right w:val="nil"/>
            </w:tcBorders>
            <w:shd w:val="clear" w:color="000000" w:fill="FFFFFF"/>
            <w:noWrap/>
            <w:vAlign w:val="center"/>
            <w:hideMark/>
          </w:tcPr>
          <w:p w14:paraId="035F6DE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232.4 </w:t>
            </w:r>
          </w:p>
        </w:tc>
        <w:tc>
          <w:tcPr>
            <w:tcW w:w="425" w:type="pct"/>
            <w:tcBorders>
              <w:top w:val="nil"/>
              <w:left w:val="nil"/>
              <w:bottom w:val="nil"/>
              <w:right w:val="nil"/>
            </w:tcBorders>
            <w:shd w:val="clear" w:color="000000" w:fill="FFFFFF"/>
            <w:noWrap/>
            <w:vAlign w:val="center"/>
            <w:hideMark/>
          </w:tcPr>
          <w:p w14:paraId="7F07853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2,274.2 </w:t>
            </w:r>
          </w:p>
        </w:tc>
        <w:tc>
          <w:tcPr>
            <w:tcW w:w="538" w:type="pct"/>
            <w:tcBorders>
              <w:top w:val="nil"/>
              <w:left w:val="nil"/>
              <w:bottom w:val="nil"/>
              <w:right w:val="nil"/>
            </w:tcBorders>
            <w:shd w:val="clear" w:color="000000" w:fill="FFFFFF"/>
            <w:noWrap/>
            <w:vAlign w:val="center"/>
            <w:hideMark/>
          </w:tcPr>
          <w:p w14:paraId="5E8F64F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464.6 </w:t>
            </w:r>
          </w:p>
        </w:tc>
        <w:tc>
          <w:tcPr>
            <w:tcW w:w="465" w:type="pct"/>
            <w:tcBorders>
              <w:top w:val="nil"/>
              <w:left w:val="nil"/>
              <w:bottom w:val="nil"/>
              <w:right w:val="nil"/>
            </w:tcBorders>
            <w:shd w:val="clear" w:color="000000" w:fill="FFFFFF"/>
            <w:noWrap/>
            <w:vAlign w:val="center"/>
            <w:hideMark/>
          </w:tcPr>
          <w:p w14:paraId="3E20BEC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1,339.2 </w:t>
            </w:r>
          </w:p>
        </w:tc>
        <w:tc>
          <w:tcPr>
            <w:tcW w:w="377" w:type="pct"/>
            <w:tcBorders>
              <w:top w:val="nil"/>
              <w:left w:val="nil"/>
              <w:bottom w:val="nil"/>
              <w:right w:val="nil"/>
            </w:tcBorders>
            <w:shd w:val="clear" w:color="000000" w:fill="FFFFFF"/>
            <w:noWrap/>
            <w:vAlign w:val="center"/>
            <w:hideMark/>
          </w:tcPr>
          <w:p w14:paraId="0943C5D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1,583.0 </w:t>
            </w:r>
          </w:p>
        </w:tc>
        <w:tc>
          <w:tcPr>
            <w:tcW w:w="408" w:type="pct"/>
            <w:tcBorders>
              <w:top w:val="nil"/>
              <w:left w:val="nil"/>
              <w:bottom w:val="nil"/>
              <w:right w:val="nil"/>
            </w:tcBorders>
            <w:shd w:val="clear" w:color="000000" w:fill="FFFFFF"/>
            <w:noWrap/>
            <w:vAlign w:val="center"/>
            <w:hideMark/>
          </w:tcPr>
          <w:p w14:paraId="0809920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9,027.4 </w:t>
            </w:r>
          </w:p>
        </w:tc>
        <w:tc>
          <w:tcPr>
            <w:tcW w:w="679" w:type="pct"/>
            <w:tcBorders>
              <w:top w:val="nil"/>
              <w:left w:val="nil"/>
              <w:bottom w:val="nil"/>
              <w:right w:val="nil"/>
            </w:tcBorders>
            <w:shd w:val="clear" w:color="000000" w:fill="FFFFFF"/>
            <w:noWrap/>
            <w:vAlign w:val="center"/>
            <w:hideMark/>
          </w:tcPr>
          <w:p w14:paraId="72334CD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14,920.7 </w:t>
            </w:r>
          </w:p>
        </w:tc>
      </w:tr>
      <w:tr w:rsidR="00B546C3" w:rsidRPr="00A521D5" w14:paraId="3D6C9721" w14:textId="77777777" w:rsidTr="00AC1D53">
        <w:trPr>
          <w:trHeight w:val="255"/>
        </w:trPr>
        <w:tc>
          <w:tcPr>
            <w:tcW w:w="1103" w:type="pct"/>
            <w:tcBorders>
              <w:top w:val="nil"/>
              <w:left w:val="nil"/>
              <w:bottom w:val="nil"/>
              <w:right w:val="nil"/>
            </w:tcBorders>
            <w:shd w:val="clear" w:color="000000" w:fill="FFFFFF"/>
            <w:noWrap/>
            <w:vAlign w:val="center"/>
            <w:hideMark/>
          </w:tcPr>
          <w:p w14:paraId="41C1AC94"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CHINA </w:t>
            </w:r>
          </w:p>
        </w:tc>
        <w:tc>
          <w:tcPr>
            <w:tcW w:w="0" w:type="pct"/>
            <w:tcBorders>
              <w:top w:val="nil"/>
              <w:left w:val="nil"/>
              <w:bottom w:val="nil"/>
              <w:right w:val="nil"/>
            </w:tcBorders>
            <w:shd w:val="clear" w:color="000000" w:fill="FFFFFF"/>
            <w:noWrap/>
            <w:vAlign w:val="center"/>
            <w:hideMark/>
          </w:tcPr>
          <w:p w14:paraId="3E0672BF" w14:textId="77777777" w:rsidR="00256957" w:rsidRPr="00A521D5" w:rsidRDefault="006225EA" w:rsidP="00AC1D53">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186CE01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4,314 </w:t>
            </w:r>
          </w:p>
        </w:tc>
        <w:tc>
          <w:tcPr>
            <w:tcW w:w="449" w:type="pct"/>
            <w:tcBorders>
              <w:top w:val="nil"/>
              <w:left w:val="nil"/>
              <w:bottom w:val="nil"/>
              <w:right w:val="nil"/>
            </w:tcBorders>
            <w:shd w:val="clear" w:color="000000" w:fill="FFFFFF"/>
            <w:noWrap/>
            <w:vAlign w:val="center"/>
            <w:hideMark/>
          </w:tcPr>
          <w:p w14:paraId="23DD3F2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300.5 </w:t>
            </w:r>
          </w:p>
        </w:tc>
        <w:tc>
          <w:tcPr>
            <w:tcW w:w="425" w:type="pct"/>
            <w:tcBorders>
              <w:top w:val="nil"/>
              <w:left w:val="nil"/>
              <w:bottom w:val="nil"/>
              <w:right w:val="nil"/>
            </w:tcBorders>
            <w:shd w:val="clear" w:color="000000" w:fill="FFFFFF"/>
            <w:noWrap/>
            <w:vAlign w:val="center"/>
            <w:hideMark/>
          </w:tcPr>
          <w:p w14:paraId="79CD680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1,030.0 </w:t>
            </w:r>
          </w:p>
        </w:tc>
        <w:tc>
          <w:tcPr>
            <w:tcW w:w="538" w:type="pct"/>
            <w:tcBorders>
              <w:top w:val="nil"/>
              <w:left w:val="nil"/>
              <w:bottom w:val="nil"/>
              <w:right w:val="nil"/>
            </w:tcBorders>
            <w:shd w:val="clear" w:color="000000" w:fill="FFFFFF"/>
            <w:noWrap/>
            <w:vAlign w:val="center"/>
            <w:hideMark/>
          </w:tcPr>
          <w:p w14:paraId="581BD33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1,936.7 </w:t>
            </w:r>
          </w:p>
        </w:tc>
        <w:tc>
          <w:tcPr>
            <w:tcW w:w="465" w:type="pct"/>
            <w:tcBorders>
              <w:top w:val="nil"/>
              <w:left w:val="nil"/>
              <w:bottom w:val="nil"/>
              <w:right w:val="nil"/>
            </w:tcBorders>
            <w:shd w:val="clear" w:color="000000" w:fill="FFFFFF"/>
            <w:noWrap/>
            <w:vAlign w:val="center"/>
            <w:hideMark/>
          </w:tcPr>
          <w:p w14:paraId="3E82D1B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836.5 </w:t>
            </w:r>
          </w:p>
        </w:tc>
        <w:tc>
          <w:tcPr>
            <w:tcW w:w="377" w:type="pct"/>
            <w:tcBorders>
              <w:top w:val="nil"/>
              <w:left w:val="nil"/>
              <w:bottom w:val="nil"/>
              <w:right w:val="nil"/>
            </w:tcBorders>
            <w:shd w:val="clear" w:color="000000" w:fill="FFFFFF"/>
            <w:noWrap/>
            <w:vAlign w:val="center"/>
            <w:hideMark/>
          </w:tcPr>
          <w:p w14:paraId="3BB3AF5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7,110.7 </w:t>
            </w:r>
          </w:p>
        </w:tc>
        <w:tc>
          <w:tcPr>
            <w:tcW w:w="408" w:type="pct"/>
            <w:tcBorders>
              <w:top w:val="nil"/>
              <w:left w:val="nil"/>
              <w:bottom w:val="nil"/>
              <w:right w:val="nil"/>
            </w:tcBorders>
            <w:shd w:val="clear" w:color="000000" w:fill="FFFFFF"/>
            <w:noWrap/>
            <w:vAlign w:val="center"/>
            <w:hideMark/>
          </w:tcPr>
          <w:p w14:paraId="775BA633"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1,538.4 </w:t>
            </w:r>
          </w:p>
        </w:tc>
        <w:tc>
          <w:tcPr>
            <w:tcW w:w="679" w:type="pct"/>
            <w:tcBorders>
              <w:top w:val="nil"/>
              <w:left w:val="nil"/>
              <w:bottom w:val="nil"/>
              <w:right w:val="nil"/>
            </w:tcBorders>
            <w:shd w:val="clear" w:color="000000" w:fill="FFFFFF"/>
            <w:noWrap/>
            <w:vAlign w:val="center"/>
            <w:hideMark/>
          </w:tcPr>
          <w:p w14:paraId="1203F8C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12,752.8 </w:t>
            </w:r>
          </w:p>
        </w:tc>
      </w:tr>
      <w:tr w:rsidR="00B546C3" w:rsidRPr="00A521D5" w14:paraId="143D0FB2" w14:textId="77777777" w:rsidTr="00CC3060">
        <w:trPr>
          <w:trHeight w:val="255"/>
        </w:trPr>
        <w:tc>
          <w:tcPr>
            <w:tcW w:w="1103" w:type="pct"/>
            <w:tcBorders>
              <w:top w:val="nil"/>
              <w:left w:val="nil"/>
              <w:bottom w:val="nil"/>
              <w:right w:val="nil"/>
            </w:tcBorders>
            <w:shd w:val="clear" w:color="000000" w:fill="FFFFFF"/>
            <w:noWrap/>
            <w:vAlign w:val="center"/>
            <w:hideMark/>
          </w:tcPr>
          <w:p w14:paraId="09EEB1D8"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HONG KONG </w:t>
            </w:r>
          </w:p>
        </w:tc>
        <w:tc>
          <w:tcPr>
            <w:tcW w:w="0" w:type="pct"/>
            <w:tcBorders>
              <w:top w:val="nil"/>
              <w:left w:val="nil"/>
              <w:bottom w:val="nil"/>
              <w:right w:val="nil"/>
            </w:tcBorders>
            <w:shd w:val="clear" w:color="000000" w:fill="FFFFFF"/>
            <w:noWrap/>
            <w:vAlign w:val="center"/>
          </w:tcPr>
          <w:p w14:paraId="252971AE" w14:textId="77777777" w:rsidR="00256957" w:rsidRPr="00A521D5" w:rsidRDefault="00256957" w:rsidP="00FB0E75">
            <w:pPr>
              <w:spacing w:after="0" w:line="240" w:lineRule="auto"/>
              <w:jc w:val="right"/>
              <w:rPr>
                <w:rFonts w:ascii="Arial" w:hAnsi="Arial" w:cs="Arial"/>
                <w:sz w:val="16"/>
                <w:szCs w:val="16"/>
              </w:rPr>
            </w:pPr>
          </w:p>
        </w:tc>
        <w:tc>
          <w:tcPr>
            <w:tcW w:w="449" w:type="pct"/>
            <w:tcBorders>
              <w:top w:val="nil"/>
              <w:left w:val="nil"/>
              <w:bottom w:val="nil"/>
              <w:right w:val="nil"/>
            </w:tcBorders>
            <w:shd w:val="clear" w:color="000000" w:fill="FFFFFF"/>
            <w:noWrap/>
            <w:vAlign w:val="center"/>
            <w:hideMark/>
          </w:tcPr>
          <w:p w14:paraId="41FADB41"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743 </w:t>
            </w:r>
          </w:p>
        </w:tc>
        <w:tc>
          <w:tcPr>
            <w:tcW w:w="449" w:type="pct"/>
            <w:tcBorders>
              <w:top w:val="nil"/>
              <w:left w:val="nil"/>
              <w:bottom w:val="nil"/>
              <w:right w:val="nil"/>
            </w:tcBorders>
            <w:shd w:val="clear" w:color="000000" w:fill="FFFFFF"/>
            <w:noWrap/>
            <w:vAlign w:val="center"/>
            <w:hideMark/>
          </w:tcPr>
          <w:p w14:paraId="4FBA2B8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205.5 </w:t>
            </w:r>
          </w:p>
        </w:tc>
        <w:tc>
          <w:tcPr>
            <w:tcW w:w="425" w:type="pct"/>
            <w:tcBorders>
              <w:top w:val="nil"/>
              <w:left w:val="nil"/>
              <w:bottom w:val="nil"/>
              <w:right w:val="nil"/>
            </w:tcBorders>
            <w:shd w:val="clear" w:color="000000" w:fill="FFFFFF"/>
            <w:noWrap/>
            <w:vAlign w:val="center"/>
            <w:hideMark/>
          </w:tcPr>
          <w:p w14:paraId="3425790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97.6 </w:t>
            </w:r>
          </w:p>
        </w:tc>
        <w:tc>
          <w:tcPr>
            <w:tcW w:w="538" w:type="pct"/>
            <w:tcBorders>
              <w:top w:val="nil"/>
              <w:left w:val="nil"/>
              <w:bottom w:val="nil"/>
              <w:right w:val="nil"/>
            </w:tcBorders>
            <w:shd w:val="clear" w:color="000000" w:fill="FFFFFF"/>
            <w:noWrap/>
            <w:vAlign w:val="center"/>
            <w:hideMark/>
          </w:tcPr>
          <w:p w14:paraId="1CA0828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417.5 </w:t>
            </w:r>
          </w:p>
        </w:tc>
        <w:tc>
          <w:tcPr>
            <w:tcW w:w="465" w:type="pct"/>
            <w:tcBorders>
              <w:top w:val="nil"/>
              <w:left w:val="nil"/>
              <w:bottom w:val="nil"/>
              <w:right w:val="nil"/>
            </w:tcBorders>
            <w:shd w:val="clear" w:color="000000" w:fill="FFFFFF"/>
            <w:noWrap/>
            <w:vAlign w:val="center"/>
            <w:hideMark/>
          </w:tcPr>
          <w:p w14:paraId="54BBE9A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13.9 </w:t>
            </w:r>
          </w:p>
        </w:tc>
        <w:tc>
          <w:tcPr>
            <w:tcW w:w="377" w:type="pct"/>
            <w:tcBorders>
              <w:top w:val="nil"/>
              <w:left w:val="nil"/>
              <w:bottom w:val="nil"/>
              <w:right w:val="nil"/>
            </w:tcBorders>
            <w:shd w:val="clear" w:color="000000" w:fill="FFFFFF"/>
            <w:noWrap/>
            <w:vAlign w:val="center"/>
            <w:hideMark/>
          </w:tcPr>
          <w:p w14:paraId="47FF947E"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2,412.2 </w:t>
            </w:r>
          </w:p>
        </w:tc>
        <w:tc>
          <w:tcPr>
            <w:tcW w:w="408" w:type="pct"/>
            <w:tcBorders>
              <w:top w:val="nil"/>
              <w:left w:val="nil"/>
              <w:bottom w:val="nil"/>
              <w:right w:val="nil"/>
            </w:tcBorders>
            <w:shd w:val="clear" w:color="000000" w:fill="FFFFFF"/>
            <w:noWrap/>
            <w:vAlign w:val="center"/>
            <w:hideMark/>
          </w:tcPr>
          <w:p w14:paraId="32F08409"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8,153.1 </w:t>
            </w:r>
          </w:p>
        </w:tc>
        <w:tc>
          <w:tcPr>
            <w:tcW w:w="679" w:type="pct"/>
            <w:tcBorders>
              <w:top w:val="nil"/>
              <w:left w:val="nil"/>
              <w:bottom w:val="nil"/>
              <w:right w:val="nil"/>
            </w:tcBorders>
            <w:shd w:val="clear" w:color="000000" w:fill="FFFFFF"/>
            <w:noWrap/>
            <w:vAlign w:val="center"/>
            <w:hideMark/>
          </w:tcPr>
          <w:p w14:paraId="50061413"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11,299.7 </w:t>
            </w:r>
          </w:p>
        </w:tc>
      </w:tr>
      <w:tr w:rsidR="00B546C3" w:rsidRPr="00A521D5" w14:paraId="79A52A89" w14:textId="77777777" w:rsidTr="00CC3060">
        <w:trPr>
          <w:trHeight w:val="255"/>
        </w:trPr>
        <w:tc>
          <w:tcPr>
            <w:tcW w:w="1103" w:type="pct"/>
            <w:tcBorders>
              <w:top w:val="nil"/>
              <w:left w:val="nil"/>
              <w:bottom w:val="nil"/>
              <w:right w:val="nil"/>
            </w:tcBorders>
            <w:shd w:val="clear" w:color="000000" w:fill="FFFFFF"/>
            <w:noWrap/>
            <w:vAlign w:val="center"/>
            <w:hideMark/>
          </w:tcPr>
          <w:p w14:paraId="058FDDA2"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FRANCE </w:t>
            </w:r>
          </w:p>
        </w:tc>
        <w:tc>
          <w:tcPr>
            <w:tcW w:w="0" w:type="pct"/>
            <w:tcBorders>
              <w:top w:val="nil"/>
              <w:left w:val="nil"/>
              <w:bottom w:val="nil"/>
              <w:right w:val="nil"/>
            </w:tcBorders>
            <w:shd w:val="clear" w:color="000000" w:fill="FFFFFF"/>
            <w:noWrap/>
            <w:vAlign w:val="center"/>
          </w:tcPr>
          <w:p w14:paraId="7B364BA4" w14:textId="77777777" w:rsidR="00256957" w:rsidRPr="00A521D5" w:rsidRDefault="00256957" w:rsidP="00AC1D53">
            <w:pPr>
              <w:spacing w:after="0" w:line="240" w:lineRule="auto"/>
              <w:jc w:val="right"/>
              <w:rPr>
                <w:rFonts w:ascii="Arial" w:hAnsi="Arial" w:cs="Arial"/>
                <w:sz w:val="16"/>
                <w:szCs w:val="16"/>
              </w:rPr>
            </w:pPr>
          </w:p>
        </w:tc>
        <w:tc>
          <w:tcPr>
            <w:tcW w:w="449" w:type="pct"/>
            <w:tcBorders>
              <w:top w:val="nil"/>
              <w:left w:val="nil"/>
              <w:bottom w:val="nil"/>
              <w:right w:val="nil"/>
            </w:tcBorders>
            <w:shd w:val="clear" w:color="000000" w:fill="FFFFFF"/>
            <w:noWrap/>
            <w:vAlign w:val="center"/>
            <w:hideMark/>
          </w:tcPr>
          <w:p w14:paraId="6D00D0D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90 </w:t>
            </w:r>
          </w:p>
        </w:tc>
        <w:tc>
          <w:tcPr>
            <w:tcW w:w="449" w:type="pct"/>
            <w:tcBorders>
              <w:top w:val="nil"/>
              <w:left w:val="nil"/>
              <w:bottom w:val="nil"/>
              <w:right w:val="nil"/>
            </w:tcBorders>
            <w:shd w:val="clear" w:color="000000" w:fill="FFFFFF"/>
            <w:noWrap/>
            <w:vAlign w:val="center"/>
            <w:hideMark/>
          </w:tcPr>
          <w:p w14:paraId="535857C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23.0 </w:t>
            </w:r>
          </w:p>
        </w:tc>
        <w:tc>
          <w:tcPr>
            <w:tcW w:w="425" w:type="pct"/>
            <w:tcBorders>
              <w:top w:val="nil"/>
              <w:left w:val="nil"/>
              <w:bottom w:val="nil"/>
              <w:right w:val="nil"/>
            </w:tcBorders>
            <w:shd w:val="clear" w:color="000000" w:fill="FFFFFF"/>
            <w:noWrap/>
            <w:vAlign w:val="center"/>
            <w:hideMark/>
          </w:tcPr>
          <w:p w14:paraId="7F2BD2B1" w14:textId="44E2812E"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538" w:type="pct"/>
            <w:tcBorders>
              <w:top w:val="nil"/>
              <w:left w:val="nil"/>
              <w:bottom w:val="nil"/>
              <w:right w:val="nil"/>
            </w:tcBorders>
            <w:shd w:val="clear" w:color="000000" w:fill="FFFFFF"/>
            <w:noWrap/>
            <w:vAlign w:val="center"/>
            <w:hideMark/>
          </w:tcPr>
          <w:p w14:paraId="4F3EBDF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5,033.5 </w:t>
            </w:r>
          </w:p>
        </w:tc>
        <w:tc>
          <w:tcPr>
            <w:tcW w:w="465" w:type="pct"/>
            <w:tcBorders>
              <w:top w:val="nil"/>
              <w:left w:val="nil"/>
              <w:bottom w:val="nil"/>
              <w:right w:val="nil"/>
            </w:tcBorders>
            <w:shd w:val="clear" w:color="000000" w:fill="FFFFFF"/>
            <w:noWrap/>
            <w:vAlign w:val="center"/>
            <w:hideMark/>
          </w:tcPr>
          <w:p w14:paraId="350BB67B"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301.3 </w:t>
            </w:r>
          </w:p>
        </w:tc>
        <w:tc>
          <w:tcPr>
            <w:tcW w:w="377" w:type="pct"/>
            <w:tcBorders>
              <w:top w:val="nil"/>
              <w:left w:val="nil"/>
              <w:bottom w:val="nil"/>
              <w:right w:val="nil"/>
            </w:tcBorders>
            <w:shd w:val="clear" w:color="000000" w:fill="FFFFFF"/>
            <w:noWrap/>
            <w:vAlign w:val="center"/>
            <w:hideMark/>
          </w:tcPr>
          <w:p w14:paraId="1D64542B"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2,415.8 </w:t>
            </w:r>
          </w:p>
        </w:tc>
        <w:tc>
          <w:tcPr>
            <w:tcW w:w="408" w:type="pct"/>
            <w:tcBorders>
              <w:top w:val="nil"/>
              <w:left w:val="nil"/>
              <w:bottom w:val="nil"/>
              <w:right w:val="nil"/>
            </w:tcBorders>
            <w:shd w:val="clear" w:color="000000" w:fill="FFFFFF"/>
            <w:noWrap/>
            <w:vAlign w:val="center"/>
            <w:hideMark/>
          </w:tcPr>
          <w:p w14:paraId="2CFDB40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1,212.2 </w:t>
            </w:r>
          </w:p>
        </w:tc>
        <w:tc>
          <w:tcPr>
            <w:tcW w:w="679" w:type="pct"/>
            <w:tcBorders>
              <w:top w:val="nil"/>
              <w:left w:val="nil"/>
              <w:bottom w:val="nil"/>
              <w:right w:val="nil"/>
            </w:tcBorders>
            <w:shd w:val="clear" w:color="000000" w:fill="FFFFFF"/>
            <w:noWrap/>
            <w:vAlign w:val="center"/>
            <w:hideMark/>
          </w:tcPr>
          <w:p w14:paraId="1BF0A2E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8,985.8 </w:t>
            </w:r>
          </w:p>
        </w:tc>
      </w:tr>
      <w:tr w:rsidR="00B546C3" w:rsidRPr="00A521D5" w14:paraId="7075F9BC" w14:textId="77777777" w:rsidTr="00CC3060">
        <w:trPr>
          <w:trHeight w:val="255"/>
        </w:trPr>
        <w:tc>
          <w:tcPr>
            <w:tcW w:w="1103" w:type="pct"/>
            <w:tcBorders>
              <w:top w:val="nil"/>
              <w:left w:val="nil"/>
              <w:bottom w:val="nil"/>
              <w:right w:val="nil"/>
            </w:tcBorders>
            <w:shd w:val="clear" w:color="000000" w:fill="FFFFFF"/>
            <w:noWrap/>
            <w:vAlign w:val="center"/>
            <w:hideMark/>
          </w:tcPr>
          <w:p w14:paraId="505DCEB1"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UNITED ARAB EMIRATES </w:t>
            </w:r>
          </w:p>
        </w:tc>
        <w:tc>
          <w:tcPr>
            <w:tcW w:w="0" w:type="pct"/>
            <w:tcBorders>
              <w:top w:val="nil"/>
              <w:left w:val="nil"/>
              <w:bottom w:val="nil"/>
              <w:right w:val="nil"/>
            </w:tcBorders>
            <w:shd w:val="clear" w:color="000000" w:fill="FFFFFF"/>
            <w:noWrap/>
            <w:vAlign w:val="center"/>
          </w:tcPr>
          <w:p w14:paraId="39CF3F22" w14:textId="77777777" w:rsidR="00256957" w:rsidRPr="00A521D5" w:rsidRDefault="00256957" w:rsidP="00FB0E75">
            <w:pPr>
              <w:spacing w:after="0" w:line="240" w:lineRule="auto"/>
              <w:jc w:val="right"/>
              <w:rPr>
                <w:rFonts w:ascii="Arial" w:hAnsi="Arial" w:cs="Arial"/>
                <w:sz w:val="16"/>
                <w:szCs w:val="16"/>
              </w:rPr>
            </w:pPr>
          </w:p>
        </w:tc>
        <w:tc>
          <w:tcPr>
            <w:tcW w:w="449" w:type="pct"/>
            <w:tcBorders>
              <w:top w:val="nil"/>
              <w:left w:val="nil"/>
              <w:bottom w:val="nil"/>
              <w:right w:val="nil"/>
            </w:tcBorders>
            <w:shd w:val="clear" w:color="000000" w:fill="FFFFFF"/>
            <w:noWrap/>
            <w:vAlign w:val="center"/>
            <w:hideMark/>
          </w:tcPr>
          <w:p w14:paraId="5EB5C53B"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80 </w:t>
            </w:r>
          </w:p>
        </w:tc>
        <w:tc>
          <w:tcPr>
            <w:tcW w:w="449" w:type="pct"/>
            <w:tcBorders>
              <w:top w:val="nil"/>
              <w:left w:val="nil"/>
              <w:bottom w:val="nil"/>
              <w:right w:val="nil"/>
            </w:tcBorders>
            <w:shd w:val="clear" w:color="000000" w:fill="FFFFFF"/>
            <w:noWrap/>
            <w:vAlign w:val="center"/>
            <w:hideMark/>
          </w:tcPr>
          <w:p w14:paraId="7E5C460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39.8 </w:t>
            </w:r>
          </w:p>
        </w:tc>
        <w:tc>
          <w:tcPr>
            <w:tcW w:w="425" w:type="pct"/>
            <w:tcBorders>
              <w:top w:val="nil"/>
              <w:left w:val="nil"/>
              <w:bottom w:val="nil"/>
              <w:right w:val="nil"/>
            </w:tcBorders>
            <w:shd w:val="clear" w:color="000000" w:fill="FFFFFF"/>
            <w:noWrap/>
            <w:vAlign w:val="center"/>
            <w:hideMark/>
          </w:tcPr>
          <w:p w14:paraId="34F702A3"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865.9 </w:t>
            </w:r>
          </w:p>
        </w:tc>
        <w:tc>
          <w:tcPr>
            <w:tcW w:w="538" w:type="pct"/>
            <w:tcBorders>
              <w:top w:val="nil"/>
              <w:left w:val="nil"/>
              <w:bottom w:val="nil"/>
              <w:right w:val="nil"/>
            </w:tcBorders>
            <w:shd w:val="clear" w:color="000000" w:fill="FFFFFF"/>
            <w:noWrap/>
            <w:vAlign w:val="center"/>
            <w:hideMark/>
          </w:tcPr>
          <w:p w14:paraId="032CF25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136.3 </w:t>
            </w:r>
          </w:p>
        </w:tc>
        <w:tc>
          <w:tcPr>
            <w:tcW w:w="465" w:type="pct"/>
            <w:tcBorders>
              <w:top w:val="nil"/>
              <w:left w:val="nil"/>
              <w:bottom w:val="nil"/>
              <w:right w:val="nil"/>
            </w:tcBorders>
            <w:shd w:val="clear" w:color="000000" w:fill="FFFFFF"/>
            <w:noWrap/>
            <w:vAlign w:val="center"/>
            <w:hideMark/>
          </w:tcPr>
          <w:p w14:paraId="6E5AE11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53.0 </w:t>
            </w:r>
          </w:p>
        </w:tc>
        <w:tc>
          <w:tcPr>
            <w:tcW w:w="377" w:type="pct"/>
            <w:tcBorders>
              <w:top w:val="nil"/>
              <w:left w:val="nil"/>
              <w:bottom w:val="nil"/>
              <w:right w:val="nil"/>
            </w:tcBorders>
            <w:shd w:val="clear" w:color="000000" w:fill="FFFFFF"/>
            <w:noWrap/>
            <w:vAlign w:val="center"/>
            <w:hideMark/>
          </w:tcPr>
          <w:p w14:paraId="2F7AA44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688.1 </w:t>
            </w:r>
          </w:p>
        </w:tc>
        <w:tc>
          <w:tcPr>
            <w:tcW w:w="408" w:type="pct"/>
            <w:tcBorders>
              <w:top w:val="nil"/>
              <w:left w:val="nil"/>
              <w:bottom w:val="nil"/>
              <w:right w:val="nil"/>
            </w:tcBorders>
            <w:shd w:val="clear" w:color="000000" w:fill="FFFFFF"/>
            <w:noWrap/>
            <w:vAlign w:val="center"/>
            <w:hideMark/>
          </w:tcPr>
          <w:p w14:paraId="0EFDE023"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2,776.4 </w:t>
            </w:r>
          </w:p>
        </w:tc>
        <w:tc>
          <w:tcPr>
            <w:tcW w:w="679" w:type="pct"/>
            <w:tcBorders>
              <w:top w:val="nil"/>
              <w:left w:val="nil"/>
              <w:bottom w:val="nil"/>
              <w:right w:val="nil"/>
            </w:tcBorders>
            <w:shd w:val="clear" w:color="000000" w:fill="FFFFFF"/>
            <w:noWrap/>
            <w:vAlign w:val="center"/>
            <w:hideMark/>
          </w:tcPr>
          <w:p w14:paraId="3C8C611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4,559.4 </w:t>
            </w:r>
          </w:p>
        </w:tc>
      </w:tr>
      <w:tr w:rsidR="00B546C3" w:rsidRPr="00A521D5" w14:paraId="697B0E1D" w14:textId="77777777" w:rsidTr="00CC3060">
        <w:trPr>
          <w:trHeight w:val="255"/>
        </w:trPr>
        <w:tc>
          <w:tcPr>
            <w:tcW w:w="1103" w:type="pct"/>
            <w:tcBorders>
              <w:top w:val="nil"/>
              <w:left w:val="nil"/>
              <w:bottom w:val="nil"/>
              <w:right w:val="nil"/>
            </w:tcBorders>
            <w:shd w:val="clear" w:color="000000" w:fill="FFFFFF"/>
            <w:noWrap/>
            <w:vAlign w:val="center"/>
            <w:hideMark/>
          </w:tcPr>
          <w:p w14:paraId="78FA9296"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GERMANY </w:t>
            </w:r>
          </w:p>
        </w:tc>
        <w:tc>
          <w:tcPr>
            <w:tcW w:w="0" w:type="pct"/>
            <w:tcBorders>
              <w:top w:val="nil"/>
              <w:left w:val="nil"/>
              <w:bottom w:val="nil"/>
              <w:right w:val="nil"/>
            </w:tcBorders>
            <w:shd w:val="clear" w:color="000000" w:fill="FFFFFF"/>
            <w:noWrap/>
            <w:vAlign w:val="center"/>
          </w:tcPr>
          <w:p w14:paraId="3FD676E8" w14:textId="77777777" w:rsidR="00256957" w:rsidRPr="00A521D5" w:rsidRDefault="00256957" w:rsidP="00AC1D53">
            <w:pPr>
              <w:spacing w:after="0" w:line="240" w:lineRule="auto"/>
              <w:jc w:val="right"/>
              <w:rPr>
                <w:rFonts w:ascii="Arial" w:hAnsi="Arial" w:cs="Arial"/>
                <w:sz w:val="16"/>
                <w:szCs w:val="16"/>
              </w:rPr>
            </w:pPr>
          </w:p>
        </w:tc>
        <w:tc>
          <w:tcPr>
            <w:tcW w:w="449" w:type="pct"/>
            <w:tcBorders>
              <w:top w:val="nil"/>
              <w:left w:val="nil"/>
              <w:bottom w:val="nil"/>
              <w:right w:val="nil"/>
            </w:tcBorders>
            <w:shd w:val="clear" w:color="000000" w:fill="FFFFFF"/>
            <w:noWrap/>
            <w:vAlign w:val="center"/>
            <w:hideMark/>
          </w:tcPr>
          <w:p w14:paraId="219C8A3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85 </w:t>
            </w:r>
          </w:p>
        </w:tc>
        <w:tc>
          <w:tcPr>
            <w:tcW w:w="449" w:type="pct"/>
            <w:tcBorders>
              <w:top w:val="nil"/>
              <w:left w:val="nil"/>
              <w:bottom w:val="nil"/>
              <w:right w:val="nil"/>
            </w:tcBorders>
            <w:shd w:val="clear" w:color="000000" w:fill="FFFFFF"/>
            <w:noWrap/>
            <w:vAlign w:val="center"/>
            <w:hideMark/>
          </w:tcPr>
          <w:p w14:paraId="0D6EEAA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98.2 </w:t>
            </w:r>
          </w:p>
        </w:tc>
        <w:tc>
          <w:tcPr>
            <w:tcW w:w="425" w:type="pct"/>
            <w:tcBorders>
              <w:top w:val="nil"/>
              <w:left w:val="nil"/>
              <w:bottom w:val="nil"/>
              <w:right w:val="nil"/>
            </w:tcBorders>
            <w:shd w:val="clear" w:color="000000" w:fill="FFFFFF"/>
            <w:noWrap/>
            <w:vAlign w:val="center"/>
            <w:hideMark/>
          </w:tcPr>
          <w:p w14:paraId="732BA7A8" w14:textId="6B6E5AB9"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538" w:type="pct"/>
            <w:tcBorders>
              <w:top w:val="nil"/>
              <w:left w:val="nil"/>
              <w:bottom w:val="nil"/>
              <w:right w:val="nil"/>
            </w:tcBorders>
            <w:shd w:val="clear" w:color="000000" w:fill="FFFFFF"/>
            <w:noWrap/>
            <w:vAlign w:val="center"/>
            <w:hideMark/>
          </w:tcPr>
          <w:p w14:paraId="6CCBC653"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308.3 </w:t>
            </w:r>
          </w:p>
        </w:tc>
        <w:tc>
          <w:tcPr>
            <w:tcW w:w="465" w:type="pct"/>
            <w:tcBorders>
              <w:top w:val="nil"/>
              <w:left w:val="nil"/>
              <w:bottom w:val="nil"/>
              <w:right w:val="nil"/>
            </w:tcBorders>
            <w:shd w:val="clear" w:color="000000" w:fill="FFFFFF"/>
            <w:noWrap/>
            <w:vAlign w:val="center"/>
            <w:hideMark/>
          </w:tcPr>
          <w:p w14:paraId="6084466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4.5 </w:t>
            </w:r>
          </w:p>
        </w:tc>
        <w:tc>
          <w:tcPr>
            <w:tcW w:w="377" w:type="pct"/>
            <w:tcBorders>
              <w:top w:val="nil"/>
              <w:left w:val="nil"/>
              <w:bottom w:val="nil"/>
              <w:right w:val="nil"/>
            </w:tcBorders>
            <w:shd w:val="clear" w:color="000000" w:fill="FFFFFF"/>
            <w:noWrap/>
            <w:vAlign w:val="center"/>
            <w:hideMark/>
          </w:tcPr>
          <w:p w14:paraId="4D8CC43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3,686.1 </w:t>
            </w:r>
          </w:p>
        </w:tc>
        <w:tc>
          <w:tcPr>
            <w:tcW w:w="408" w:type="pct"/>
            <w:tcBorders>
              <w:top w:val="nil"/>
              <w:left w:val="nil"/>
              <w:bottom w:val="nil"/>
              <w:right w:val="nil"/>
            </w:tcBorders>
            <w:shd w:val="clear" w:color="000000" w:fill="FFFFFF"/>
            <w:noWrap/>
            <w:vAlign w:val="center"/>
            <w:hideMark/>
          </w:tcPr>
          <w:p w14:paraId="2C4F542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265.4 </w:t>
            </w:r>
          </w:p>
        </w:tc>
        <w:tc>
          <w:tcPr>
            <w:tcW w:w="679" w:type="pct"/>
            <w:tcBorders>
              <w:top w:val="nil"/>
              <w:left w:val="nil"/>
              <w:bottom w:val="nil"/>
              <w:right w:val="nil"/>
            </w:tcBorders>
            <w:shd w:val="clear" w:color="000000" w:fill="FFFFFF"/>
            <w:noWrap/>
            <w:vAlign w:val="center"/>
            <w:hideMark/>
          </w:tcPr>
          <w:p w14:paraId="7A5D5461"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4,362.5 </w:t>
            </w:r>
          </w:p>
        </w:tc>
      </w:tr>
      <w:tr w:rsidR="00B546C3" w:rsidRPr="00A521D5" w14:paraId="0874E057" w14:textId="77777777" w:rsidTr="00CC3060">
        <w:trPr>
          <w:trHeight w:val="255"/>
        </w:trPr>
        <w:tc>
          <w:tcPr>
            <w:tcW w:w="1103" w:type="pct"/>
            <w:tcBorders>
              <w:top w:val="nil"/>
              <w:left w:val="nil"/>
              <w:bottom w:val="nil"/>
              <w:right w:val="nil"/>
            </w:tcBorders>
            <w:shd w:val="clear" w:color="000000" w:fill="FFFFFF"/>
            <w:noWrap/>
            <w:vAlign w:val="center"/>
            <w:hideMark/>
          </w:tcPr>
          <w:p w14:paraId="30D9588F"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NETHERLANDS </w:t>
            </w:r>
          </w:p>
        </w:tc>
        <w:tc>
          <w:tcPr>
            <w:tcW w:w="0" w:type="pct"/>
            <w:tcBorders>
              <w:top w:val="nil"/>
              <w:left w:val="nil"/>
              <w:bottom w:val="nil"/>
              <w:right w:val="nil"/>
            </w:tcBorders>
            <w:shd w:val="clear" w:color="000000" w:fill="FFFFFF"/>
            <w:noWrap/>
            <w:vAlign w:val="center"/>
          </w:tcPr>
          <w:p w14:paraId="1D27409D" w14:textId="77777777" w:rsidR="00256957" w:rsidRPr="00A521D5" w:rsidRDefault="00256957" w:rsidP="00AC1D53">
            <w:pPr>
              <w:spacing w:after="0" w:line="240" w:lineRule="auto"/>
              <w:jc w:val="right"/>
              <w:rPr>
                <w:rFonts w:ascii="Arial" w:hAnsi="Arial" w:cs="Arial"/>
                <w:sz w:val="16"/>
                <w:szCs w:val="16"/>
              </w:rPr>
            </w:pPr>
          </w:p>
        </w:tc>
        <w:tc>
          <w:tcPr>
            <w:tcW w:w="449" w:type="pct"/>
            <w:tcBorders>
              <w:top w:val="nil"/>
              <w:left w:val="nil"/>
              <w:bottom w:val="nil"/>
              <w:right w:val="nil"/>
            </w:tcBorders>
            <w:shd w:val="clear" w:color="000000" w:fill="FFFFFF"/>
            <w:noWrap/>
            <w:vAlign w:val="center"/>
            <w:hideMark/>
          </w:tcPr>
          <w:p w14:paraId="05E698A3"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69 </w:t>
            </w:r>
          </w:p>
        </w:tc>
        <w:tc>
          <w:tcPr>
            <w:tcW w:w="449" w:type="pct"/>
            <w:tcBorders>
              <w:top w:val="nil"/>
              <w:left w:val="nil"/>
              <w:bottom w:val="nil"/>
              <w:right w:val="nil"/>
            </w:tcBorders>
            <w:shd w:val="clear" w:color="000000" w:fill="FFFFFF"/>
            <w:noWrap/>
            <w:vAlign w:val="center"/>
            <w:hideMark/>
          </w:tcPr>
          <w:p w14:paraId="7A7A514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495.6 </w:t>
            </w:r>
          </w:p>
        </w:tc>
        <w:tc>
          <w:tcPr>
            <w:tcW w:w="425" w:type="pct"/>
            <w:tcBorders>
              <w:top w:val="nil"/>
              <w:left w:val="nil"/>
              <w:bottom w:val="nil"/>
              <w:right w:val="nil"/>
            </w:tcBorders>
            <w:shd w:val="clear" w:color="000000" w:fill="FFFFFF"/>
            <w:noWrap/>
            <w:vAlign w:val="center"/>
            <w:hideMark/>
          </w:tcPr>
          <w:p w14:paraId="418CBCC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2.9 </w:t>
            </w:r>
          </w:p>
        </w:tc>
        <w:tc>
          <w:tcPr>
            <w:tcW w:w="538" w:type="pct"/>
            <w:tcBorders>
              <w:top w:val="nil"/>
              <w:left w:val="nil"/>
              <w:bottom w:val="nil"/>
              <w:right w:val="nil"/>
            </w:tcBorders>
            <w:shd w:val="clear" w:color="000000" w:fill="FFFFFF"/>
            <w:noWrap/>
            <w:vAlign w:val="center"/>
            <w:hideMark/>
          </w:tcPr>
          <w:p w14:paraId="4F32E9B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155.0 </w:t>
            </w:r>
          </w:p>
        </w:tc>
        <w:tc>
          <w:tcPr>
            <w:tcW w:w="465" w:type="pct"/>
            <w:tcBorders>
              <w:top w:val="nil"/>
              <w:left w:val="nil"/>
              <w:bottom w:val="nil"/>
              <w:right w:val="nil"/>
            </w:tcBorders>
            <w:shd w:val="clear" w:color="000000" w:fill="FFFFFF"/>
            <w:noWrap/>
            <w:vAlign w:val="center"/>
            <w:hideMark/>
          </w:tcPr>
          <w:p w14:paraId="6F3E1ADA" w14:textId="7A3B467F"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377" w:type="pct"/>
            <w:tcBorders>
              <w:top w:val="nil"/>
              <w:left w:val="nil"/>
              <w:bottom w:val="nil"/>
              <w:right w:val="nil"/>
            </w:tcBorders>
            <w:shd w:val="clear" w:color="000000" w:fill="FFFFFF"/>
            <w:noWrap/>
            <w:vAlign w:val="center"/>
            <w:hideMark/>
          </w:tcPr>
          <w:p w14:paraId="3C990E9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1,085.6 </w:t>
            </w:r>
          </w:p>
        </w:tc>
        <w:tc>
          <w:tcPr>
            <w:tcW w:w="408" w:type="pct"/>
            <w:tcBorders>
              <w:top w:val="nil"/>
              <w:left w:val="nil"/>
              <w:bottom w:val="nil"/>
              <w:right w:val="nil"/>
            </w:tcBorders>
            <w:shd w:val="clear" w:color="000000" w:fill="FFFFFF"/>
            <w:noWrap/>
            <w:vAlign w:val="center"/>
            <w:hideMark/>
          </w:tcPr>
          <w:p w14:paraId="56D07D6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597.0 </w:t>
            </w:r>
          </w:p>
        </w:tc>
        <w:tc>
          <w:tcPr>
            <w:tcW w:w="679" w:type="pct"/>
            <w:tcBorders>
              <w:top w:val="nil"/>
              <w:left w:val="nil"/>
              <w:bottom w:val="nil"/>
              <w:right w:val="nil"/>
            </w:tcBorders>
            <w:shd w:val="clear" w:color="000000" w:fill="FFFFFF"/>
            <w:noWrap/>
            <w:vAlign w:val="center"/>
            <w:hideMark/>
          </w:tcPr>
          <w:p w14:paraId="1767E97B"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2,336.2 </w:t>
            </w:r>
          </w:p>
        </w:tc>
      </w:tr>
      <w:tr w:rsidR="00B546C3" w:rsidRPr="00A521D5" w14:paraId="4A07919F" w14:textId="77777777" w:rsidTr="00CC3060">
        <w:trPr>
          <w:trHeight w:val="255"/>
        </w:trPr>
        <w:tc>
          <w:tcPr>
            <w:tcW w:w="1103" w:type="pct"/>
            <w:tcBorders>
              <w:top w:val="nil"/>
              <w:left w:val="nil"/>
              <w:bottom w:val="nil"/>
              <w:right w:val="nil"/>
            </w:tcBorders>
            <w:shd w:val="clear" w:color="000000" w:fill="FFFFFF"/>
            <w:noWrap/>
            <w:vAlign w:val="center"/>
            <w:hideMark/>
          </w:tcPr>
          <w:p w14:paraId="06CF161E"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SAUDI ARABIA </w:t>
            </w:r>
          </w:p>
        </w:tc>
        <w:tc>
          <w:tcPr>
            <w:tcW w:w="0" w:type="pct"/>
            <w:tcBorders>
              <w:top w:val="nil"/>
              <w:left w:val="nil"/>
              <w:bottom w:val="nil"/>
              <w:right w:val="nil"/>
            </w:tcBorders>
            <w:shd w:val="clear" w:color="000000" w:fill="FFFFFF"/>
            <w:noWrap/>
            <w:vAlign w:val="center"/>
          </w:tcPr>
          <w:p w14:paraId="51902C54" w14:textId="77777777" w:rsidR="00256957" w:rsidRPr="00A521D5" w:rsidRDefault="00256957" w:rsidP="00FB0E75">
            <w:pPr>
              <w:spacing w:after="0" w:line="240" w:lineRule="auto"/>
              <w:jc w:val="right"/>
              <w:rPr>
                <w:rFonts w:ascii="Arial" w:hAnsi="Arial" w:cs="Arial"/>
                <w:sz w:val="16"/>
                <w:szCs w:val="16"/>
              </w:rPr>
            </w:pPr>
          </w:p>
        </w:tc>
        <w:tc>
          <w:tcPr>
            <w:tcW w:w="449" w:type="pct"/>
            <w:tcBorders>
              <w:top w:val="nil"/>
              <w:left w:val="nil"/>
              <w:bottom w:val="nil"/>
              <w:right w:val="nil"/>
            </w:tcBorders>
            <w:shd w:val="clear" w:color="000000" w:fill="FFFFFF"/>
            <w:noWrap/>
            <w:vAlign w:val="center"/>
            <w:hideMark/>
          </w:tcPr>
          <w:p w14:paraId="23016B8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25 </w:t>
            </w:r>
          </w:p>
        </w:tc>
        <w:tc>
          <w:tcPr>
            <w:tcW w:w="449" w:type="pct"/>
            <w:tcBorders>
              <w:top w:val="nil"/>
              <w:left w:val="nil"/>
              <w:bottom w:val="nil"/>
              <w:right w:val="nil"/>
            </w:tcBorders>
            <w:shd w:val="clear" w:color="000000" w:fill="FFFFFF"/>
            <w:noWrap/>
            <w:vAlign w:val="center"/>
            <w:hideMark/>
          </w:tcPr>
          <w:p w14:paraId="0887122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22.2 </w:t>
            </w:r>
          </w:p>
        </w:tc>
        <w:tc>
          <w:tcPr>
            <w:tcW w:w="425" w:type="pct"/>
            <w:tcBorders>
              <w:top w:val="nil"/>
              <w:left w:val="nil"/>
              <w:bottom w:val="nil"/>
              <w:right w:val="nil"/>
            </w:tcBorders>
            <w:shd w:val="clear" w:color="000000" w:fill="FFFFFF"/>
            <w:noWrap/>
            <w:vAlign w:val="center"/>
            <w:hideMark/>
          </w:tcPr>
          <w:p w14:paraId="40D0428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798.2 </w:t>
            </w:r>
          </w:p>
        </w:tc>
        <w:tc>
          <w:tcPr>
            <w:tcW w:w="538" w:type="pct"/>
            <w:tcBorders>
              <w:top w:val="nil"/>
              <w:left w:val="nil"/>
              <w:bottom w:val="nil"/>
              <w:right w:val="nil"/>
            </w:tcBorders>
            <w:shd w:val="clear" w:color="000000" w:fill="FFFFFF"/>
            <w:noWrap/>
            <w:vAlign w:val="center"/>
            <w:hideMark/>
          </w:tcPr>
          <w:p w14:paraId="1094FF26"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40.1 </w:t>
            </w:r>
          </w:p>
        </w:tc>
        <w:tc>
          <w:tcPr>
            <w:tcW w:w="465" w:type="pct"/>
            <w:tcBorders>
              <w:top w:val="nil"/>
              <w:left w:val="nil"/>
              <w:bottom w:val="nil"/>
              <w:right w:val="nil"/>
            </w:tcBorders>
            <w:shd w:val="clear" w:color="000000" w:fill="FFFFFF"/>
            <w:noWrap/>
            <w:vAlign w:val="center"/>
            <w:hideMark/>
          </w:tcPr>
          <w:p w14:paraId="3F0D20E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1.4 </w:t>
            </w:r>
          </w:p>
        </w:tc>
        <w:tc>
          <w:tcPr>
            <w:tcW w:w="377" w:type="pct"/>
            <w:tcBorders>
              <w:top w:val="nil"/>
              <w:left w:val="nil"/>
              <w:bottom w:val="nil"/>
              <w:right w:val="nil"/>
            </w:tcBorders>
            <w:shd w:val="clear" w:color="000000" w:fill="FFFFFF"/>
            <w:noWrap/>
            <w:vAlign w:val="center"/>
            <w:hideMark/>
          </w:tcPr>
          <w:p w14:paraId="75B5394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21.0 </w:t>
            </w:r>
          </w:p>
        </w:tc>
        <w:tc>
          <w:tcPr>
            <w:tcW w:w="408" w:type="pct"/>
            <w:tcBorders>
              <w:top w:val="nil"/>
              <w:left w:val="nil"/>
              <w:bottom w:val="nil"/>
              <w:right w:val="nil"/>
            </w:tcBorders>
            <w:shd w:val="clear" w:color="000000" w:fill="FFFFFF"/>
            <w:noWrap/>
            <w:vAlign w:val="center"/>
            <w:hideMark/>
          </w:tcPr>
          <w:p w14:paraId="44634B6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1,274.9 </w:t>
            </w:r>
          </w:p>
        </w:tc>
        <w:tc>
          <w:tcPr>
            <w:tcW w:w="679" w:type="pct"/>
            <w:tcBorders>
              <w:top w:val="nil"/>
              <w:left w:val="nil"/>
              <w:bottom w:val="nil"/>
              <w:right w:val="nil"/>
            </w:tcBorders>
            <w:shd w:val="clear" w:color="000000" w:fill="FFFFFF"/>
            <w:noWrap/>
            <w:vAlign w:val="center"/>
            <w:hideMark/>
          </w:tcPr>
          <w:p w14:paraId="3051B7DE"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2,157.8 </w:t>
            </w:r>
          </w:p>
        </w:tc>
      </w:tr>
      <w:tr w:rsidR="00B546C3" w:rsidRPr="00A521D5" w14:paraId="3CB62F4F" w14:textId="77777777" w:rsidTr="00AC1D53">
        <w:trPr>
          <w:trHeight w:val="255"/>
        </w:trPr>
        <w:tc>
          <w:tcPr>
            <w:tcW w:w="1103" w:type="pct"/>
            <w:tcBorders>
              <w:top w:val="nil"/>
              <w:left w:val="nil"/>
              <w:bottom w:val="nil"/>
              <w:right w:val="nil"/>
            </w:tcBorders>
            <w:shd w:val="clear" w:color="000000" w:fill="FFFFFF"/>
            <w:noWrap/>
            <w:vAlign w:val="center"/>
            <w:hideMark/>
          </w:tcPr>
          <w:p w14:paraId="1F6A4FAA"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MALAYSIA </w:t>
            </w:r>
          </w:p>
        </w:tc>
        <w:tc>
          <w:tcPr>
            <w:tcW w:w="0" w:type="pct"/>
            <w:tcBorders>
              <w:top w:val="nil"/>
              <w:left w:val="nil"/>
              <w:bottom w:val="nil"/>
              <w:right w:val="nil"/>
            </w:tcBorders>
            <w:shd w:val="clear" w:color="000000" w:fill="FFFFFF"/>
            <w:noWrap/>
            <w:vAlign w:val="center"/>
            <w:hideMark/>
          </w:tcPr>
          <w:p w14:paraId="4C7EEA80" w14:textId="77777777" w:rsidR="00256957" w:rsidRPr="00A521D5" w:rsidRDefault="006225EA" w:rsidP="00CC3060">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3BF6FDC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298 </w:t>
            </w:r>
          </w:p>
        </w:tc>
        <w:tc>
          <w:tcPr>
            <w:tcW w:w="449" w:type="pct"/>
            <w:tcBorders>
              <w:top w:val="nil"/>
              <w:left w:val="nil"/>
              <w:bottom w:val="nil"/>
              <w:right w:val="nil"/>
            </w:tcBorders>
            <w:shd w:val="clear" w:color="000000" w:fill="FFFFFF"/>
            <w:noWrap/>
            <w:vAlign w:val="center"/>
            <w:hideMark/>
          </w:tcPr>
          <w:p w14:paraId="0D719302"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27.1 </w:t>
            </w:r>
          </w:p>
        </w:tc>
        <w:tc>
          <w:tcPr>
            <w:tcW w:w="425" w:type="pct"/>
            <w:tcBorders>
              <w:top w:val="nil"/>
              <w:left w:val="nil"/>
              <w:bottom w:val="nil"/>
              <w:right w:val="nil"/>
            </w:tcBorders>
            <w:shd w:val="clear" w:color="000000" w:fill="FFFFFF"/>
            <w:noWrap/>
            <w:vAlign w:val="center"/>
            <w:hideMark/>
          </w:tcPr>
          <w:p w14:paraId="5921688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643.4 </w:t>
            </w:r>
          </w:p>
        </w:tc>
        <w:tc>
          <w:tcPr>
            <w:tcW w:w="538" w:type="pct"/>
            <w:tcBorders>
              <w:top w:val="nil"/>
              <w:left w:val="nil"/>
              <w:bottom w:val="nil"/>
              <w:right w:val="nil"/>
            </w:tcBorders>
            <w:shd w:val="clear" w:color="000000" w:fill="FFFFFF"/>
            <w:noWrap/>
            <w:vAlign w:val="center"/>
            <w:hideMark/>
          </w:tcPr>
          <w:p w14:paraId="71B4C53B"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5.6 </w:t>
            </w:r>
          </w:p>
        </w:tc>
        <w:tc>
          <w:tcPr>
            <w:tcW w:w="465" w:type="pct"/>
            <w:tcBorders>
              <w:top w:val="nil"/>
              <w:left w:val="nil"/>
              <w:bottom w:val="nil"/>
              <w:right w:val="nil"/>
            </w:tcBorders>
            <w:shd w:val="clear" w:color="000000" w:fill="FFFFFF"/>
            <w:noWrap/>
            <w:vAlign w:val="center"/>
            <w:hideMark/>
          </w:tcPr>
          <w:p w14:paraId="3EFF6AB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204.5 </w:t>
            </w:r>
          </w:p>
        </w:tc>
        <w:tc>
          <w:tcPr>
            <w:tcW w:w="377" w:type="pct"/>
            <w:tcBorders>
              <w:top w:val="nil"/>
              <w:left w:val="nil"/>
              <w:bottom w:val="nil"/>
              <w:right w:val="nil"/>
            </w:tcBorders>
            <w:shd w:val="clear" w:color="000000" w:fill="FFFFFF"/>
            <w:noWrap/>
            <w:vAlign w:val="center"/>
            <w:hideMark/>
          </w:tcPr>
          <w:p w14:paraId="67AE835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556.7 </w:t>
            </w:r>
          </w:p>
        </w:tc>
        <w:tc>
          <w:tcPr>
            <w:tcW w:w="408" w:type="pct"/>
            <w:tcBorders>
              <w:top w:val="nil"/>
              <w:left w:val="nil"/>
              <w:bottom w:val="nil"/>
              <w:right w:val="nil"/>
            </w:tcBorders>
            <w:shd w:val="clear" w:color="000000" w:fill="FFFFFF"/>
            <w:noWrap/>
            <w:vAlign w:val="center"/>
            <w:hideMark/>
          </w:tcPr>
          <w:p w14:paraId="2CF180A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593.8 </w:t>
            </w:r>
          </w:p>
        </w:tc>
        <w:tc>
          <w:tcPr>
            <w:tcW w:w="679" w:type="pct"/>
            <w:tcBorders>
              <w:top w:val="nil"/>
              <w:left w:val="nil"/>
              <w:bottom w:val="nil"/>
              <w:right w:val="nil"/>
            </w:tcBorders>
            <w:shd w:val="clear" w:color="000000" w:fill="FFFFFF"/>
            <w:noWrap/>
            <w:vAlign w:val="center"/>
            <w:hideMark/>
          </w:tcPr>
          <w:p w14:paraId="47E1CE5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2,031.1 </w:t>
            </w:r>
          </w:p>
        </w:tc>
      </w:tr>
      <w:tr w:rsidR="00B546C3" w:rsidRPr="00A521D5" w14:paraId="619CDF0A" w14:textId="77777777" w:rsidTr="00AC1D53">
        <w:trPr>
          <w:trHeight w:val="255"/>
        </w:trPr>
        <w:tc>
          <w:tcPr>
            <w:tcW w:w="1103" w:type="pct"/>
            <w:tcBorders>
              <w:top w:val="nil"/>
              <w:left w:val="nil"/>
              <w:bottom w:val="nil"/>
              <w:right w:val="nil"/>
            </w:tcBorders>
            <w:shd w:val="clear" w:color="000000" w:fill="FFFFFF"/>
            <w:noWrap/>
            <w:vAlign w:val="center"/>
            <w:hideMark/>
          </w:tcPr>
          <w:p w14:paraId="3441B0A8"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NEW ZEALAND </w:t>
            </w:r>
          </w:p>
        </w:tc>
        <w:tc>
          <w:tcPr>
            <w:tcW w:w="0" w:type="pct"/>
            <w:tcBorders>
              <w:top w:val="nil"/>
              <w:left w:val="nil"/>
              <w:bottom w:val="nil"/>
              <w:right w:val="nil"/>
            </w:tcBorders>
            <w:shd w:val="clear" w:color="000000" w:fill="FFFFFF"/>
            <w:noWrap/>
            <w:vAlign w:val="center"/>
            <w:hideMark/>
          </w:tcPr>
          <w:p w14:paraId="5722F765" w14:textId="77777777" w:rsidR="00256957" w:rsidRPr="00A521D5" w:rsidRDefault="006225EA" w:rsidP="00CC3060">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7379B9C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35 </w:t>
            </w:r>
          </w:p>
        </w:tc>
        <w:tc>
          <w:tcPr>
            <w:tcW w:w="449" w:type="pct"/>
            <w:tcBorders>
              <w:top w:val="nil"/>
              <w:left w:val="nil"/>
              <w:bottom w:val="nil"/>
              <w:right w:val="nil"/>
            </w:tcBorders>
            <w:shd w:val="clear" w:color="000000" w:fill="FFFFFF"/>
            <w:noWrap/>
            <w:vAlign w:val="center"/>
            <w:hideMark/>
          </w:tcPr>
          <w:p w14:paraId="1FD8EA33"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331.2 </w:t>
            </w:r>
          </w:p>
        </w:tc>
        <w:tc>
          <w:tcPr>
            <w:tcW w:w="425" w:type="pct"/>
            <w:tcBorders>
              <w:top w:val="nil"/>
              <w:left w:val="nil"/>
              <w:bottom w:val="nil"/>
              <w:right w:val="nil"/>
            </w:tcBorders>
            <w:shd w:val="clear" w:color="000000" w:fill="FFFFFF"/>
            <w:noWrap/>
            <w:vAlign w:val="center"/>
            <w:hideMark/>
          </w:tcPr>
          <w:p w14:paraId="5F9D776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33.0 </w:t>
            </w:r>
          </w:p>
        </w:tc>
        <w:tc>
          <w:tcPr>
            <w:tcW w:w="538" w:type="pct"/>
            <w:tcBorders>
              <w:top w:val="nil"/>
              <w:left w:val="nil"/>
              <w:bottom w:val="nil"/>
              <w:right w:val="nil"/>
            </w:tcBorders>
            <w:shd w:val="clear" w:color="000000" w:fill="FFFFFF"/>
            <w:noWrap/>
            <w:vAlign w:val="center"/>
            <w:hideMark/>
          </w:tcPr>
          <w:p w14:paraId="36F9775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261.4 </w:t>
            </w:r>
          </w:p>
        </w:tc>
        <w:tc>
          <w:tcPr>
            <w:tcW w:w="465" w:type="pct"/>
            <w:tcBorders>
              <w:top w:val="nil"/>
              <w:left w:val="nil"/>
              <w:bottom w:val="nil"/>
              <w:right w:val="nil"/>
            </w:tcBorders>
            <w:shd w:val="clear" w:color="000000" w:fill="FFFFFF"/>
            <w:noWrap/>
            <w:vAlign w:val="center"/>
            <w:hideMark/>
          </w:tcPr>
          <w:p w14:paraId="1B6419C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5.4 </w:t>
            </w:r>
          </w:p>
        </w:tc>
        <w:tc>
          <w:tcPr>
            <w:tcW w:w="377" w:type="pct"/>
            <w:tcBorders>
              <w:top w:val="nil"/>
              <w:left w:val="nil"/>
              <w:bottom w:val="nil"/>
              <w:right w:val="nil"/>
            </w:tcBorders>
            <w:shd w:val="clear" w:color="000000" w:fill="FFFFFF"/>
            <w:noWrap/>
            <w:vAlign w:val="center"/>
            <w:hideMark/>
          </w:tcPr>
          <w:p w14:paraId="6A3E951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32.5 </w:t>
            </w:r>
          </w:p>
        </w:tc>
        <w:tc>
          <w:tcPr>
            <w:tcW w:w="408" w:type="pct"/>
            <w:tcBorders>
              <w:top w:val="nil"/>
              <w:left w:val="nil"/>
              <w:bottom w:val="nil"/>
              <w:right w:val="nil"/>
            </w:tcBorders>
            <w:shd w:val="clear" w:color="000000" w:fill="FFFFFF"/>
            <w:noWrap/>
            <w:vAlign w:val="center"/>
            <w:hideMark/>
          </w:tcPr>
          <w:p w14:paraId="7DEAF92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1,140.9 </w:t>
            </w:r>
          </w:p>
        </w:tc>
        <w:tc>
          <w:tcPr>
            <w:tcW w:w="679" w:type="pct"/>
            <w:tcBorders>
              <w:top w:val="nil"/>
              <w:left w:val="nil"/>
              <w:bottom w:val="nil"/>
              <w:right w:val="nil"/>
            </w:tcBorders>
            <w:shd w:val="clear" w:color="000000" w:fill="FFFFFF"/>
            <w:noWrap/>
            <w:vAlign w:val="center"/>
            <w:hideMark/>
          </w:tcPr>
          <w:p w14:paraId="3A657742"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1,804.5 </w:t>
            </w:r>
          </w:p>
        </w:tc>
      </w:tr>
      <w:tr w:rsidR="00B546C3" w:rsidRPr="00A521D5" w14:paraId="6FABF76A" w14:textId="77777777" w:rsidTr="00AC1D53">
        <w:trPr>
          <w:trHeight w:val="255"/>
        </w:trPr>
        <w:tc>
          <w:tcPr>
            <w:tcW w:w="1103" w:type="pct"/>
            <w:tcBorders>
              <w:top w:val="nil"/>
              <w:left w:val="nil"/>
              <w:bottom w:val="nil"/>
              <w:right w:val="nil"/>
            </w:tcBorders>
            <w:shd w:val="clear" w:color="000000" w:fill="FFFFFF"/>
            <w:noWrap/>
            <w:vAlign w:val="center"/>
            <w:hideMark/>
          </w:tcPr>
          <w:p w14:paraId="5A256816"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THAILAND </w:t>
            </w:r>
          </w:p>
        </w:tc>
        <w:tc>
          <w:tcPr>
            <w:tcW w:w="0" w:type="pct"/>
            <w:tcBorders>
              <w:top w:val="nil"/>
              <w:left w:val="nil"/>
              <w:bottom w:val="nil"/>
              <w:right w:val="nil"/>
            </w:tcBorders>
            <w:shd w:val="clear" w:color="000000" w:fill="FFFFFF"/>
            <w:noWrap/>
            <w:vAlign w:val="center"/>
            <w:hideMark/>
          </w:tcPr>
          <w:p w14:paraId="6816EB95" w14:textId="77777777" w:rsidR="00256957" w:rsidRPr="00A521D5" w:rsidRDefault="006225EA" w:rsidP="00AC1D53">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525899EE"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29 </w:t>
            </w:r>
          </w:p>
        </w:tc>
        <w:tc>
          <w:tcPr>
            <w:tcW w:w="449" w:type="pct"/>
            <w:tcBorders>
              <w:top w:val="nil"/>
              <w:left w:val="nil"/>
              <w:bottom w:val="nil"/>
              <w:right w:val="nil"/>
            </w:tcBorders>
            <w:shd w:val="clear" w:color="000000" w:fill="FFFFFF"/>
            <w:noWrap/>
            <w:vAlign w:val="center"/>
            <w:hideMark/>
          </w:tcPr>
          <w:p w14:paraId="2C16216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128.3 </w:t>
            </w:r>
          </w:p>
        </w:tc>
        <w:tc>
          <w:tcPr>
            <w:tcW w:w="425" w:type="pct"/>
            <w:tcBorders>
              <w:top w:val="nil"/>
              <w:left w:val="nil"/>
              <w:bottom w:val="nil"/>
              <w:right w:val="nil"/>
            </w:tcBorders>
            <w:shd w:val="clear" w:color="000000" w:fill="FFFFFF"/>
            <w:noWrap/>
            <w:vAlign w:val="center"/>
            <w:hideMark/>
          </w:tcPr>
          <w:p w14:paraId="680BE2AD" w14:textId="28EBBE65"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538" w:type="pct"/>
            <w:tcBorders>
              <w:top w:val="nil"/>
              <w:left w:val="nil"/>
              <w:bottom w:val="nil"/>
              <w:right w:val="nil"/>
            </w:tcBorders>
            <w:shd w:val="clear" w:color="000000" w:fill="FFFFFF"/>
            <w:noWrap/>
            <w:vAlign w:val="center"/>
            <w:hideMark/>
          </w:tcPr>
          <w:p w14:paraId="2B03EF86" w14:textId="0906991C"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465" w:type="pct"/>
            <w:tcBorders>
              <w:top w:val="nil"/>
              <w:left w:val="nil"/>
              <w:bottom w:val="nil"/>
              <w:right w:val="nil"/>
            </w:tcBorders>
            <w:shd w:val="clear" w:color="000000" w:fill="FFFFFF"/>
            <w:noWrap/>
            <w:vAlign w:val="center"/>
            <w:hideMark/>
          </w:tcPr>
          <w:p w14:paraId="5108B801"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166.1 </w:t>
            </w:r>
          </w:p>
        </w:tc>
        <w:tc>
          <w:tcPr>
            <w:tcW w:w="377" w:type="pct"/>
            <w:tcBorders>
              <w:top w:val="nil"/>
              <w:left w:val="nil"/>
              <w:bottom w:val="nil"/>
              <w:right w:val="nil"/>
            </w:tcBorders>
            <w:shd w:val="clear" w:color="000000" w:fill="FFFFFF"/>
            <w:noWrap/>
            <w:vAlign w:val="center"/>
            <w:hideMark/>
          </w:tcPr>
          <w:p w14:paraId="5687CD69"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1,360.7 </w:t>
            </w:r>
          </w:p>
        </w:tc>
        <w:tc>
          <w:tcPr>
            <w:tcW w:w="408" w:type="pct"/>
            <w:tcBorders>
              <w:top w:val="nil"/>
              <w:left w:val="nil"/>
              <w:bottom w:val="nil"/>
              <w:right w:val="nil"/>
            </w:tcBorders>
            <w:shd w:val="clear" w:color="000000" w:fill="FFFFFF"/>
            <w:noWrap/>
            <w:vAlign w:val="center"/>
            <w:hideMark/>
          </w:tcPr>
          <w:p w14:paraId="32E02730" w14:textId="0E4D4546"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679" w:type="pct"/>
            <w:tcBorders>
              <w:top w:val="nil"/>
              <w:left w:val="nil"/>
              <w:bottom w:val="nil"/>
              <w:right w:val="nil"/>
            </w:tcBorders>
            <w:shd w:val="clear" w:color="000000" w:fill="FFFFFF"/>
            <w:noWrap/>
            <w:vAlign w:val="center"/>
            <w:hideMark/>
          </w:tcPr>
          <w:p w14:paraId="5C4C2172"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1,655.1 </w:t>
            </w:r>
          </w:p>
        </w:tc>
      </w:tr>
      <w:tr w:rsidR="00B546C3" w:rsidRPr="00A521D5" w14:paraId="794AB2FA" w14:textId="77777777" w:rsidTr="00AC1D53">
        <w:trPr>
          <w:trHeight w:val="255"/>
        </w:trPr>
        <w:tc>
          <w:tcPr>
            <w:tcW w:w="1103" w:type="pct"/>
            <w:tcBorders>
              <w:top w:val="nil"/>
              <w:left w:val="nil"/>
              <w:bottom w:val="nil"/>
              <w:right w:val="nil"/>
            </w:tcBorders>
            <w:shd w:val="clear" w:color="000000" w:fill="FFFFFF"/>
            <w:noWrap/>
            <w:vAlign w:val="center"/>
            <w:hideMark/>
          </w:tcPr>
          <w:p w14:paraId="333F9804"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SWITZERLAND </w:t>
            </w:r>
          </w:p>
        </w:tc>
        <w:tc>
          <w:tcPr>
            <w:tcW w:w="0" w:type="pct"/>
            <w:tcBorders>
              <w:top w:val="nil"/>
              <w:left w:val="nil"/>
              <w:bottom w:val="nil"/>
              <w:right w:val="nil"/>
            </w:tcBorders>
            <w:shd w:val="clear" w:color="000000" w:fill="FFFFFF"/>
            <w:noWrap/>
            <w:vAlign w:val="center"/>
            <w:hideMark/>
          </w:tcPr>
          <w:p w14:paraId="29B7AAB2" w14:textId="77777777" w:rsidR="00256957" w:rsidRPr="00A521D5" w:rsidRDefault="006225EA" w:rsidP="00CC3060">
            <w:pPr>
              <w:spacing w:after="0" w:line="240" w:lineRule="auto"/>
              <w:jc w:val="center"/>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061C2EF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47 </w:t>
            </w:r>
          </w:p>
        </w:tc>
        <w:tc>
          <w:tcPr>
            <w:tcW w:w="449" w:type="pct"/>
            <w:tcBorders>
              <w:top w:val="nil"/>
              <w:left w:val="nil"/>
              <w:bottom w:val="nil"/>
              <w:right w:val="nil"/>
            </w:tcBorders>
            <w:shd w:val="clear" w:color="000000" w:fill="FFFFFF"/>
            <w:noWrap/>
            <w:vAlign w:val="center"/>
            <w:hideMark/>
          </w:tcPr>
          <w:p w14:paraId="02421AA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159.3 </w:t>
            </w:r>
          </w:p>
        </w:tc>
        <w:tc>
          <w:tcPr>
            <w:tcW w:w="425" w:type="pct"/>
            <w:tcBorders>
              <w:top w:val="nil"/>
              <w:left w:val="nil"/>
              <w:bottom w:val="nil"/>
              <w:right w:val="nil"/>
            </w:tcBorders>
            <w:shd w:val="clear" w:color="000000" w:fill="FFFFFF"/>
            <w:noWrap/>
            <w:vAlign w:val="center"/>
            <w:hideMark/>
          </w:tcPr>
          <w:p w14:paraId="3D04AA71"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18.4 </w:t>
            </w:r>
          </w:p>
        </w:tc>
        <w:tc>
          <w:tcPr>
            <w:tcW w:w="538" w:type="pct"/>
            <w:tcBorders>
              <w:top w:val="nil"/>
              <w:left w:val="nil"/>
              <w:bottom w:val="nil"/>
              <w:right w:val="nil"/>
            </w:tcBorders>
            <w:shd w:val="clear" w:color="000000" w:fill="FFFFFF"/>
            <w:noWrap/>
            <w:vAlign w:val="center"/>
            <w:hideMark/>
          </w:tcPr>
          <w:p w14:paraId="770B98F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214.4 </w:t>
            </w:r>
          </w:p>
        </w:tc>
        <w:tc>
          <w:tcPr>
            <w:tcW w:w="465" w:type="pct"/>
            <w:tcBorders>
              <w:top w:val="nil"/>
              <w:left w:val="nil"/>
              <w:bottom w:val="nil"/>
              <w:right w:val="nil"/>
            </w:tcBorders>
            <w:shd w:val="clear" w:color="000000" w:fill="FFFFFF"/>
            <w:noWrap/>
            <w:vAlign w:val="center"/>
            <w:hideMark/>
          </w:tcPr>
          <w:p w14:paraId="12F89D31"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0.4 </w:t>
            </w:r>
          </w:p>
        </w:tc>
        <w:tc>
          <w:tcPr>
            <w:tcW w:w="377" w:type="pct"/>
            <w:tcBorders>
              <w:top w:val="nil"/>
              <w:left w:val="nil"/>
              <w:bottom w:val="nil"/>
              <w:right w:val="nil"/>
            </w:tcBorders>
            <w:shd w:val="clear" w:color="000000" w:fill="FFFFFF"/>
            <w:noWrap/>
            <w:vAlign w:val="center"/>
            <w:hideMark/>
          </w:tcPr>
          <w:p w14:paraId="66B329B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504.7 </w:t>
            </w:r>
          </w:p>
        </w:tc>
        <w:tc>
          <w:tcPr>
            <w:tcW w:w="408" w:type="pct"/>
            <w:tcBorders>
              <w:top w:val="nil"/>
              <w:left w:val="nil"/>
              <w:bottom w:val="nil"/>
              <w:right w:val="nil"/>
            </w:tcBorders>
            <w:shd w:val="clear" w:color="000000" w:fill="FFFFFF"/>
            <w:noWrap/>
            <w:vAlign w:val="center"/>
            <w:hideMark/>
          </w:tcPr>
          <w:p w14:paraId="0253D47B"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623.3 </w:t>
            </w:r>
          </w:p>
        </w:tc>
        <w:tc>
          <w:tcPr>
            <w:tcW w:w="679" w:type="pct"/>
            <w:tcBorders>
              <w:top w:val="nil"/>
              <w:left w:val="nil"/>
              <w:bottom w:val="nil"/>
              <w:right w:val="nil"/>
            </w:tcBorders>
            <w:shd w:val="clear" w:color="000000" w:fill="FFFFFF"/>
            <w:noWrap/>
            <w:vAlign w:val="center"/>
            <w:hideMark/>
          </w:tcPr>
          <w:p w14:paraId="650B3059"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1,520.4 </w:t>
            </w:r>
          </w:p>
        </w:tc>
      </w:tr>
      <w:tr w:rsidR="00B546C3" w:rsidRPr="00A521D5" w14:paraId="677ADCCD" w14:textId="77777777" w:rsidTr="00AC1D53">
        <w:trPr>
          <w:trHeight w:val="255"/>
        </w:trPr>
        <w:tc>
          <w:tcPr>
            <w:tcW w:w="1103" w:type="pct"/>
            <w:tcBorders>
              <w:top w:val="nil"/>
              <w:left w:val="nil"/>
              <w:bottom w:val="nil"/>
              <w:right w:val="nil"/>
            </w:tcBorders>
            <w:shd w:val="clear" w:color="000000" w:fill="FFFFFF"/>
            <w:noWrap/>
            <w:vAlign w:val="center"/>
            <w:hideMark/>
          </w:tcPr>
          <w:p w14:paraId="41C12033"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PHILIPPINES </w:t>
            </w:r>
          </w:p>
        </w:tc>
        <w:tc>
          <w:tcPr>
            <w:tcW w:w="0" w:type="pct"/>
            <w:tcBorders>
              <w:top w:val="nil"/>
              <w:left w:val="nil"/>
              <w:bottom w:val="nil"/>
              <w:right w:val="nil"/>
            </w:tcBorders>
            <w:shd w:val="clear" w:color="000000" w:fill="FFFFFF"/>
            <w:noWrap/>
            <w:vAlign w:val="center"/>
            <w:hideMark/>
          </w:tcPr>
          <w:p w14:paraId="28FD1647" w14:textId="77777777" w:rsidR="00256957" w:rsidRPr="00A521D5" w:rsidRDefault="006225EA" w:rsidP="00CC3060">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104C5BCA"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29 </w:t>
            </w:r>
          </w:p>
        </w:tc>
        <w:tc>
          <w:tcPr>
            <w:tcW w:w="449" w:type="pct"/>
            <w:tcBorders>
              <w:top w:val="nil"/>
              <w:left w:val="nil"/>
              <w:bottom w:val="nil"/>
              <w:right w:val="nil"/>
            </w:tcBorders>
            <w:shd w:val="clear" w:color="000000" w:fill="FFFFFF"/>
            <w:noWrap/>
            <w:vAlign w:val="center"/>
            <w:hideMark/>
          </w:tcPr>
          <w:p w14:paraId="5C6A1E7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4.5 </w:t>
            </w:r>
          </w:p>
        </w:tc>
        <w:tc>
          <w:tcPr>
            <w:tcW w:w="425" w:type="pct"/>
            <w:tcBorders>
              <w:top w:val="nil"/>
              <w:left w:val="nil"/>
              <w:bottom w:val="nil"/>
              <w:right w:val="nil"/>
            </w:tcBorders>
            <w:shd w:val="clear" w:color="000000" w:fill="FFFFFF"/>
            <w:noWrap/>
            <w:vAlign w:val="center"/>
            <w:hideMark/>
          </w:tcPr>
          <w:p w14:paraId="6E206D89" w14:textId="25B42ED1"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538" w:type="pct"/>
            <w:tcBorders>
              <w:top w:val="nil"/>
              <w:left w:val="nil"/>
              <w:bottom w:val="nil"/>
              <w:right w:val="nil"/>
            </w:tcBorders>
            <w:shd w:val="clear" w:color="000000" w:fill="FFFFFF"/>
            <w:noWrap/>
            <w:vAlign w:val="center"/>
            <w:hideMark/>
          </w:tcPr>
          <w:p w14:paraId="6D170F96"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907.5 </w:t>
            </w:r>
          </w:p>
        </w:tc>
        <w:tc>
          <w:tcPr>
            <w:tcW w:w="465" w:type="pct"/>
            <w:tcBorders>
              <w:top w:val="nil"/>
              <w:left w:val="nil"/>
              <w:bottom w:val="nil"/>
              <w:right w:val="nil"/>
            </w:tcBorders>
            <w:shd w:val="clear" w:color="000000" w:fill="FFFFFF"/>
            <w:noWrap/>
            <w:vAlign w:val="center"/>
            <w:hideMark/>
          </w:tcPr>
          <w:p w14:paraId="28BDE036" w14:textId="7870CB9E"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377" w:type="pct"/>
            <w:tcBorders>
              <w:top w:val="nil"/>
              <w:left w:val="nil"/>
              <w:bottom w:val="nil"/>
              <w:right w:val="nil"/>
            </w:tcBorders>
            <w:shd w:val="clear" w:color="000000" w:fill="FFFFFF"/>
            <w:noWrap/>
            <w:vAlign w:val="center"/>
            <w:hideMark/>
          </w:tcPr>
          <w:p w14:paraId="174F2EB1"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16.4 </w:t>
            </w:r>
          </w:p>
        </w:tc>
        <w:tc>
          <w:tcPr>
            <w:tcW w:w="408" w:type="pct"/>
            <w:tcBorders>
              <w:top w:val="nil"/>
              <w:left w:val="nil"/>
              <w:bottom w:val="nil"/>
              <w:right w:val="nil"/>
            </w:tcBorders>
            <w:shd w:val="clear" w:color="000000" w:fill="FFFFFF"/>
            <w:noWrap/>
            <w:vAlign w:val="center"/>
            <w:hideMark/>
          </w:tcPr>
          <w:p w14:paraId="53BF032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91.6 </w:t>
            </w:r>
          </w:p>
        </w:tc>
        <w:tc>
          <w:tcPr>
            <w:tcW w:w="679" w:type="pct"/>
            <w:tcBorders>
              <w:top w:val="nil"/>
              <w:left w:val="nil"/>
              <w:bottom w:val="nil"/>
              <w:right w:val="nil"/>
            </w:tcBorders>
            <w:shd w:val="clear" w:color="000000" w:fill="FFFFFF"/>
            <w:noWrap/>
            <w:vAlign w:val="center"/>
            <w:hideMark/>
          </w:tcPr>
          <w:p w14:paraId="61E9F57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1,020.0 </w:t>
            </w:r>
          </w:p>
        </w:tc>
      </w:tr>
      <w:tr w:rsidR="00B546C3" w:rsidRPr="00A521D5" w14:paraId="3E3829F5" w14:textId="77777777" w:rsidTr="00AC1D53">
        <w:trPr>
          <w:trHeight w:val="255"/>
        </w:trPr>
        <w:tc>
          <w:tcPr>
            <w:tcW w:w="1103" w:type="pct"/>
            <w:tcBorders>
              <w:top w:val="nil"/>
              <w:left w:val="nil"/>
              <w:bottom w:val="nil"/>
              <w:right w:val="nil"/>
            </w:tcBorders>
            <w:shd w:val="clear" w:color="000000" w:fill="FFFFFF"/>
            <w:noWrap/>
            <w:vAlign w:val="center"/>
            <w:hideMark/>
          </w:tcPr>
          <w:p w14:paraId="6F758700"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IRELAND </w:t>
            </w:r>
          </w:p>
        </w:tc>
        <w:tc>
          <w:tcPr>
            <w:tcW w:w="0" w:type="pct"/>
            <w:tcBorders>
              <w:top w:val="nil"/>
              <w:left w:val="nil"/>
              <w:bottom w:val="nil"/>
              <w:right w:val="nil"/>
            </w:tcBorders>
            <w:shd w:val="clear" w:color="000000" w:fill="FFFFFF"/>
            <w:noWrap/>
            <w:vAlign w:val="center"/>
            <w:hideMark/>
          </w:tcPr>
          <w:p w14:paraId="0AC905BC" w14:textId="77777777" w:rsidR="00256957" w:rsidRPr="00A521D5" w:rsidRDefault="006225EA" w:rsidP="00CC3060">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5CEDC52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14 </w:t>
            </w:r>
          </w:p>
        </w:tc>
        <w:tc>
          <w:tcPr>
            <w:tcW w:w="449" w:type="pct"/>
            <w:tcBorders>
              <w:top w:val="nil"/>
              <w:left w:val="nil"/>
              <w:bottom w:val="nil"/>
              <w:right w:val="nil"/>
            </w:tcBorders>
            <w:shd w:val="clear" w:color="000000" w:fill="FFFFFF"/>
            <w:noWrap/>
            <w:vAlign w:val="center"/>
            <w:hideMark/>
          </w:tcPr>
          <w:p w14:paraId="28B14A6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11.4 </w:t>
            </w:r>
          </w:p>
        </w:tc>
        <w:tc>
          <w:tcPr>
            <w:tcW w:w="425" w:type="pct"/>
            <w:tcBorders>
              <w:top w:val="nil"/>
              <w:left w:val="nil"/>
              <w:bottom w:val="nil"/>
              <w:right w:val="nil"/>
            </w:tcBorders>
            <w:shd w:val="clear" w:color="000000" w:fill="FFFFFF"/>
            <w:noWrap/>
            <w:vAlign w:val="center"/>
            <w:hideMark/>
          </w:tcPr>
          <w:p w14:paraId="34810899" w14:textId="32D2B5DE"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538" w:type="pct"/>
            <w:tcBorders>
              <w:top w:val="nil"/>
              <w:left w:val="nil"/>
              <w:bottom w:val="nil"/>
              <w:right w:val="nil"/>
            </w:tcBorders>
            <w:shd w:val="clear" w:color="000000" w:fill="FFFFFF"/>
            <w:noWrap/>
            <w:vAlign w:val="center"/>
            <w:hideMark/>
          </w:tcPr>
          <w:p w14:paraId="5533969E" w14:textId="54FB34DE"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465" w:type="pct"/>
            <w:tcBorders>
              <w:top w:val="nil"/>
              <w:left w:val="nil"/>
              <w:bottom w:val="nil"/>
              <w:right w:val="nil"/>
            </w:tcBorders>
            <w:shd w:val="clear" w:color="000000" w:fill="FFFFFF"/>
            <w:noWrap/>
            <w:vAlign w:val="center"/>
            <w:hideMark/>
          </w:tcPr>
          <w:p w14:paraId="37261EB7" w14:textId="4DBDA98A"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377" w:type="pct"/>
            <w:tcBorders>
              <w:top w:val="nil"/>
              <w:left w:val="nil"/>
              <w:bottom w:val="nil"/>
              <w:right w:val="nil"/>
            </w:tcBorders>
            <w:shd w:val="clear" w:color="000000" w:fill="FFFFFF"/>
            <w:noWrap/>
            <w:vAlign w:val="center"/>
            <w:hideMark/>
          </w:tcPr>
          <w:p w14:paraId="4C751AD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18.8 </w:t>
            </w:r>
          </w:p>
        </w:tc>
        <w:tc>
          <w:tcPr>
            <w:tcW w:w="408" w:type="pct"/>
            <w:tcBorders>
              <w:top w:val="nil"/>
              <w:left w:val="nil"/>
              <w:bottom w:val="nil"/>
              <w:right w:val="nil"/>
            </w:tcBorders>
            <w:shd w:val="clear" w:color="000000" w:fill="FFFFFF"/>
            <w:noWrap/>
            <w:vAlign w:val="center"/>
            <w:hideMark/>
          </w:tcPr>
          <w:p w14:paraId="4394559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942.3 </w:t>
            </w:r>
          </w:p>
        </w:tc>
        <w:tc>
          <w:tcPr>
            <w:tcW w:w="679" w:type="pct"/>
            <w:tcBorders>
              <w:top w:val="nil"/>
              <w:left w:val="nil"/>
              <w:bottom w:val="nil"/>
              <w:right w:val="nil"/>
            </w:tcBorders>
            <w:shd w:val="clear" w:color="000000" w:fill="FFFFFF"/>
            <w:noWrap/>
            <w:vAlign w:val="center"/>
            <w:hideMark/>
          </w:tcPr>
          <w:p w14:paraId="2CA482B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972.5 </w:t>
            </w:r>
          </w:p>
        </w:tc>
      </w:tr>
      <w:tr w:rsidR="00B546C3" w:rsidRPr="00A521D5" w14:paraId="50827B7F" w14:textId="77777777" w:rsidTr="00AC1D53">
        <w:trPr>
          <w:trHeight w:val="255"/>
        </w:trPr>
        <w:tc>
          <w:tcPr>
            <w:tcW w:w="1103" w:type="pct"/>
            <w:tcBorders>
              <w:top w:val="nil"/>
              <w:left w:val="nil"/>
              <w:bottom w:val="nil"/>
              <w:right w:val="nil"/>
            </w:tcBorders>
            <w:shd w:val="clear" w:color="auto" w:fill="auto"/>
            <w:noWrap/>
            <w:vAlign w:val="bottom"/>
            <w:hideMark/>
          </w:tcPr>
          <w:p w14:paraId="0BAE76AC" w14:textId="77777777" w:rsidR="00256957" w:rsidRPr="00A521D5" w:rsidRDefault="00256957" w:rsidP="00256957">
            <w:pPr>
              <w:spacing w:after="0" w:line="240" w:lineRule="auto"/>
              <w:jc w:val="left"/>
              <w:rPr>
                <w:rFonts w:ascii="Arial" w:hAnsi="Arial" w:cs="Arial"/>
                <w:sz w:val="16"/>
                <w:szCs w:val="16"/>
              </w:rPr>
            </w:pPr>
          </w:p>
        </w:tc>
        <w:tc>
          <w:tcPr>
            <w:tcW w:w="0" w:type="pct"/>
            <w:tcBorders>
              <w:top w:val="nil"/>
              <w:left w:val="nil"/>
              <w:bottom w:val="nil"/>
              <w:right w:val="nil"/>
            </w:tcBorders>
            <w:shd w:val="clear" w:color="000000" w:fill="FFFFFF"/>
            <w:noWrap/>
            <w:vAlign w:val="center"/>
            <w:hideMark/>
          </w:tcPr>
          <w:p w14:paraId="3F0B4FB8" w14:textId="77777777" w:rsidR="00256957" w:rsidRPr="00A521D5" w:rsidRDefault="006225EA" w:rsidP="00CC3060">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auto" w:fill="auto"/>
            <w:noWrap/>
            <w:vAlign w:val="center"/>
            <w:hideMark/>
          </w:tcPr>
          <w:p w14:paraId="2FFE1844" w14:textId="77777777" w:rsidR="00256957" w:rsidRPr="00A521D5" w:rsidRDefault="00256957" w:rsidP="00FB0E75">
            <w:pPr>
              <w:spacing w:after="0" w:line="240" w:lineRule="auto"/>
              <w:jc w:val="right"/>
              <w:rPr>
                <w:rFonts w:ascii="Arial" w:hAnsi="Arial" w:cs="Arial"/>
                <w:sz w:val="16"/>
                <w:szCs w:val="16"/>
              </w:rPr>
            </w:pPr>
          </w:p>
        </w:tc>
        <w:tc>
          <w:tcPr>
            <w:tcW w:w="449" w:type="pct"/>
            <w:tcBorders>
              <w:top w:val="nil"/>
              <w:left w:val="nil"/>
              <w:bottom w:val="nil"/>
              <w:right w:val="nil"/>
            </w:tcBorders>
            <w:shd w:val="clear" w:color="auto" w:fill="auto"/>
            <w:noWrap/>
            <w:vAlign w:val="center"/>
            <w:hideMark/>
          </w:tcPr>
          <w:p w14:paraId="41F5BB0D" w14:textId="77777777" w:rsidR="00256957" w:rsidRPr="00A521D5" w:rsidRDefault="00256957" w:rsidP="00FB0E75">
            <w:pPr>
              <w:spacing w:after="0" w:line="240" w:lineRule="auto"/>
              <w:jc w:val="right"/>
              <w:rPr>
                <w:rFonts w:ascii="Arial" w:hAnsi="Arial" w:cs="Arial"/>
                <w:color w:val="auto"/>
                <w:sz w:val="16"/>
                <w:szCs w:val="16"/>
              </w:rPr>
            </w:pPr>
          </w:p>
        </w:tc>
        <w:tc>
          <w:tcPr>
            <w:tcW w:w="425" w:type="pct"/>
            <w:tcBorders>
              <w:top w:val="nil"/>
              <w:left w:val="nil"/>
              <w:bottom w:val="nil"/>
              <w:right w:val="nil"/>
            </w:tcBorders>
            <w:shd w:val="clear" w:color="auto" w:fill="auto"/>
            <w:noWrap/>
            <w:vAlign w:val="center"/>
            <w:hideMark/>
          </w:tcPr>
          <w:p w14:paraId="0B15AD1B" w14:textId="77777777" w:rsidR="00256957" w:rsidRPr="00A521D5" w:rsidRDefault="00256957" w:rsidP="00FB0E75">
            <w:pPr>
              <w:spacing w:after="0" w:line="240" w:lineRule="auto"/>
              <w:jc w:val="right"/>
              <w:rPr>
                <w:rFonts w:ascii="Arial" w:hAnsi="Arial" w:cs="Arial"/>
                <w:color w:val="auto"/>
                <w:sz w:val="16"/>
                <w:szCs w:val="16"/>
              </w:rPr>
            </w:pPr>
          </w:p>
        </w:tc>
        <w:tc>
          <w:tcPr>
            <w:tcW w:w="538" w:type="pct"/>
            <w:tcBorders>
              <w:top w:val="nil"/>
              <w:left w:val="nil"/>
              <w:bottom w:val="nil"/>
              <w:right w:val="nil"/>
            </w:tcBorders>
            <w:shd w:val="clear" w:color="auto" w:fill="auto"/>
            <w:noWrap/>
            <w:vAlign w:val="center"/>
            <w:hideMark/>
          </w:tcPr>
          <w:p w14:paraId="599E8DF1" w14:textId="77777777" w:rsidR="00256957" w:rsidRPr="00A521D5" w:rsidRDefault="00256957" w:rsidP="00FB0E75">
            <w:pPr>
              <w:spacing w:after="0" w:line="240" w:lineRule="auto"/>
              <w:jc w:val="right"/>
              <w:rPr>
                <w:rFonts w:ascii="Arial" w:hAnsi="Arial" w:cs="Arial"/>
                <w:color w:val="auto"/>
                <w:sz w:val="16"/>
                <w:szCs w:val="16"/>
              </w:rPr>
            </w:pPr>
          </w:p>
        </w:tc>
        <w:tc>
          <w:tcPr>
            <w:tcW w:w="465" w:type="pct"/>
            <w:tcBorders>
              <w:top w:val="nil"/>
              <w:left w:val="nil"/>
              <w:bottom w:val="nil"/>
              <w:right w:val="nil"/>
            </w:tcBorders>
            <w:shd w:val="clear" w:color="auto" w:fill="auto"/>
            <w:noWrap/>
            <w:vAlign w:val="center"/>
            <w:hideMark/>
          </w:tcPr>
          <w:p w14:paraId="32B84C0A" w14:textId="77777777" w:rsidR="00256957" w:rsidRPr="00A521D5" w:rsidRDefault="00256957" w:rsidP="00FB0E75">
            <w:pPr>
              <w:spacing w:after="0" w:line="240" w:lineRule="auto"/>
              <w:jc w:val="right"/>
              <w:rPr>
                <w:rFonts w:ascii="Arial" w:hAnsi="Arial" w:cs="Arial"/>
                <w:color w:val="auto"/>
                <w:sz w:val="16"/>
                <w:szCs w:val="16"/>
              </w:rPr>
            </w:pPr>
          </w:p>
        </w:tc>
        <w:tc>
          <w:tcPr>
            <w:tcW w:w="377" w:type="pct"/>
            <w:tcBorders>
              <w:top w:val="nil"/>
              <w:left w:val="nil"/>
              <w:bottom w:val="nil"/>
              <w:right w:val="nil"/>
            </w:tcBorders>
            <w:shd w:val="clear" w:color="auto" w:fill="auto"/>
            <w:noWrap/>
            <w:vAlign w:val="center"/>
            <w:hideMark/>
          </w:tcPr>
          <w:p w14:paraId="6349EE47" w14:textId="77777777" w:rsidR="00256957" w:rsidRPr="00A521D5" w:rsidRDefault="00256957" w:rsidP="00FB0E75">
            <w:pPr>
              <w:spacing w:after="0" w:line="240" w:lineRule="auto"/>
              <w:jc w:val="right"/>
              <w:rPr>
                <w:rFonts w:ascii="Arial" w:hAnsi="Arial" w:cs="Arial"/>
                <w:color w:val="auto"/>
                <w:sz w:val="16"/>
                <w:szCs w:val="16"/>
              </w:rPr>
            </w:pPr>
          </w:p>
        </w:tc>
        <w:tc>
          <w:tcPr>
            <w:tcW w:w="408" w:type="pct"/>
            <w:tcBorders>
              <w:top w:val="nil"/>
              <w:left w:val="nil"/>
              <w:bottom w:val="nil"/>
              <w:right w:val="nil"/>
            </w:tcBorders>
            <w:shd w:val="clear" w:color="auto" w:fill="auto"/>
            <w:noWrap/>
            <w:vAlign w:val="center"/>
            <w:hideMark/>
          </w:tcPr>
          <w:p w14:paraId="2647010C" w14:textId="77777777" w:rsidR="00256957" w:rsidRPr="00A521D5" w:rsidRDefault="00256957" w:rsidP="00FB0E75">
            <w:pPr>
              <w:spacing w:after="0" w:line="240" w:lineRule="auto"/>
              <w:jc w:val="right"/>
              <w:rPr>
                <w:rFonts w:ascii="Arial" w:hAnsi="Arial" w:cs="Arial"/>
                <w:color w:val="auto"/>
                <w:sz w:val="16"/>
                <w:szCs w:val="16"/>
              </w:rPr>
            </w:pPr>
          </w:p>
        </w:tc>
        <w:tc>
          <w:tcPr>
            <w:tcW w:w="679" w:type="pct"/>
            <w:tcBorders>
              <w:top w:val="nil"/>
              <w:left w:val="nil"/>
              <w:bottom w:val="nil"/>
              <w:right w:val="nil"/>
            </w:tcBorders>
            <w:shd w:val="clear" w:color="auto" w:fill="auto"/>
            <w:noWrap/>
            <w:vAlign w:val="center"/>
            <w:hideMark/>
          </w:tcPr>
          <w:p w14:paraId="0CFFE861" w14:textId="77777777" w:rsidR="00256957" w:rsidRPr="00A521D5" w:rsidRDefault="00256957" w:rsidP="00FB0E75">
            <w:pPr>
              <w:spacing w:after="0" w:line="240" w:lineRule="auto"/>
              <w:jc w:val="right"/>
              <w:rPr>
                <w:rFonts w:ascii="Arial" w:hAnsi="Arial" w:cs="Arial"/>
                <w:color w:val="auto"/>
                <w:sz w:val="16"/>
                <w:szCs w:val="16"/>
              </w:rPr>
            </w:pPr>
          </w:p>
        </w:tc>
      </w:tr>
      <w:tr w:rsidR="00B546C3" w:rsidRPr="00A521D5" w14:paraId="3CAF54C7" w14:textId="77777777" w:rsidTr="00AC1D53">
        <w:trPr>
          <w:trHeight w:val="255"/>
        </w:trPr>
        <w:tc>
          <w:tcPr>
            <w:tcW w:w="1103" w:type="pct"/>
            <w:tcBorders>
              <w:top w:val="nil"/>
              <w:left w:val="nil"/>
              <w:bottom w:val="nil"/>
              <w:right w:val="nil"/>
            </w:tcBorders>
            <w:shd w:val="clear" w:color="000000" w:fill="FFFFFF"/>
            <w:noWrap/>
            <w:vAlign w:val="center"/>
            <w:hideMark/>
          </w:tcPr>
          <w:p w14:paraId="38C8A20F"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Other Countries </w:t>
            </w:r>
          </w:p>
        </w:tc>
        <w:tc>
          <w:tcPr>
            <w:tcW w:w="0" w:type="pct"/>
            <w:tcBorders>
              <w:top w:val="nil"/>
              <w:left w:val="nil"/>
              <w:bottom w:val="nil"/>
              <w:right w:val="nil"/>
            </w:tcBorders>
            <w:shd w:val="clear" w:color="000000" w:fill="FFFFFF"/>
            <w:noWrap/>
            <w:vAlign w:val="center"/>
            <w:hideMark/>
          </w:tcPr>
          <w:p w14:paraId="03FDFB03" w14:textId="77777777" w:rsidR="00256957" w:rsidRPr="00A521D5" w:rsidRDefault="006225EA" w:rsidP="00FB0E75">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4193423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1,617 </w:t>
            </w:r>
          </w:p>
        </w:tc>
        <w:tc>
          <w:tcPr>
            <w:tcW w:w="449" w:type="pct"/>
            <w:tcBorders>
              <w:top w:val="nil"/>
              <w:left w:val="nil"/>
              <w:bottom w:val="nil"/>
              <w:right w:val="nil"/>
            </w:tcBorders>
            <w:shd w:val="clear" w:color="000000" w:fill="FFFFFF"/>
            <w:noWrap/>
            <w:vAlign w:val="center"/>
            <w:hideMark/>
          </w:tcPr>
          <w:p w14:paraId="4960CEB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827.1 </w:t>
            </w:r>
          </w:p>
        </w:tc>
        <w:tc>
          <w:tcPr>
            <w:tcW w:w="425" w:type="pct"/>
            <w:tcBorders>
              <w:top w:val="nil"/>
              <w:left w:val="nil"/>
              <w:bottom w:val="nil"/>
              <w:right w:val="nil"/>
            </w:tcBorders>
            <w:shd w:val="clear" w:color="000000" w:fill="FFFFFF"/>
            <w:noWrap/>
            <w:vAlign w:val="center"/>
            <w:hideMark/>
          </w:tcPr>
          <w:p w14:paraId="21E710E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106.3 </w:t>
            </w:r>
          </w:p>
        </w:tc>
        <w:tc>
          <w:tcPr>
            <w:tcW w:w="538" w:type="pct"/>
            <w:tcBorders>
              <w:top w:val="nil"/>
              <w:left w:val="nil"/>
              <w:bottom w:val="nil"/>
              <w:right w:val="nil"/>
            </w:tcBorders>
            <w:shd w:val="clear" w:color="000000" w:fill="FFFFFF"/>
            <w:noWrap/>
            <w:vAlign w:val="center"/>
            <w:hideMark/>
          </w:tcPr>
          <w:p w14:paraId="38815B1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1,194.2 </w:t>
            </w:r>
          </w:p>
        </w:tc>
        <w:tc>
          <w:tcPr>
            <w:tcW w:w="465" w:type="pct"/>
            <w:tcBorders>
              <w:top w:val="nil"/>
              <w:left w:val="nil"/>
              <w:bottom w:val="nil"/>
              <w:right w:val="nil"/>
            </w:tcBorders>
            <w:shd w:val="clear" w:color="000000" w:fill="FFFFFF"/>
            <w:noWrap/>
            <w:vAlign w:val="center"/>
            <w:hideMark/>
          </w:tcPr>
          <w:p w14:paraId="559173E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939.9 </w:t>
            </w:r>
          </w:p>
        </w:tc>
        <w:tc>
          <w:tcPr>
            <w:tcW w:w="377" w:type="pct"/>
            <w:tcBorders>
              <w:top w:val="nil"/>
              <w:left w:val="nil"/>
              <w:bottom w:val="nil"/>
              <w:right w:val="nil"/>
            </w:tcBorders>
            <w:shd w:val="clear" w:color="000000" w:fill="FFFFFF"/>
            <w:noWrap/>
            <w:vAlign w:val="center"/>
            <w:hideMark/>
          </w:tcPr>
          <w:p w14:paraId="48173A62"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2,626.5 </w:t>
            </w:r>
          </w:p>
        </w:tc>
        <w:tc>
          <w:tcPr>
            <w:tcW w:w="408" w:type="pct"/>
            <w:tcBorders>
              <w:top w:val="nil"/>
              <w:left w:val="nil"/>
              <w:bottom w:val="nil"/>
              <w:right w:val="nil"/>
            </w:tcBorders>
            <w:shd w:val="clear" w:color="000000" w:fill="FFFFFF"/>
            <w:noWrap/>
            <w:vAlign w:val="center"/>
            <w:hideMark/>
          </w:tcPr>
          <w:p w14:paraId="3E278B8E"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2,423.9 </w:t>
            </w:r>
          </w:p>
        </w:tc>
        <w:tc>
          <w:tcPr>
            <w:tcW w:w="679" w:type="pct"/>
            <w:tcBorders>
              <w:top w:val="nil"/>
              <w:left w:val="nil"/>
              <w:bottom w:val="nil"/>
              <w:right w:val="nil"/>
            </w:tcBorders>
            <w:shd w:val="clear" w:color="000000" w:fill="FFFFFF"/>
            <w:noWrap/>
            <w:vAlign w:val="center"/>
            <w:hideMark/>
          </w:tcPr>
          <w:p w14:paraId="0E21AB2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8,117.8 </w:t>
            </w:r>
          </w:p>
        </w:tc>
      </w:tr>
      <w:tr w:rsidR="00B546C3" w:rsidRPr="00A521D5" w14:paraId="07548705" w14:textId="77777777" w:rsidTr="00AC1D53">
        <w:trPr>
          <w:trHeight w:val="255"/>
        </w:trPr>
        <w:tc>
          <w:tcPr>
            <w:tcW w:w="1103" w:type="pct"/>
            <w:tcBorders>
              <w:top w:val="nil"/>
              <w:left w:val="nil"/>
              <w:bottom w:val="nil"/>
              <w:right w:val="nil"/>
            </w:tcBorders>
            <w:shd w:val="clear" w:color="000000" w:fill="FFFFFF"/>
            <w:noWrap/>
            <w:vAlign w:val="center"/>
            <w:hideMark/>
          </w:tcPr>
          <w:p w14:paraId="2D5421D2"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New Dwelling EC </w:t>
            </w:r>
          </w:p>
        </w:tc>
        <w:tc>
          <w:tcPr>
            <w:tcW w:w="0" w:type="pct"/>
            <w:tcBorders>
              <w:top w:val="nil"/>
              <w:left w:val="nil"/>
              <w:bottom w:val="nil"/>
              <w:right w:val="nil"/>
            </w:tcBorders>
            <w:shd w:val="clear" w:color="000000" w:fill="FFFFFF"/>
            <w:noWrap/>
            <w:vAlign w:val="center"/>
            <w:hideMark/>
          </w:tcPr>
          <w:p w14:paraId="0FA252BA" w14:textId="77777777" w:rsidR="00256957" w:rsidRPr="00A521D5" w:rsidRDefault="006225EA" w:rsidP="00AC1D53">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614C7073"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38 </w:t>
            </w:r>
          </w:p>
        </w:tc>
        <w:tc>
          <w:tcPr>
            <w:tcW w:w="449" w:type="pct"/>
            <w:tcBorders>
              <w:top w:val="nil"/>
              <w:left w:val="nil"/>
              <w:bottom w:val="nil"/>
              <w:right w:val="nil"/>
            </w:tcBorders>
            <w:shd w:val="clear" w:color="000000" w:fill="FFFFFF"/>
            <w:noWrap/>
            <w:vAlign w:val="center"/>
            <w:hideMark/>
          </w:tcPr>
          <w:p w14:paraId="4C82E589" w14:textId="1743FC31"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425" w:type="pct"/>
            <w:tcBorders>
              <w:top w:val="nil"/>
              <w:left w:val="nil"/>
              <w:bottom w:val="nil"/>
              <w:right w:val="nil"/>
            </w:tcBorders>
            <w:shd w:val="clear" w:color="000000" w:fill="FFFFFF"/>
            <w:noWrap/>
            <w:vAlign w:val="center"/>
            <w:hideMark/>
          </w:tcPr>
          <w:p w14:paraId="54AC98FA" w14:textId="669925DF"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538" w:type="pct"/>
            <w:tcBorders>
              <w:top w:val="nil"/>
              <w:left w:val="nil"/>
              <w:bottom w:val="nil"/>
              <w:right w:val="nil"/>
            </w:tcBorders>
            <w:shd w:val="clear" w:color="000000" w:fill="FFFFFF"/>
            <w:noWrap/>
            <w:vAlign w:val="center"/>
            <w:hideMark/>
          </w:tcPr>
          <w:p w14:paraId="7C759159" w14:textId="1491A7A0"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465" w:type="pct"/>
            <w:tcBorders>
              <w:top w:val="nil"/>
              <w:left w:val="nil"/>
              <w:bottom w:val="nil"/>
              <w:right w:val="nil"/>
            </w:tcBorders>
            <w:shd w:val="clear" w:color="000000" w:fill="FFFFFF"/>
            <w:noWrap/>
            <w:vAlign w:val="center"/>
            <w:hideMark/>
          </w:tcPr>
          <w:p w14:paraId="4555FE11" w14:textId="33BCFBBC"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377" w:type="pct"/>
            <w:tcBorders>
              <w:top w:val="nil"/>
              <w:left w:val="nil"/>
              <w:bottom w:val="nil"/>
              <w:right w:val="nil"/>
            </w:tcBorders>
            <w:shd w:val="clear" w:color="000000" w:fill="FFFFFF"/>
            <w:noWrap/>
            <w:vAlign w:val="center"/>
            <w:hideMark/>
          </w:tcPr>
          <w:p w14:paraId="0F009A09"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1,621.7 </w:t>
            </w:r>
          </w:p>
        </w:tc>
        <w:tc>
          <w:tcPr>
            <w:tcW w:w="408" w:type="pct"/>
            <w:tcBorders>
              <w:top w:val="nil"/>
              <w:left w:val="nil"/>
              <w:bottom w:val="nil"/>
              <w:right w:val="nil"/>
            </w:tcBorders>
            <w:shd w:val="clear" w:color="000000" w:fill="FFFFFF"/>
            <w:noWrap/>
            <w:vAlign w:val="center"/>
            <w:hideMark/>
          </w:tcPr>
          <w:p w14:paraId="2522062A" w14:textId="78A75BBB" w:rsidR="00256957" w:rsidRPr="00A521D5" w:rsidRDefault="00BD4D19" w:rsidP="00FB0E75">
            <w:pPr>
              <w:spacing w:after="0" w:line="240" w:lineRule="auto"/>
              <w:jc w:val="right"/>
              <w:rPr>
                <w:rFonts w:ascii="Arial" w:hAnsi="Arial" w:cs="Arial"/>
                <w:sz w:val="16"/>
                <w:szCs w:val="16"/>
              </w:rPr>
            </w:pPr>
            <w:r>
              <w:rPr>
                <w:rFonts w:ascii="Arial" w:hAnsi="Arial" w:cs="Arial"/>
                <w:sz w:val="16"/>
                <w:szCs w:val="16"/>
              </w:rPr>
              <w:noBreakHyphen/>
            </w:r>
            <w:r w:rsidR="006225EA" w:rsidRPr="00A521D5">
              <w:rPr>
                <w:rFonts w:ascii="Arial" w:hAnsi="Arial" w:cs="Arial"/>
                <w:sz w:val="16"/>
                <w:szCs w:val="16"/>
              </w:rPr>
              <w:t xml:space="preserve"> </w:t>
            </w:r>
            <w:r w:rsidR="00256957" w:rsidRPr="00A521D5">
              <w:rPr>
                <w:rFonts w:ascii="Arial" w:hAnsi="Arial" w:cs="Arial"/>
                <w:sz w:val="16"/>
                <w:szCs w:val="16"/>
              </w:rPr>
              <w:t xml:space="preserve">  </w:t>
            </w:r>
          </w:p>
        </w:tc>
        <w:tc>
          <w:tcPr>
            <w:tcW w:w="679" w:type="pct"/>
            <w:tcBorders>
              <w:top w:val="nil"/>
              <w:left w:val="nil"/>
              <w:bottom w:val="nil"/>
              <w:right w:val="nil"/>
            </w:tcBorders>
            <w:shd w:val="clear" w:color="000000" w:fill="FFFFFF"/>
            <w:noWrap/>
            <w:vAlign w:val="center"/>
            <w:hideMark/>
          </w:tcPr>
          <w:p w14:paraId="25534A42"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1,621.7 </w:t>
            </w:r>
          </w:p>
        </w:tc>
      </w:tr>
      <w:tr w:rsidR="00B546C3" w:rsidRPr="00A521D5" w14:paraId="5F6C7B8A" w14:textId="77777777" w:rsidTr="00AC1D53">
        <w:trPr>
          <w:trHeight w:val="255"/>
        </w:trPr>
        <w:tc>
          <w:tcPr>
            <w:tcW w:w="1103" w:type="pct"/>
            <w:tcBorders>
              <w:top w:val="nil"/>
              <w:left w:val="nil"/>
              <w:bottom w:val="nil"/>
              <w:right w:val="nil"/>
            </w:tcBorders>
            <w:shd w:val="clear" w:color="000000" w:fill="FFFFFF"/>
            <w:noWrap/>
            <w:vAlign w:val="center"/>
            <w:hideMark/>
          </w:tcPr>
          <w:p w14:paraId="50CC7167"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Subtotal </w:t>
            </w:r>
          </w:p>
        </w:tc>
        <w:tc>
          <w:tcPr>
            <w:tcW w:w="0" w:type="pct"/>
            <w:tcBorders>
              <w:top w:val="nil"/>
              <w:left w:val="nil"/>
              <w:bottom w:val="nil"/>
              <w:right w:val="nil"/>
            </w:tcBorders>
            <w:shd w:val="clear" w:color="000000" w:fill="FFFFFF"/>
            <w:noWrap/>
            <w:vAlign w:val="center"/>
            <w:hideMark/>
          </w:tcPr>
          <w:p w14:paraId="4E276B29" w14:textId="77777777" w:rsidR="00256957" w:rsidRPr="00A521D5" w:rsidRDefault="006225EA" w:rsidP="00FB0E75">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nil"/>
              <w:left w:val="nil"/>
              <w:bottom w:val="nil"/>
              <w:right w:val="nil"/>
            </w:tcBorders>
            <w:shd w:val="clear" w:color="000000" w:fill="FFFFFF"/>
            <w:noWrap/>
            <w:vAlign w:val="center"/>
            <w:hideMark/>
          </w:tcPr>
          <w:p w14:paraId="5946EF91"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8,980 </w:t>
            </w:r>
          </w:p>
        </w:tc>
        <w:tc>
          <w:tcPr>
            <w:tcW w:w="449" w:type="pct"/>
            <w:tcBorders>
              <w:top w:val="nil"/>
              <w:left w:val="nil"/>
              <w:bottom w:val="nil"/>
              <w:right w:val="nil"/>
            </w:tcBorders>
            <w:shd w:val="clear" w:color="000000" w:fill="FFFFFF"/>
            <w:noWrap/>
            <w:vAlign w:val="center"/>
            <w:hideMark/>
          </w:tcPr>
          <w:p w14:paraId="11616831"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7,745.8 </w:t>
            </w:r>
          </w:p>
        </w:tc>
        <w:tc>
          <w:tcPr>
            <w:tcW w:w="425" w:type="pct"/>
            <w:tcBorders>
              <w:top w:val="nil"/>
              <w:left w:val="nil"/>
              <w:bottom w:val="nil"/>
              <w:right w:val="nil"/>
            </w:tcBorders>
            <w:shd w:val="clear" w:color="000000" w:fill="FFFFFF"/>
            <w:noWrap/>
            <w:vAlign w:val="center"/>
            <w:hideMark/>
          </w:tcPr>
          <w:p w14:paraId="60E6E376"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11,666.7 </w:t>
            </w:r>
          </w:p>
        </w:tc>
        <w:tc>
          <w:tcPr>
            <w:tcW w:w="538" w:type="pct"/>
            <w:tcBorders>
              <w:top w:val="nil"/>
              <w:left w:val="nil"/>
              <w:bottom w:val="nil"/>
              <w:right w:val="nil"/>
            </w:tcBorders>
            <w:shd w:val="clear" w:color="000000" w:fill="FFFFFF"/>
            <w:noWrap/>
            <w:vAlign w:val="center"/>
            <w:hideMark/>
          </w:tcPr>
          <w:p w14:paraId="14B10089"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31,693.4 </w:t>
            </w:r>
          </w:p>
        </w:tc>
        <w:tc>
          <w:tcPr>
            <w:tcW w:w="465" w:type="pct"/>
            <w:tcBorders>
              <w:top w:val="nil"/>
              <w:left w:val="nil"/>
              <w:bottom w:val="nil"/>
              <w:right w:val="nil"/>
            </w:tcBorders>
            <w:shd w:val="clear" w:color="000000" w:fill="FFFFFF"/>
            <w:noWrap/>
            <w:vAlign w:val="center"/>
            <w:hideMark/>
          </w:tcPr>
          <w:p w14:paraId="656E3300"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9,380.7 </w:t>
            </w:r>
          </w:p>
        </w:tc>
        <w:tc>
          <w:tcPr>
            <w:tcW w:w="377" w:type="pct"/>
            <w:tcBorders>
              <w:top w:val="nil"/>
              <w:left w:val="nil"/>
              <w:bottom w:val="nil"/>
              <w:right w:val="nil"/>
            </w:tcBorders>
            <w:shd w:val="clear" w:color="000000" w:fill="FFFFFF"/>
            <w:noWrap/>
            <w:vAlign w:val="center"/>
            <w:hideMark/>
          </w:tcPr>
          <w:p w14:paraId="4FA77FC9"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52,737.8 </w:t>
            </w:r>
          </w:p>
        </w:tc>
        <w:tc>
          <w:tcPr>
            <w:tcW w:w="408" w:type="pct"/>
            <w:tcBorders>
              <w:top w:val="nil"/>
              <w:left w:val="nil"/>
              <w:bottom w:val="nil"/>
              <w:right w:val="nil"/>
            </w:tcBorders>
            <w:shd w:val="clear" w:color="000000" w:fill="FFFFFF"/>
            <w:noWrap/>
            <w:vAlign w:val="center"/>
            <w:hideMark/>
          </w:tcPr>
          <w:p w14:paraId="67DE145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70,379.2 </w:t>
            </w:r>
          </w:p>
        </w:tc>
        <w:tc>
          <w:tcPr>
            <w:tcW w:w="679" w:type="pct"/>
            <w:tcBorders>
              <w:top w:val="nil"/>
              <w:left w:val="nil"/>
              <w:bottom w:val="nil"/>
              <w:right w:val="nil"/>
            </w:tcBorders>
            <w:shd w:val="clear" w:color="000000" w:fill="FFFFFF"/>
            <w:noWrap/>
            <w:vAlign w:val="center"/>
            <w:hideMark/>
          </w:tcPr>
          <w:p w14:paraId="4DC0258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183,603.6 </w:t>
            </w:r>
          </w:p>
        </w:tc>
      </w:tr>
      <w:tr w:rsidR="00B546C3" w:rsidRPr="00A521D5" w14:paraId="2A081DA4" w14:textId="77777777" w:rsidTr="00AC1D53">
        <w:trPr>
          <w:trHeight w:val="255"/>
        </w:trPr>
        <w:tc>
          <w:tcPr>
            <w:tcW w:w="1103" w:type="pct"/>
            <w:tcBorders>
              <w:top w:val="single" w:sz="4" w:space="0" w:color="auto"/>
              <w:left w:val="nil"/>
              <w:bottom w:val="nil"/>
              <w:right w:val="nil"/>
            </w:tcBorders>
            <w:shd w:val="clear" w:color="auto" w:fill="auto"/>
            <w:noWrap/>
            <w:vAlign w:val="center"/>
            <w:hideMark/>
          </w:tcPr>
          <w:p w14:paraId="5FCC529E" w14:textId="77777777" w:rsidR="00256957" w:rsidRPr="00A521D5" w:rsidRDefault="00256957" w:rsidP="00256957">
            <w:pPr>
              <w:spacing w:after="0" w:line="240" w:lineRule="auto"/>
              <w:jc w:val="left"/>
              <w:rPr>
                <w:rFonts w:ascii="Arial" w:hAnsi="Arial" w:cs="Arial"/>
                <w:sz w:val="16"/>
                <w:szCs w:val="16"/>
              </w:rPr>
            </w:pPr>
            <w:r w:rsidRPr="00A521D5">
              <w:rPr>
                <w:rFonts w:ascii="Arial" w:hAnsi="Arial" w:cs="Arial"/>
                <w:sz w:val="16"/>
                <w:szCs w:val="16"/>
              </w:rPr>
              <w:t xml:space="preserve">Australia </w:t>
            </w:r>
          </w:p>
        </w:tc>
        <w:tc>
          <w:tcPr>
            <w:tcW w:w="0" w:type="pct"/>
            <w:tcBorders>
              <w:top w:val="single" w:sz="4" w:space="0" w:color="auto"/>
              <w:left w:val="nil"/>
              <w:bottom w:val="nil"/>
              <w:right w:val="nil"/>
            </w:tcBorders>
            <w:shd w:val="clear" w:color="000000" w:fill="FFFFFF"/>
            <w:noWrap/>
            <w:vAlign w:val="center"/>
            <w:hideMark/>
          </w:tcPr>
          <w:p w14:paraId="3C8A7068" w14:textId="77777777" w:rsidR="00256957" w:rsidRPr="00A521D5" w:rsidRDefault="006225EA" w:rsidP="00AC1D53">
            <w:pPr>
              <w:spacing w:after="0" w:line="240" w:lineRule="auto"/>
              <w:jc w:val="right"/>
              <w:rPr>
                <w:rFonts w:ascii="Arial" w:hAnsi="Arial" w:cs="Arial"/>
                <w:sz w:val="16"/>
                <w:szCs w:val="16"/>
              </w:rPr>
            </w:pPr>
            <w:r w:rsidRPr="00A521D5">
              <w:rPr>
                <w:rFonts w:ascii="Arial" w:hAnsi="Arial" w:cs="Arial"/>
                <w:sz w:val="16"/>
                <w:szCs w:val="16"/>
              </w:rPr>
              <w:t xml:space="preserve">  </w:t>
            </w:r>
          </w:p>
        </w:tc>
        <w:tc>
          <w:tcPr>
            <w:tcW w:w="449" w:type="pct"/>
            <w:tcBorders>
              <w:top w:val="single" w:sz="4" w:space="0" w:color="auto"/>
              <w:left w:val="nil"/>
              <w:bottom w:val="nil"/>
              <w:right w:val="nil"/>
            </w:tcBorders>
            <w:shd w:val="clear" w:color="000000" w:fill="FFFFFF"/>
            <w:noWrap/>
            <w:vAlign w:val="center"/>
            <w:hideMark/>
          </w:tcPr>
          <w:p w14:paraId="26072D09"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214 </w:t>
            </w:r>
          </w:p>
        </w:tc>
        <w:tc>
          <w:tcPr>
            <w:tcW w:w="449" w:type="pct"/>
            <w:tcBorders>
              <w:top w:val="single" w:sz="4" w:space="0" w:color="auto"/>
              <w:left w:val="nil"/>
              <w:bottom w:val="nil"/>
              <w:right w:val="nil"/>
            </w:tcBorders>
            <w:shd w:val="clear" w:color="000000" w:fill="FFFFFF"/>
            <w:noWrap/>
            <w:vAlign w:val="center"/>
            <w:hideMark/>
          </w:tcPr>
          <w:p w14:paraId="7C57714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469.2 </w:t>
            </w:r>
          </w:p>
        </w:tc>
        <w:tc>
          <w:tcPr>
            <w:tcW w:w="425" w:type="pct"/>
            <w:tcBorders>
              <w:top w:val="single" w:sz="4" w:space="0" w:color="auto"/>
              <w:left w:val="nil"/>
              <w:bottom w:val="nil"/>
              <w:right w:val="nil"/>
            </w:tcBorders>
            <w:shd w:val="clear" w:color="000000" w:fill="FFFFFF"/>
            <w:noWrap/>
            <w:vAlign w:val="center"/>
            <w:hideMark/>
          </w:tcPr>
          <w:p w14:paraId="41A1CE25"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1,884.4 </w:t>
            </w:r>
          </w:p>
        </w:tc>
        <w:tc>
          <w:tcPr>
            <w:tcW w:w="538" w:type="pct"/>
            <w:tcBorders>
              <w:top w:val="single" w:sz="4" w:space="0" w:color="auto"/>
              <w:left w:val="nil"/>
              <w:bottom w:val="nil"/>
              <w:right w:val="nil"/>
            </w:tcBorders>
            <w:shd w:val="clear" w:color="000000" w:fill="FFFFFF"/>
            <w:noWrap/>
            <w:vAlign w:val="center"/>
            <w:hideMark/>
          </w:tcPr>
          <w:p w14:paraId="776E25FF"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1,259.3 </w:t>
            </w:r>
          </w:p>
        </w:tc>
        <w:tc>
          <w:tcPr>
            <w:tcW w:w="465" w:type="pct"/>
            <w:tcBorders>
              <w:top w:val="single" w:sz="4" w:space="0" w:color="auto"/>
              <w:left w:val="nil"/>
              <w:bottom w:val="nil"/>
              <w:right w:val="nil"/>
            </w:tcBorders>
            <w:shd w:val="clear" w:color="000000" w:fill="FFFFFF"/>
            <w:noWrap/>
            <w:vAlign w:val="center"/>
            <w:hideMark/>
          </w:tcPr>
          <w:p w14:paraId="57B4AF8E"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1,809.1 </w:t>
            </w:r>
          </w:p>
        </w:tc>
        <w:tc>
          <w:tcPr>
            <w:tcW w:w="377" w:type="pct"/>
            <w:tcBorders>
              <w:top w:val="single" w:sz="4" w:space="0" w:color="auto"/>
              <w:left w:val="nil"/>
              <w:bottom w:val="nil"/>
              <w:right w:val="nil"/>
            </w:tcBorders>
            <w:shd w:val="clear" w:color="000000" w:fill="FFFFFF"/>
            <w:noWrap/>
            <w:vAlign w:val="center"/>
            <w:hideMark/>
          </w:tcPr>
          <w:p w14:paraId="49BFC79B"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3,085.9 </w:t>
            </w:r>
          </w:p>
        </w:tc>
        <w:tc>
          <w:tcPr>
            <w:tcW w:w="408" w:type="pct"/>
            <w:tcBorders>
              <w:top w:val="single" w:sz="4" w:space="0" w:color="auto"/>
              <w:left w:val="nil"/>
              <w:bottom w:val="nil"/>
              <w:right w:val="nil"/>
            </w:tcBorders>
            <w:shd w:val="clear" w:color="000000" w:fill="FFFFFF"/>
            <w:noWrap/>
            <w:vAlign w:val="center"/>
            <w:hideMark/>
          </w:tcPr>
          <w:p w14:paraId="5D596A29"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3,168.7 </w:t>
            </w:r>
          </w:p>
        </w:tc>
        <w:tc>
          <w:tcPr>
            <w:tcW w:w="679" w:type="pct"/>
            <w:tcBorders>
              <w:top w:val="single" w:sz="4" w:space="0" w:color="auto"/>
              <w:left w:val="nil"/>
              <w:bottom w:val="nil"/>
              <w:right w:val="nil"/>
            </w:tcBorders>
            <w:shd w:val="clear" w:color="000000" w:fill="FFFFFF"/>
            <w:noWrap/>
            <w:vAlign w:val="center"/>
            <w:hideMark/>
          </w:tcPr>
          <w:p w14:paraId="4A4A937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11,676.6 </w:t>
            </w:r>
          </w:p>
        </w:tc>
      </w:tr>
      <w:tr w:rsidR="00B546C3" w:rsidRPr="00A521D5" w14:paraId="52D68EFF" w14:textId="77777777" w:rsidTr="00AC1D53">
        <w:trPr>
          <w:trHeight w:val="255"/>
        </w:trPr>
        <w:tc>
          <w:tcPr>
            <w:tcW w:w="1103" w:type="pct"/>
            <w:tcBorders>
              <w:top w:val="nil"/>
              <w:left w:val="nil"/>
              <w:bottom w:val="single" w:sz="4" w:space="0" w:color="auto"/>
              <w:right w:val="nil"/>
            </w:tcBorders>
            <w:shd w:val="clear" w:color="000000" w:fill="FFFFFF"/>
            <w:noWrap/>
            <w:vAlign w:val="center"/>
            <w:hideMark/>
          </w:tcPr>
          <w:p w14:paraId="1465D527" w14:textId="77777777" w:rsidR="00256957" w:rsidRPr="00A521D5" w:rsidRDefault="00256957" w:rsidP="00CC3060">
            <w:pPr>
              <w:spacing w:after="0" w:line="240" w:lineRule="auto"/>
              <w:rPr>
                <w:rFonts w:ascii="Arial" w:hAnsi="Arial" w:cs="Arial"/>
                <w:b/>
                <w:bCs/>
                <w:sz w:val="16"/>
                <w:szCs w:val="16"/>
              </w:rPr>
            </w:pPr>
            <w:r w:rsidRPr="00A521D5">
              <w:rPr>
                <w:rFonts w:ascii="Arial" w:hAnsi="Arial" w:cs="Arial"/>
                <w:b/>
                <w:bCs/>
                <w:sz w:val="16"/>
                <w:szCs w:val="16"/>
              </w:rPr>
              <w:t xml:space="preserve">Total </w:t>
            </w:r>
          </w:p>
        </w:tc>
        <w:tc>
          <w:tcPr>
            <w:tcW w:w="0" w:type="pct"/>
            <w:tcBorders>
              <w:top w:val="nil"/>
              <w:left w:val="nil"/>
              <w:bottom w:val="single" w:sz="4" w:space="0" w:color="auto"/>
              <w:right w:val="nil"/>
            </w:tcBorders>
            <w:shd w:val="clear" w:color="000000" w:fill="FFFFFF"/>
            <w:noWrap/>
            <w:vAlign w:val="center"/>
            <w:hideMark/>
          </w:tcPr>
          <w:p w14:paraId="21AEF1F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w:t>
            </w:r>
          </w:p>
        </w:tc>
        <w:tc>
          <w:tcPr>
            <w:tcW w:w="449" w:type="pct"/>
            <w:tcBorders>
              <w:top w:val="nil"/>
              <w:left w:val="nil"/>
              <w:bottom w:val="single" w:sz="4" w:space="0" w:color="auto"/>
              <w:right w:val="nil"/>
            </w:tcBorders>
            <w:shd w:val="clear" w:color="000000" w:fill="FFFFFF"/>
            <w:noWrap/>
            <w:vAlign w:val="center"/>
            <w:hideMark/>
          </w:tcPr>
          <w:p w14:paraId="4F855E6E"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9,194 </w:t>
            </w:r>
          </w:p>
        </w:tc>
        <w:tc>
          <w:tcPr>
            <w:tcW w:w="449" w:type="pct"/>
            <w:tcBorders>
              <w:top w:val="nil"/>
              <w:left w:val="nil"/>
              <w:bottom w:val="single" w:sz="4" w:space="0" w:color="auto"/>
              <w:right w:val="nil"/>
            </w:tcBorders>
            <w:shd w:val="clear" w:color="000000" w:fill="FFFFFF"/>
            <w:noWrap/>
            <w:vAlign w:val="center"/>
            <w:hideMark/>
          </w:tcPr>
          <w:p w14:paraId="4A8489A9"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8,215.0 </w:t>
            </w:r>
          </w:p>
        </w:tc>
        <w:tc>
          <w:tcPr>
            <w:tcW w:w="425" w:type="pct"/>
            <w:tcBorders>
              <w:top w:val="nil"/>
              <w:left w:val="nil"/>
              <w:bottom w:val="single" w:sz="4" w:space="0" w:color="auto"/>
              <w:right w:val="nil"/>
            </w:tcBorders>
            <w:shd w:val="clear" w:color="000000" w:fill="FFFFFF"/>
            <w:noWrap/>
            <w:vAlign w:val="center"/>
            <w:hideMark/>
          </w:tcPr>
          <w:p w14:paraId="59A20138"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13,551.1 </w:t>
            </w:r>
          </w:p>
        </w:tc>
        <w:tc>
          <w:tcPr>
            <w:tcW w:w="538" w:type="pct"/>
            <w:tcBorders>
              <w:top w:val="nil"/>
              <w:left w:val="nil"/>
              <w:bottom w:val="single" w:sz="4" w:space="0" w:color="auto"/>
              <w:right w:val="nil"/>
            </w:tcBorders>
            <w:shd w:val="clear" w:color="000000" w:fill="FFFFFF"/>
            <w:noWrap/>
            <w:vAlign w:val="center"/>
            <w:hideMark/>
          </w:tcPr>
          <w:p w14:paraId="37159F9B"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32,952.7 </w:t>
            </w:r>
          </w:p>
        </w:tc>
        <w:tc>
          <w:tcPr>
            <w:tcW w:w="465" w:type="pct"/>
            <w:tcBorders>
              <w:top w:val="nil"/>
              <w:left w:val="nil"/>
              <w:bottom w:val="single" w:sz="4" w:space="0" w:color="auto"/>
              <w:right w:val="nil"/>
            </w:tcBorders>
            <w:shd w:val="clear" w:color="000000" w:fill="FFFFFF"/>
            <w:noWrap/>
            <w:vAlign w:val="center"/>
            <w:hideMark/>
          </w:tcPr>
          <w:p w14:paraId="5398C41D"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11,189.8 </w:t>
            </w:r>
          </w:p>
        </w:tc>
        <w:tc>
          <w:tcPr>
            <w:tcW w:w="377" w:type="pct"/>
            <w:tcBorders>
              <w:top w:val="nil"/>
              <w:left w:val="nil"/>
              <w:bottom w:val="single" w:sz="4" w:space="0" w:color="auto"/>
              <w:right w:val="nil"/>
            </w:tcBorders>
            <w:shd w:val="clear" w:color="000000" w:fill="FFFFFF"/>
            <w:noWrap/>
            <w:vAlign w:val="center"/>
            <w:hideMark/>
          </w:tcPr>
          <w:p w14:paraId="26A87F54"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55,823.7 </w:t>
            </w:r>
          </w:p>
        </w:tc>
        <w:tc>
          <w:tcPr>
            <w:tcW w:w="408" w:type="pct"/>
            <w:tcBorders>
              <w:top w:val="nil"/>
              <w:left w:val="nil"/>
              <w:bottom w:val="single" w:sz="4" w:space="0" w:color="auto"/>
              <w:right w:val="nil"/>
            </w:tcBorders>
            <w:shd w:val="clear" w:color="000000" w:fill="FFFFFF"/>
            <w:noWrap/>
            <w:vAlign w:val="center"/>
            <w:hideMark/>
          </w:tcPr>
          <w:p w14:paraId="2929777C"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73,547.9 </w:t>
            </w:r>
          </w:p>
        </w:tc>
        <w:tc>
          <w:tcPr>
            <w:tcW w:w="679" w:type="pct"/>
            <w:tcBorders>
              <w:top w:val="nil"/>
              <w:left w:val="nil"/>
              <w:bottom w:val="single" w:sz="4" w:space="0" w:color="auto"/>
              <w:right w:val="nil"/>
            </w:tcBorders>
            <w:shd w:val="clear" w:color="000000" w:fill="FFFFFF"/>
            <w:noWrap/>
            <w:vAlign w:val="center"/>
            <w:hideMark/>
          </w:tcPr>
          <w:p w14:paraId="36D98BD7" w14:textId="77777777" w:rsidR="00256957" w:rsidRPr="00A521D5" w:rsidRDefault="00256957" w:rsidP="00FB0E75">
            <w:pPr>
              <w:spacing w:after="0" w:line="240" w:lineRule="auto"/>
              <w:jc w:val="right"/>
              <w:rPr>
                <w:rFonts w:ascii="Arial" w:hAnsi="Arial" w:cs="Arial"/>
                <w:sz w:val="16"/>
                <w:szCs w:val="16"/>
              </w:rPr>
            </w:pPr>
            <w:r w:rsidRPr="00A521D5">
              <w:rPr>
                <w:rFonts w:ascii="Arial" w:hAnsi="Arial" w:cs="Arial"/>
                <w:sz w:val="16"/>
                <w:szCs w:val="16"/>
              </w:rPr>
              <w:t xml:space="preserve">195,280.2 </w:t>
            </w:r>
          </w:p>
        </w:tc>
      </w:tr>
    </w:tbl>
    <w:p w14:paraId="0C38A8F4" w14:textId="77777777" w:rsidR="00E458B4" w:rsidRDefault="00E458B4" w:rsidP="00E458B4">
      <w:pPr>
        <w:pStyle w:val="ChartorTableNote"/>
      </w:pPr>
      <w:r w:rsidRPr="00BF48CD">
        <w:t xml:space="preserve">Before republishing this data or comparing between years, thoroughly review the methodological and data caveats in Appendix B. </w:t>
      </w:r>
    </w:p>
    <w:p w14:paraId="74B643B9" w14:textId="500E79C0" w:rsidR="00E458B4" w:rsidRDefault="00BD4D19" w:rsidP="00E458B4">
      <w:pPr>
        <w:pStyle w:val="Caveat"/>
      </w:pPr>
      <w:r>
        <w:t>‘</w:t>
      </w:r>
      <w:r w:rsidR="00E458B4" w:rsidRPr="00A60AA8">
        <w:t>Other</w:t>
      </w:r>
      <w:r>
        <w:t>’</w:t>
      </w:r>
      <w:r w:rsidR="00E458B4" w:rsidRPr="00A60AA8">
        <w:t xml:space="preserve"> comprises all other countries not specifically listed in the top countries by value, from which there is proposed investment approved.</w:t>
      </w:r>
    </w:p>
    <w:p w14:paraId="45528C5E" w14:textId="77777777" w:rsidR="00E458B4" w:rsidRDefault="00E458B4" w:rsidP="00F16FDC">
      <w:pPr>
        <w:sectPr w:rsidR="00E458B4" w:rsidSect="00A521D5">
          <w:headerReference w:type="first" r:id="rId63"/>
          <w:footerReference w:type="first" r:id="rId64"/>
          <w:pgSz w:w="16838" w:h="11906" w:orient="landscape" w:code="9"/>
          <w:pgMar w:top="2098" w:right="2466" w:bottom="2098" w:left="2466" w:header="1440" w:footer="1440" w:gutter="0"/>
          <w:cols w:space="708"/>
          <w:titlePg/>
          <w:docGrid w:linePitch="360"/>
        </w:sectPr>
      </w:pPr>
    </w:p>
    <w:p w14:paraId="0ADFCA1E" w14:textId="77777777" w:rsidR="00291872" w:rsidRPr="00820C89" w:rsidRDefault="00291872" w:rsidP="00291872">
      <w:pPr>
        <w:pStyle w:val="Heading2"/>
        <w:rPr>
          <w:b w:val="0"/>
        </w:rPr>
      </w:pPr>
      <w:bookmarkStart w:id="157" w:name="_Toc31296907"/>
      <w:bookmarkStart w:id="158" w:name="_Toc31636025"/>
      <w:bookmarkStart w:id="159" w:name="_Toc31642794"/>
      <w:bookmarkStart w:id="160" w:name="_Toc32247803"/>
      <w:bookmarkStart w:id="161" w:name="_Toc63782934"/>
      <w:bookmarkStart w:id="162" w:name="_Toc75244063"/>
      <w:r w:rsidRPr="00820C89">
        <w:t>Variations</w:t>
      </w:r>
      <w:bookmarkEnd w:id="157"/>
      <w:bookmarkEnd w:id="158"/>
      <w:bookmarkEnd w:id="159"/>
      <w:bookmarkEnd w:id="160"/>
      <w:bookmarkEnd w:id="161"/>
      <w:bookmarkEnd w:id="162"/>
    </w:p>
    <w:p w14:paraId="46599DD1" w14:textId="34B29853" w:rsidR="00291872" w:rsidRPr="00820C89" w:rsidRDefault="00291872" w:rsidP="00291872">
      <w:pPr>
        <w:rPr>
          <w:b/>
          <w:color w:val="auto"/>
        </w:rPr>
      </w:pPr>
      <w:r w:rsidRPr="00820C89">
        <w:t>The Act allows foreign persons to apply for variations relating to approvals, conditions that are imposed as part of an approval, exemption certificates, and to orders. Variations may also be made at the Treasurer</w:t>
      </w:r>
      <w:r w:rsidR="00BD4D19">
        <w:t>’</w:t>
      </w:r>
      <w:r w:rsidRPr="00820C89">
        <w:t>s own initiative if the person consents to the variation or the variation meets a no disadvantage to the foreign person test. Irrespective of whether an application is received or the variation is at the Treasurer</w:t>
      </w:r>
      <w:r w:rsidR="00BD4D19">
        <w:t>’</w:t>
      </w:r>
      <w:r w:rsidRPr="00820C89">
        <w:t>s initiative, the variation may only be made if the Treasurer is satisfied that it is not contrary to the national interest. Variation applications are considered on a case</w:t>
      </w:r>
      <w:r w:rsidR="00BD4D19">
        <w:noBreakHyphen/>
      </w:r>
      <w:r w:rsidRPr="00820C89">
        <w:t>by</w:t>
      </w:r>
      <w:r w:rsidR="00BD4D19">
        <w:noBreakHyphen/>
      </w:r>
      <w:r w:rsidRPr="00820C89">
        <w:t>case basis, and are usually limited to more technical changes and extensions of deadlines in conditions.</w:t>
      </w:r>
    </w:p>
    <w:p w14:paraId="77082840" w14:textId="52E3EA66" w:rsidR="00291872" w:rsidRPr="00820C89" w:rsidRDefault="00291872" w:rsidP="00291872">
      <w:pPr>
        <w:rPr>
          <w:b/>
          <w:color w:val="auto"/>
        </w:rPr>
      </w:pPr>
      <w:r w:rsidRPr="00820C89">
        <w:t>For example, a commercial real estate development condition has a deadline of five years for the commencement of construction from the date of approval. Where, due to circumstances beyond the developer</w:t>
      </w:r>
      <w:r w:rsidR="00BD4D19">
        <w:t>’</w:t>
      </w:r>
      <w:r w:rsidRPr="00820C89">
        <w:t>s control, the developer is unlikely to meet the deadline, the developer may apply for the deadline for the condition to be varied to provide further time.</w:t>
      </w:r>
    </w:p>
    <w:p w14:paraId="0EFD0A7A" w14:textId="77777777" w:rsidR="00291872" w:rsidRPr="00820C89" w:rsidRDefault="00291872" w:rsidP="00291872">
      <w:pPr>
        <w:rPr>
          <w:color w:val="auto"/>
        </w:rPr>
      </w:pPr>
      <w:r w:rsidRPr="00820C89">
        <w:t>A significant departure from the original application or approval will generally require a further application. This could include the addition of another foreign person to the application or increasing the equity interest in the proposed investment.</w:t>
      </w:r>
    </w:p>
    <w:p w14:paraId="1C879B1A" w14:textId="565362F8" w:rsidR="00291872" w:rsidRPr="00820C89" w:rsidRDefault="00291872" w:rsidP="00291872">
      <w:r w:rsidRPr="00820C89">
        <w:t>In 20</w:t>
      </w:r>
      <w:r w:rsidR="00B1770D">
        <w:t>19</w:t>
      </w:r>
      <w:r w:rsidR="00F26A86">
        <w:t>–</w:t>
      </w:r>
      <w:r w:rsidR="00B1770D">
        <w:t>20</w:t>
      </w:r>
      <w:r w:rsidRPr="00820C89">
        <w:t>, there were 3</w:t>
      </w:r>
      <w:r w:rsidR="0064177C">
        <w:t>41</w:t>
      </w:r>
      <w:r w:rsidR="00065FB2">
        <w:t> </w:t>
      </w:r>
      <w:r w:rsidRPr="00820C89">
        <w:t xml:space="preserve">variations considered, compared to </w:t>
      </w:r>
      <w:r w:rsidR="0064177C">
        <w:t>379</w:t>
      </w:r>
      <w:r w:rsidRPr="00820C89">
        <w:t xml:space="preserve"> in 201</w:t>
      </w:r>
      <w:r w:rsidR="0064177C">
        <w:t>8</w:t>
      </w:r>
      <w:r w:rsidR="00F26A86">
        <w:t>–</w:t>
      </w:r>
      <w:r w:rsidRPr="00820C89">
        <w:t>1</w:t>
      </w:r>
      <w:r w:rsidR="0064177C">
        <w:t>9</w:t>
      </w:r>
      <w:r w:rsidR="002035BE">
        <w:t xml:space="preserve"> (see Table</w:t>
      </w:r>
      <w:r w:rsidR="00065FB2">
        <w:t> </w:t>
      </w:r>
      <w:r w:rsidR="002035BE">
        <w:t>3.18)</w:t>
      </w:r>
      <w:r w:rsidRPr="00820C89">
        <w:t xml:space="preserve">. Of these, </w:t>
      </w:r>
      <w:r w:rsidR="0064177C">
        <w:t>272</w:t>
      </w:r>
      <w:r w:rsidRPr="00820C89">
        <w:t> were approved in 201</w:t>
      </w:r>
      <w:r w:rsidR="0064177C">
        <w:t>9</w:t>
      </w:r>
      <w:r w:rsidR="00F26A86">
        <w:t>–</w:t>
      </w:r>
      <w:r w:rsidR="0064177C">
        <w:t>20</w:t>
      </w:r>
      <w:r w:rsidRPr="00820C89">
        <w:t xml:space="preserve"> compared to </w:t>
      </w:r>
      <w:r w:rsidR="0064177C">
        <w:t>360</w:t>
      </w:r>
      <w:r w:rsidRPr="00820C89">
        <w:t xml:space="preserve"> in 201</w:t>
      </w:r>
      <w:r w:rsidR="0064177C">
        <w:t>8</w:t>
      </w:r>
      <w:r w:rsidR="00BD4D19">
        <w:noBreakHyphen/>
      </w:r>
      <w:r w:rsidRPr="00820C89">
        <w:t>1</w:t>
      </w:r>
      <w:r w:rsidR="0064177C">
        <w:t>9</w:t>
      </w:r>
      <w:r w:rsidRPr="00820C89">
        <w:t xml:space="preserve">. </w:t>
      </w:r>
      <w:r w:rsidR="00A7632A">
        <w:t>One</w:t>
      </w:r>
      <w:r w:rsidR="0095370F">
        <w:t> </w:t>
      </w:r>
      <w:r w:rsidR="00A7632A">
        <w:t>variation was declined in 2019</w:t>
      </w:r>
      <w:r w:rsidR="00730A7A">
        <w:t>–</w:t>
      </w:r>
      <w:r w:rsidR="00A7632A">
        <w:t>20, compared to zero variations declined in 2018</w:t>
      </w:r>
      <w:r w:rsidR="00BD4D19">
        <w:noBreakHyphen/>
      </w:r>
      <w:r w:rsidR="00A7632A">
        <w:t>19. In</w:t>
      </w:r>
      <w:r w:rsidR="0095370F">
        <w:t> </w:t>
      </w:r>
      <w:r w:rsidR="00A7632A">
        <w:t>2019</w:t>
      </w:r>
      <w:r w:rsidR="00BD4D19">
        <w:noBreakHyphen/>
      </w:r>
      <w:r w:rsidR="00A7632A">
        <w:t>20, there were 65 variations withdrawn, compared to 15 variations withdrawn in</w:t>
      </w:r>
      <w:r w:rsidR="002C70F9">
        <w:t> </w:t>
      </w:r>
      <w:r w:rsidR="00A7632A">
        <w:t>2018</w:t>
      </w:r>
      <w:r w:rsidR="00BD4D19">
        <w:noBreakHyphen/>
      </w:r>
      <w:r w:rsidR="00A7632A">
        <w:t>19.</w:t>
      </w:r>
    </w:p>
    <w:p w14:paraId="1955F171" w14:textId="77777777" w:rsidR="0064177C" w:rsidRDefault="0064177C" w:rsidP="00291872">
      <w:pPr>
        <w:rPr>
          <w:highlight w:val="yellow"/>
        </w:rPr>
      </w:pPr>
    </w:p>
    <w:p w14:paraId="61583712" w14:textId="77777777" w:rsidR="0064177C" w:rsidRDefault="0064177C" w:rsidP="00291872">
      <w:pPr>
        <w:rPr>
          <w:highlight w:val="yellow"/>
        </w:rPr>
        <w:sectPr w:rsidR="0064177C" w:rsidSect="000B6F64">
          <w:headerReference w:type="first" r:id="rId65"/>
          <w:footerReference w:type="first" r:id="rId66"/>
          <w:pgSz w:w="11906" w:h="16838" w:code="9"/>
          <w:pgMar w:top="2466" w:right="2098" w:bottom="2466" w:left="2098" w:header="1899" w:footer="1899" w:gutter="0"/>
          <w:cols w:space="708"/>
          <w:titlePg/>
          <w:docGrid w:linePitch="360"/>
        </w:sectPr>
      </w:pPr>
    </w:p>
    <w:p w14:paraId="10458E20" w14:textId="77777777" w:rsidR="0064177C" w:rsidRPr="00820C89" w:rsidRDefault="0064177C" w:rsidP="00820C89">
      <w:pPr>
        <w:pStyle w:val="TableMainHeading"/>
      </w:pPr>
      <w:bookmarkStart w:id="163" w:name="_Toc63798286"/>
      <w:bookmarkStart w:id="164" w:name="_Toc73984745"/>
      <w:r w:rsidRPr="0064177C">
        <w:t>Table 3.1</w:t>
      </w:r>
      <w:r w:rsidR="001B57FA">
        <w:t>8</w:t>
      </w:r>
      <w:r w:rsidRPr="0064177C">
        <w:t>: Variations considered: 201</w:t>
      </w:r>
      <w:r w:rsidR="00420DD4">
        <w:t>8</w:t>
      </w:r>
      <w:r w:rsidR="00F26A86">
        <w:t>–</w:t>
      </w:r>
      <w:r w:rsidRPr="0064177C">
        <w:t>1</w:t>
      </w:r>
      <w:r w:rsidR="00420DD4">
        <w:t>9</w:t>
      </w:r>
      <w:r w:rsidRPr="0064177C">
        <w:t xml:space="preserve"> to 201</w:t>
      </w:r>
      <w:r w:rsidR="00420DD4">
        <w:t>9</w:t>
      </w:r>
      <w:r w:rsidR="00F26A86">
        <w:t>–</w:t>
      </w:r>
      <w:r w:rsidR="00420DD4">
        <w:t>20</w:t>
      </w:r>
      <w:r w:rsidRPr="0064177C">
        <w:t xml:space="preserve"> (number of variations by variation type)</w:t>
      </w:r>
      <w:bookmarkEnd w:id="163"/>
      <w:bookmarkEnd w:id="164"/>
    </w:p>
    <w:tbl>
      <w:tblPr>
        <w:tblW w:w="5000" w:type="pct"/>
        <w:tblLook w:val="04A0" w:firstRow="1" w:lastRow="0" w:firstColumn="1" w:lastColumn="0" w:noHBand="0" w:noVBand="1"/>
      </w:tblPr>
      <w:tblGrid>
        <w:gridCol w:w="1541"/>
        <w:gridCol w:w="850"/>
        <w:gridCol w:w="850"/>
        <w:gridCol w:w="848"/>
        <w:gridCol w:w="848"/>
        <w:gridCol w:w="849"/>
        <w:gridCol w:w="849"/>
        <w:gridCol w:w="849"/>
        <w:gridCol w:w="851"/>
        <w:gridCol w:w="894"/>
        <w:gridCol w:w="894"/>
        <w:gridCol w:w="894"/>
        <w:gridCol w:w="889"/>
      </w:tblGrid>
      <w:tr w:rsidR="00D3721D" w:rsidRPr="00D3721D" w14:paraId="274C9E9F" w14:textId="77777777" w:rsidTr="009F768E">
        <w:trPr>
          <w:trHeight w:val="227"/>
        </w:trPr>
        <w:tc>
          <w:tcPr>
            <w:tcW w:w="531" w:type="pct"/>
            <w:tcBorders>
              <w:top w:val="single" w:sz="4" w:space="0" w:color="000000"/>
              <w:left w:val="nil"/>
              <w:bottom w:val="nil"/>
              <w:right w:val="nil"/>
            </w:tcBorders>
            <w:shd w:val="clear" w:color="000000" w:fill="FFFFFF"/>
            <w:noWrap/>
            <w:vAlign w:val="center"/>
            <w:hideMark/>
          </w:tcPr>
          <w:p w14:paraId="576A1A45" w14:textId="77777777" w:rsidR="00D3721D" w:rsidRPr="00D3721D" w:rsidRDefault="00D3721D" w:rsidP="00D3721D">
            <w:pPr>
              <w:spacing w:after="0" w:line="240" w:lineRule="auto"/>
              <w:jc w:val="left"/>
              <w:rPr>
                <w:rFonts w:ascii="Arial" w:hAnsi="Arial" w:cs="Arial"/>
                <w:color w:val="auto"/>
                <w:sz w:val="16"/>
                <w:szCs w:val="16"/>
              </w:rPr>
            </w:pPr>
            <w:r w:rsidRPr="00D3721D">
              <w:rPr>
                <w:rFonts w:ascii="Arial" w:hAnsi="Arial" w:cs="Arial"/>
                <w:color w:val="auto"/>
                <w:sz w:val="16"/>
                <w:szCs w:val="16"/>
              </w:rPr>
              <w:t> </w:t>
            </w:r>
          </w:p>
        </w:tc>
        <w:tc>
          <w:tcPr>
            <w:tcW w:w="1466" w:type="pct"/>
            <w:gridSpan w:val="4"/>
            <w:tcBorders>
              <w:top w:val="single" w:sz="4" w:space="0" w:color="000000"/>
              <w:left w:val="nil"/>
              <w:bottom w:val="single" w:sz="4" w:space="0" w:color="000000"/>
              <w:right w:val="nil"/>
            </w:tcBorders>
            <w:shd w:val="clear" w:color="auto" w:fill="auto"/>
            <w:vAlign w:val="bottom"/>
            <w:hideMark/>
          </w:tcPr>
          <w:p w14:paraId="1C7EAF32" w14:textId="77777777" w:rsidR="00D3721D" w:rsidRPr="00D3721D" w:rsidRDefault="00D3721D" w:rsidP="00D3721D">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Variation to exemption certificate (a) </w:t>
            </w:r>
          </w:p>
        </w:tc>
        <w:tc>
          <w:tcPr>
            <w:tcW w:w="1465" w:type="pct"/>
            <w:gridSpan w:val="4"/>
            <w:tcBorders>
              <w:top w:val="single" w:sz="4" w:space="0" w:color="000000"/>
              <w:left w:val="nil"/>
              <w:bottom w:val="single" w:sz="4" w:space="0" w:color="000000"/>
              <w:right w:val="nil"/>
            </w:tcBorders>
            <w:shd w:val="clear" w:color="auto" w:fill="auto"/>
            <w:vAlign w:val="bottom"/>
            <w:hideMark/>
          </w:tcPr>
          <w:p w14:paraId="4313DABE" w14:textId="77777777" w:rsidR="00D3721D" w:rsidRPr="00D3721D" w:rsidRDefault="00D3721D" w:rsidP="00D3721D">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Variation to Land approval (b) </w:t>
            </w:r>
          </w:p>
        </w:tc>
        <w:tc>
          <w:tcPr>
            <w:tcW w:w="769" w:type="pct"/>
            <w:gridSpan w:val="2"/>
            <w:tcBorders>
              <w:top w:val="single" w:sz="4" w:space="0" w:color="000000"/>
              <w:left w:val="nil"/>
              <w:bottom w:val="single" w:sz="4" w:space="0" w:color="000000"/>
              <w:right w:val="nil"/>
            </w:tcBorders>
            <w:shd w:val="clear" w:color="auto" w:fill="auto"/>
            <w:vAlign w:val="center"/>
            <w:hideMark/>
          </w:tcPr>
          <w:p w14:paraId="6BBB9319" w14:textId="77777777" w:rsidR="00D3721D" w:rsidRPr="00D3721D" w:rsidRDefault="009F768E" w:rsidP="009F768E">
            <w:pPr>
              <w:spacing w:after="0" w:line="240" w:lineRule="auto"/>
              <w:jc w:val="center"/>
              <w:rPr>
                <w:rFonts w:ascii="Arial" w:hAnsi="Arial" w:cs="Arial"/>
                <w:color w:val="auto"/>
                <w:sz w:val="16"/>
                <w:szCs w:val="16"/>
              </w:rPr>
            </w:pPr>
            <w:r>
              <w:rPr>
                <w:rFonts w:ascii="Arial" w:hAnsi="Arial" w:cs="Arial"/>
                <w:color w:val="auto"/>
                <w:sz w:val="16"/>
                <w:szCs w:val="16"/>
              </w:rPr>
              <w:t xml:space="preserve"> Variation to Other approval</w:t>
            </w:r>
            <w:r w:rsidR="00D3721D" w:rsidRPr="00D3721D">
              <w:rPr>
                <w:rFonts w:ascii="Arial" w:hAnsi="Arial" w:cs="Arial"/>
                <w:color w:val="auto"/>
                <w:sz w:val="16"/>
                <w:szCs w:val="16"/>
              </w:rPr>
              <w:t xml:space="preserve"> </w:t>
            </w:r>
          </w:p>
        </w:tc>
        <w:tc>
          <w:tcPr>
            <w:tcW w:w="769" w:type="pct"/>
            <w:gridSpan w:val="2"/>
            <w:tcBorders>
              <w:top w:val="single" w:sz="4" w:space="0" w:color="000000"/>
              <w:left w:val="nil"/>
              <w:bottom w:val="single" w:sz="4" w:space="0" w:color="000000"/>
              <w:right w:val="nil"/>
            </w:tcBorders>
            <w:shd w:val="clear" w:color="auto" w:fill="auto"/>
            <w:vAlign w:val="bottom"/>
            <w:hideMark/>
          </w:tcPr>
          <w:p w14:paraId="16070B63" w14:textId="77777777" w:rsidR="00D3721D" w:rsidRPr="00D3721D" w:rsidRDefault="00D3721D" w:rsidP="00D3721D">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Total All variations </w:t>
            </w:r>
          </w:p>
        </w:tc>
      </w:tr>
      <w:tr w:rsidR="00D3721D" w:rsidRPr="00D3721D" w14:paraId="74AE1ACC" w14:textId="77777777" w:rsidTr="009F768E">
        <w:trPr>
          <w:trHeight w:val="227"/>
        </w:trPr>
        <w:tc>
          <w:tcPr>
            <w:tcW w:w="531" w:type="pct"/>
            <w:tcBorders>
              <w:top w:val="nil"/>
              <w:left w:val="nil"/>
              <w:bottom w:val="nil"/>
              <w:right w:val="nil"/>
            </w:tcBorders>
            <w:shd w:val="clear" w:color="000000" w:fill="FFFFFF"/>
            <w:noWrap/>
            <w:vAlign w:val="center"/>
            <w:hideMark/>
          </w:tcPr>
          <w:p w14:paraId="416E0271" w14:textId="77777777" w:rsidR="00D3721D" w:rsidRPr="00D3721D" w:rsidRDefault="00D3721D" w:rsidP="00D3721D">
            <w:pPr>
              <w:spacing w:after="0" w:line="240" w:lineRule="auto"/>
              <w:jc w:val="left"/>
              <w:rPr>
                <w:rFonts w:ascii="Arial" w:hAnsi="Arial" w:cs="Arial"/>
                <w:color w:val="auto"/>
                <w:sz w:val="16"/>
                <w:szCs w:val="16"/>
              </w:rPr>
            </w:pPr>
            <w:r w:rsidRPr="00D3721D">
              <w:rPr>
                <w:rFonts w:ascii="Arial" w:hAnsi="Arial" w:cs="Arial"/>
                <w:color w:val="auto"/>
                <w:sz w:val="16"/>
                <w:szCs w:val="16"/>
              </w:rPr>
              <w:t> </w:t>
            </w:r>
          </w:p>
        </w:tc>
        <w:tc>
          <w:tcPr>
            <w:tcW w:w="733" w:type="pct"/>
            <w:gridSpan w:val="2"/>
            <w:tcBorders>
              <w:top w:val="single" w:sz="4" w:space="0" w:color="000000"/>
              <w:left w:val="nil"/>
              <w:bottom w:val="single" w:sz="4" w:space="0" w:color="000000"/>
              <w:right w:val="nil"/>
            </w:tcBorders>
            <w:shd w:val="clear" w:color="auto" w:fill="auto"/>
            <w:vAlign w:val="bottom"/>
            <w:hideMark/>
          </w:tcPr>
          <w:p w14:paraId="34608A3C" w14:textId="77777777" w:rsidR="00D3721D" w:rsidRPr="00D3721D" w:rsidRDefault="00D3721D" w:rsidP="009F768E">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Acquisition program certificate </w:t>
            </w:r>
          </w:p>
        </w:tc>
        <w:tc>
          <w:tcPr>
            <w:tcW w:w="732" w:type="pct"/>
            <w:gridSpan w:val="2"/>
            <w:tcBorders>
              <w:top w:val="single" w:sz="4" w:space="0" w:color="000000"/>
              <w:left w:val="nil"/>
              <w:bottom w:val="single" w:sz="4" w:space="0" w:color="000000"/>
              <w:right w:val="nil"/>
            </w:tcBorders>
            <w:shd w:val="clear" w:color="auto" w:fill="auto"/>
            <w:vAlign w:val="bottom"/>
            <w:hideMark/>
          </w:tcPr>
          <w:p w14:paraId="76A3E9D3" w14:textId="77777777" w:rsidR="00D3721D" w:rsidRPr="00D3721D" w:rsidRDefault="00D3721D" w:rsidP="009F768E">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New dwelling certificate </w:t>
            </w:r>
          </w:p>
        </w:tc>
        <w:tc>
          <w:tcPr>
            <w:tcW w:w="732" w:type="pct"/>
            <w:gridSpan w:val="2"/>
            <w:tcBorders>
              <w:top w:val="single" w:sz="4" w:space="0" w:color="000000"/>
              <w:left w:val="nil"/>
              <w:bottom w:val="single" w:sz="4" w:space="0" w:color="000000"/>
              <w:right w:val="nil"/>
            </w:tcBorders>
            <w:shd w:val="clear" w:color="auto" w:fill="auto"/>
            <w:vAlign w:val="bottom"/>
            <w:hideMark/>
          </w:tcPr>
          <w:p w14:paraId="094E2F2E" w14:textId="77777777" w:rsidR="00D3721D" w:rsidRPr="00D3721D" w:rsidRDefault="00D3721D" w:rsidP="009F768E">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Residential </w:t>
            </w:r>
          </w:p>
        </w:tc>
        <w:tc>
          <w:tcPr>
            <w:tcW w:w="732" w:type="pct"/>
            <w:gridSpan w:val="2"/>
            <w:tcBorders>
              <w:top w:val="single" w:sz="4" w:space="0" w:color="000000"/>
              <w:left w:val="nil"/>
              <w:bottom w:val="single" w:sz="4" w:space="0" w:color="000000"/>
              <w:right w:val="nil"/>
            </w:tcBorders>
            <w:shd w:val="clear" w:color="auto" w:fill="auto"/>
            <w:vAlign w:val="bottom"/>
            <w:hideMark/>
          </w:tcPr>
          <w:p w14:paraId="17749E01" w14:textId="77777777" w:rsidR="00D3721D" w:rsidRPr="00D3721D" w:rsidRDefault="00D3721D" w:rsidP="009F768E">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Other </w:t>
            </w:r>
          </w:p>
        </w:tc>
        <w:tc>
          <w:tcPr>
            <w:tcW w:w="385" w:type="pct"/>
            <w:tcBorders>
              <w:top w:val="nil"/>
              <w:left w:val="nil"/>
              <w:bottom w:val="nil"/>
              <w:right w:val="nil"/>
            </w:tcBorders>
            <w:shd w:val="clear" w:color="auto" w:fill="auto"/>
            <w:vAlign w:val="bottom"/>
            <w:hideMark/>
          </w:tcPr>
          <w:p w14:paraId="6FDE38DE" w14:textId="77777777" w:rsidR="00D3721D" w:rsidRPr="00D3721D" w:rsidRDefault="00D3721D" w:rsidP="00D3721D">
            <w:pPr>
              <w:spacing w:after="0" w:line="240" w:lineRule="auto"/>
              <w:jc w:val="center"/>
              <w:rPr>
                <w:rFonts w:ascii="Arial" w:hAnsi="Arial" w:cs="Arial"/>
                <w:color w:val="auto"/>
                <w:sz w:val="16"/>
                <w:szCs w:val="16"/>
              </w:rPr>
            </w:pPr>
            <w:r w:rsidRPr="00D3721D">
              <w:rPr>
                <w:rFonts w:ascii="Arial" w:hAnsi="Arial" w:cs="Arial"/>
                <w:color w:val="auto"/>
                <w:sz w:val="16"/>
                <w:szCs w:val="16"/>
              </w:rPr>
              <w:t> </w:t>
            </w:r>
          </w:p>
        </w:tc>
        <w:tc>
          <w:tcPr>
            <w:tcW w:w="385" w:type="pct"/>
            <w:tcBorders>
              <w:top w:val="nil"/>
              <w:left w:val="nil"/>
              <w:bottom w:val="nil"/>
              <w:right w:val="nil"/>
            </w:tcBorders>
            <w:shd w:val="clear" w:color="auto" w:fill="auto"/>
            <w:vAlign w:val="bottom"/>
            <w:hideMark/>
          </w:tcPr>
          <w:p w14:paraId="3B3898CE" w14:textId="77777777" w:rsidR="00D3721D" w:rsidRPr="00D3721D" w:rsidRDefault="00D3721D" w:rsidP="00D3721D">
            <w:pPr>
              <w:spacing w:after="0" w:line="240" w:lineRule="auto"/>
              <w:jc w:val="center"/>
              <w:rPr>
                <w:rFonts w:ascii="Calibri" w:hAnsi="Calibri" w:cs="Calibri"/>
                <w:color w:val="auto"/>
                <w:sz w:val="22"/>
                <w:szCs w:val="22"/>
              </w:rPr>
            </w:pPr>
            <w:r w:rsidRPr="00D3721D">
              <w:rPr>
                <w:rFonts w:ascii="Calibri" w:hAnsi="Calibri" w:cs="Calibri"/>
                <w:color w:val="auto"/>
                <w:sz w:val="22"/>
                <w:szCs w:val="22"/>
              </w:rPr>
              <w:t> </w:t>
            </w:r>
          </w:p>
        </w:tc>
        <w:tc>
          <w:tcPr>
            <w:tcW w:w="385" w:type="pct"/>
            <w:tcBorders>
              <w:top w:val="nil"/>
              <w:left w:val="nil"/>
              <w:bottom w:val="nil"/>
              <w:right w:val="nil"/>
            </w:tcBorders>
            <w:shd w:val="clear" w:color="auto" w:fill="auto"/>
            <w:vAlign w:val="bottom"/>
            <w:hideMark/>
          </w:tcPr>
          <w:p w14:paraId="054AEFEE" w14:textId="77777777" w:rsidR="00D3721D" w:rsidRPr="00D3721D" w:rsidRDefault="00D3721D" w:rsidP="00D3721D">
            <w:pPr>
              <w:spacing w:after="0" w:line="240" w:lineRule="auto"/>
              <w:jc w:val="center"/>
              <w:rPr>
                <w:rFonts w:ascii="Arial" w:hAnsi="Arial" w:cs="Arial"/>
                <w:color w:val="auto"/>
                <w:sz w:val="16"/>
                <w:szCs w:val="16"/>
              </w:rPr>
            </w:pPr>
            <w:r w:rsidRPr="00D3721D">
              <w:rPr>
                <w:rFonts w:ascii="Arial" w:hAnsi="Arial" w:cs="Arial"/>
                <w:color w:val="auto"/>
                <w:sz w:val="16"/>
                <w:szCs w:val="16"/>
              </w:rPr>
              <w:t> </w:t>
            </w:r>
          </w:p>
        </w:tc>
        <w:tc>
          <w:tcPr>
            <w:tcW w:w="385" w:type="pct"/>
            <w:tcBorders>
              <w:top w:val="nil"/>
              <w:left w:val="nil"/>
              <w:bottom w:val="nil"/>
              <w:right w:val="nil"/>
            </w:tcBorders>
            <w:shd w:val="clear" w:color="auto" w:fill="auto"/>
            <w:vAlign w:val="bottom"/>
            <w:hideMark/>
          </w:tcPr>
          <w:p w14:paraId="26E32FD1" w14:textId="77777777" w:rsidR="00D3721D" w:rsidRPr="00D3721D" w:rsidRDefault="00D3721D" w:rsidP="00D3721D">
            <w:pPr>
              <w:spacing w:after="0" w:line="240" w:lineRule="auto"/>
              <w:jc w:val="center"/>
              <w:rPr>
                <w:rFonts w:ascii="Calibri" w:hAnsi="Calibri" w:cs="Calibri"/>
                <w:color w:val="auto"/>
                <w:sz w:val="22"/>
                <w:szCs w:val="22"/>
              </w:rPr>
            </w:pPr>
            <w:r w:rsidRPr="00D3721D">
              <w:rPr>
                <w:rFonts w:ascii="Calibri" w:hAnsi="Calibri" w:cs="Calibri"/>
                <w:color w:val="auto"/>
                <w:sz w:val="22"/>
                <w:szCs w:val="22"/>
              </w:rPr>
              <w:t> </w:t>
            </w:r>
          </w:p>
        </w:tc>
      </w:tr>
      <w:tr w:rsidR="00D3721D" w:rsidRPr="00D3721D" w14:paraId="0DC58C64" w14:textId="77777777" w:rsidTr="00FD5861">
        <w:trPr>
          <w:trHeight w:val="227"/>
        </w:trPr>
        <w:tc>
          <w:tcPr>
            <w:tcW w:w="531" w:type="pct"/>
            <w:tcBorders>
              <w:top w:val="nil"/>
              <w:left w:val="nil"/>
              <w:bottom w:val="nil"/>
              <w:right w:val="nil"/>
            </w:tcBorders>
            <w:shd w:val="clear" w:color="000000" w:fill="FFFFFF"/>
            <w:noWrap/>
            <w:vAlign w:val="center"/>
            <w:hideMark/>
          </w:tcPr>
          <w:p w14:paraId="5646F4F3" w14:textId="77777777" w:rsidR="00D3721D" w:rsidRPr="00D3721D" w:rsidRDefault="00D3721D" w:rsidP="00D3721D">
            <w:pPr>
              <w:spacing w:after="0" w:line="240" w:lineRule="auto"/>
              <w:jc w:val="left"/>
              <w:rPr>
                <w:rFonts w:ascii="Arial" w:hAnsi="Arial" w:cs="Arial"/>
                <w:color w:val="auto"/>
                <w:sz w:val="16"/>
                <w:szCs w:val="16"/>
              </w:rPr>
            </w:pPr>
            <w:r w:rsidRPr="00D3721D">
              <w:rPr>
                <w:rFonts w:ascii="Arial" w:hAnsi="Arial" w:cs="Arial"/>
                <w:color w:val="auto"/>
                <w:sz w:val="16"/>
                <w:szCs w:val="16"/>
              </w:rPr>
              <w:t> </w:t>
            </w:r>
          </w:p>
        </w:tc>
        <w:tc>
          <w:tcPr>
            <w:tcW w:w="367" w:type="pct"/>
            <w:tcBorders>
              <w:top w:val="nil"/>
              <w:left w:val="nil"/>
              <w:bottom w:val="nil"/>
              <w:right w:val="nil"/>
            </w:tcBorders>
            <w:shd w:val="clear" w:color="auto" w:fill="auto"/>
            <w:noWrap/>
            <w:vAlign w:val="center"/>
            <w:hideMark/>
          </w:tcPr>
          <w:p w14:paraId="7B2FFD65" w14:textId="77777777" w:rsidR="00D3721D" w:rsidRPr="00D3721D" w:rsidRDefault="00D3721D" w:rsidP="0040739B">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sidR="00F26A86">
              <w:rPr>
                <w:rFonts w:ascii="Arial" w:hAnsi="Arial" w:cs="Arial"/>
                <w:color w:val="auto"/>
                <w:sz w:val="16"/>
                <w:szCs w:val="16"/>
              </w:rPr>
              <w:t>–</w:t>
            </w:r>
            <w:r w:rsidR="003051B7">
              <w:rPr>
                <w:rFonts w:ascii="Arial" w:hAnsi="Arial" w:cs="Arial"/>
                <w:color w:val="auto"/>
                <w:sz w:val="16"/>
                <w:szCs w:val="16"/>
              </w:rPr>
              <w:t>19</w:t>
            </w:r>
          </w:p>
        </w:tc>
        <w:tc>
          <w:tcPr>
            <w:tcW w:w="367" w:type="pct"/>
            <w:tcBorders>
              <w:top w:val="nil"/>
              <w:left w:val="nil"/>
              <w:bottom w:val="nil"/>
              <w:right w:val="nil"/>
            </w:tcBorders>
            <w:shd w:val="clear" w:color="auto" w:fill="F2F2F2"/>
            <w:noWrap/>
            <w:vAlign w:val="center"/>
            <w:hideMark/>
          </w:tcPr>
          <w:p w14:paraId="7B18F3D7"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sidR="00F26A86">
              <w:rPr>
                <w:rFonts w:ascii="Arial" w:hAnsi="Arial" w:cs="Arial"/>
                <w:color w:val="auto"/>
                <w:sz w:val="16"/>
                <w:szCs w:val="16"/>
              </w:rPr>
              <w:t>–</w:t>
            </w:r>
            <w:r w:rsidRPr="00D3721D">
              <w:rPr>
                <w:rFonts w:ascii="Arial" w:hAnsi="Arial" w:cs="Arial"/>
                <w:color w:val="auto"/>
                <w:sz w:val="16"/>
                <w:szCs w:val="16"/>
              </w:rPr>
              <w:t>20</w:t>
            </w:r>
          </w:p>
        </w:tc>
        <w:tc>
          <w:tcPr>
            <w:tcW w:w="366" w:type="pct"/>
            <w:tcBorders>
              <w:top w:val="nil"/>
              <w:left w:val="nil"/>
              <w:bottom w:val="nil"/>
              <w:right w:val="nil"/>
            </w:tcBorders>
            <w:shd w:val="clear" w:color="auto" w:fill="auto"/>
            <w:noWrap/>
            <w:vAlign w:val="center"/>
            <w:hideMark/>
          </w:tcPr>
          <w:p w14:paraId="074F6B88"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sidR="00F26A86">
              <w:rPr>
                <w:rFonts w:ascii="Arial" w:hAnsi="Arial" w:cs="Arial"/>
                <w:color w:val="auto"/>
                <w:sz w:val="16"/>
                <w:szCs w:val="16"/>
              </w:rPr>
              <w:t>–</w:t>
            </w:r>
            <w:r w:rsidRPr="00D3721D">
              <w:rPr>
                <w:rFonts w:ascii="Arial" w:hAnsi="Arial" w:cs="Arial"/>
                <w:color w:val="auto"/>
                <w:sz w:val="16"/>
                <w:szCs w:val="16"/>
              </w:rPr>
              <w:t>19</w:t>
            </w:r>
          </w:p>
        </w:tc>
        <w:tc>
          <w:tcPr>
            <w:tcW w:w="366" w:type="pct"/>
            <w:tcBorders>
              <w:top w:val="nil"/>
              <w:left w:val="nil"/>
              <w:bottom w:val="nil"/>
              <w:right w:val="nil"/>
            </w:tcBorders>
            <w:shd w:val="clear" w:color="auto" w:fill="F2F2F2"/>
            <w:noWrap/>
            <w:vAlign w:val="center"/>
            <w:hideMark/>
          </w:tcPr>
          <w:p w14:paraId="0CDCED97"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sidR="00F26A86">
              <w:rPr>
                <w:rFonts w:ascii="Arial" w:hAnsi="Arial" w:cs="Arial"/>
                <w:color w:val="auto"/>
                <w:sz w:val="16"/>
                <w:szCs w:val="16"/>
              </w:rPr>
              <w:t>–</w:t>
            </w:r>
            <w:r w:rsidRPr="00D3721D">
              <w:rPr>
                <w:rFonts w:ascii="Arial" w:hAnsi="Arial" w:cs="Arial"/>
                <w:color w:val="auto"/>
                <w:sz w:val="16"/>
                <w:szCs w:val="16"/>
              </w:rPr>
              <w:t>20</w:t>
            </w:r>
          </w:p>
        </w:tc>
        <w:tc>
          <w:tcPr>
            <w:tcW w:w="366" w:type="pct"/>
            <w:tcBorders>
              <w:top w:val="nil"/>
              <w:left w:val="nil"/>
              <w:bottom w:val="nil"/>
              <w:right w:val="nil"/>
            </w:tcBorders>
            <w:shd w:val="clear" w:color="auto" w:fill="auto"/>
            <w:noWrap/>
            <w:vAlign w:val="center"/>
            <w:hideMark/>
          </w:tcPr>
          <w:p w14:paraId="129381A4"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sidR="00F26A86">
              <w:rPr>
                <w:rFonts w:ascii="Arial" w:hAnsi="Arial" w:cs="Arial"/>
                <w:color w:val="auto"/>
                <w:sz w:val="16"/>
                <w:szCs w:val="16"/>
              </w:rPr>
              <w:t>–</w:t>
            </w:r>
            <w:r w:rsidRPr="00D3721D">
              <w:rPr>
                <w:rFonts w:ascii="Arial" w:hAnsi="Arial" w:cs="Arial"/>
                <w:color w:val="auto"/>
                <w:sz w:val="16"/>
                <w:szCs w:val="16"/>
              </w:rPr>
              <w:t>19</w:t>
            </w:r>
          </w:p>
        </w:tc>
        <w:tc>
          <w:tcPr>
            <w:tcW w:w="366" w:type="pct"/>
            <w:tcBorders>
              <w:top w:val="nil"/>
              <w:left w:val="nil"/>
              <w:bottom w:val="nil"/>
              <w:right w:val="nil"/>
            </w:tcBorders>
            <w:shd w:val="clear" w:color="auto" w:fill="F2F2F2"/>
            <w:noWrap/>
            <w:vAlign w:val="center"/>
            <w:hideMark/>
          </w:tcPr>
          <w:p w14:paraId="3FE12481"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sidR="00F26A86">
              <w:rPr>
                <w:rFonts w:ascii="Arial" w:hAnsi="Arial" w:cs="Arial"/>
                <w:color w:val="auto"/>
                <w:sz w:val="16"/>
                <w:szCs w:val="16"/>
              </w:rPr>
              <w:t>–</w:t>
            </w:r>
            <w:r w:rsidRPr="00D3721D">
              <w:rPr>
                <w:rFonts w:ascii="Arial" w:hAnsi="Arial" w:cs="Arial"/>
                <w:color w:val="auto"/>
                <w:sz w:val="16"/>
                <w:szCs w:val="16"/>
              </w:rPr>
              <w:t>20</w:t>
            </w:r>
          </w:p>
        </w:tc>
        <w:tc>
          <w:tcPr>
            <w:tcW w:w="366" w:type="pct"/>
            <w:tcBorders>
              <w:top w:val="nil"/>
              <w:left w:val="nil"/>
              <w:bottom w:val="nil"/>
              <w:right w:val="nil"/>
            </w:tcBorders>
            <w:shd w:val="clear" w:color="auto" w:fill="auto"/>
            <w:noWrap/>
            <w:vAlign w:val="center"/>
            <w:hideMark/>
          </w:tcPr>
          <w:p w14:paraId="3B423DFC"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sidR="00F26A86">
              <w:rPr>
                <w:rFonts w:ascii="Arial" w:hAnsi="Arial" w:cs="Arial"/>
                <w:color w:val="auto"/>
                <w:sz w:val="16"/>
                <w:szCs w:val="16"/>
              </w:rPr>
              <w:t>–</w:t>
            </w:r>
            <w:r w:rsidRPr="00D3721D">
              <w:rPr>
                <w:rFonts w:ascii="Arial" w:hAnsi="Arial" w:cs="Arial"/>
                <w:color w:val="auto"/>
                <w:sz w:val="16"/>
                <w:szCs w:val="16"/>
              </w:rPr>
              <w:t>19</w:t>
            </w:r>
          </w:p>
        </w:tc>
        <w:tc>
          <w:tcPr>
            <w:tcW w:w="366" w:type="pct"/>
            <w:tcBorders>
              <w:top w:val="nil"/>
              <w:left w:val="nil"/>
              <w:bottom w:val="nil"/>
              <w:right w:val="nil"/>
            </w:tcBorders>
            <w:shd w:val="clear" w:color="auto" w:fill="F2F2F2"/>
            <w:noWrap/>
            <w:vAlign w:val="center"/>
            <w:hideMark/>
          </w:tcPr>
          <w:p w14:paraId="7750AD35"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sidR="00F26A86">
              <w:rPr>
                <w:rFonts w:ascii="Arial" w:hAnsi="Arial" w:cs="Arial"/>
                <w:color w:val="auto"/>
                <w:sz w:val="16"/>
                <w:szCs w:val="16"/>
              </w:rPr>
              <w:t>–</w:t>
            </w:r>
            <w:r w:rsidRPr="00D3721D">
              <w:rPr>
                <w:rFonts w:ascii="Arial" w:hAnsi="Arial" w:cs="Arial"/>
                <w:color w:val="auto"/>
                <w:sz w:val="16"/>
                <w:szCs w:val="16"/>
              </w:rPr>
              <w:t>20</w:t>
            </w:r>
          </w:p>
        </w:tc>
        <w:tc>
          <w:tcPr>
            <w:tcW w:w="385" w:type="pct"/>
            <w:tcBorders>
              <w:top w:val="single" w:sz="4" w:space="0" w:color="000000"/>
              <w:left w:val="nil"/>
              <w:bottom w:val="nil"/>
              <w:right w:val="nil"/>
            </w:tcBorders>
            <w:shd w:val="clear" w:color="auto" w:fill="auto"/>
            <w:noWrap/>
            <w:vAlign w:val="center"/>
            <w:hideMark/>
          </w:tcPr>
          <w:p w14:paraId="6D11C116"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sidR="00F26A86">
              <w:rPr>
                <w:rFonts w:ascii="Arial" w:hAnsi="Arial" w:cs="Arial"/>
                <w:color w:val="auto"/>
                <w:sz w:val="16"/>
                <w:szCs w:val="16"/>
              </w:rPr>
              <w:t>–</w:t>
            </w:r>
            <w:r w:rsidRPr="00D3721D">
              <w:rPr>
                <w:rFonts w:ascii="Arial" w:hAnsi="Arial" w:cs="Arial"/>
                <w:color w:val="auto"/>
                <w:sz w:val="16"/>
                <w:szCs w:val="16"/>
              </w:rPr>
              <w:t>19</w:t>
            </w:r>
          </w:p>
        </w:tc>
        <w:tc>
          <w:tcPr>
            <w:tcW w:w="385" w:type="pct"/>
            <w:tcBorders>
              <w:top w:val="single" w:sz="4" w:space="0" w:color="000000"/>
              <w:left w:val="nil"/>
              <w:bottom w:val="nil"/>
              <w:right w:val="nil"/>
            </w:tcBorders>
            <w:shd w:val="clear" w:color="auto" w:fill="F2F2F2"/>
            <w:noWrap/>
            <w:vAlign w:val="center"/>
            <w:hideMark/>
          </w:tcPr>
          <w:p w14:paraId="5D296C7D"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sidR="00F26A86">
              <w:rPr>
                <w:rFonts w:ascii="Arial" w:hAnsi="Arial" w:cs="Arial"/>
                <w:color w:val="auto"/>
                <w:sz w:val="16"/>
                <w:szCs w:val="16"/>
              </w:rPr>
              <w:t>–</w:t>
            </w:r>
            <w:r w:rsidRPr="00D3721D">
              <w:rPr>
                <w:rFonts w:ascii="Arial" w:hAnsi="Arial" w:cs="Arial"/>
                <w:color w:val="auto"/>
                <w:sz w:val="16"/>
                <w:szCs w:val="16"/>
              </w:rPr>
              <w:t>20</w:t>
            </w:r>
          </w:p>
        </w:tc>
        <w:tc>
          <w:tcPr>
            <w:tcW w:w="385" w:type="pct"/>
            <w:tcBorders>
              <w:top w:val="single" w:sz="4" w:space="0" w:color="000000"/>
              <w:left w:val="nil"/>
              <w:bottom w:val="nil"/>
              <w:right w:val="nil"/>
            </w:tcBorders>
            <w:shd w:val="clear" w:color="auto" w:fill="auto"/>
            <w:noWrap/>
            <w:vAlign w:val="center"/>
            <w:hideMark/>
          </w:tcPr>
          <w:p w14:paraId="1933EF39"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sidR="00F26A86">
              <w:rPr>
                <w:rFonts w:ascii="Arial" w:hAnsi="Arial" w:cs="Arial"/>
                <w:color w:val="auto"/>
                <w:sz w:val="16"/>
                <w:szCs w:val="16"/>
              </w:rPr>
              <w:t>–</w:t>
            </w:r>
            <w:r w:rsidRPr="00D3721D">
              <w:rPr>
                <w:rFonts w:ascii="Arial" w:hAnsi="Arial" w:cs="Arial"/>
                <w:color w:val="auto"/>
                <w:sz w:val="16"/>
                <w:szCs w:val="16"/>
              </w:rPr>
              <w:t>19</w:t>
            </w:r>
          </w:p>
        </w:tc>
        <w:tc>
          <w:tcPr>
            <w:tcW w:w="385" w:type="pct"/>
            <w:tcBorders>
              <w:top w:val="single" w:sz="4" w:space="0" w:color="000000"/>
              <w:left w:val="nil"/>
              <w:bottom w:val="nil"/>
              <w:right w:val="nil"/>
            </w:tcBorders>
            <w:shd w:val="clear" w:color="auto" w:fill="F2F2F2"/>
            <w:noWrap/>
            <w:vAlign w:val="center"/>
            <w:hideMark/>
          </w:tcPr>
          <w:p w14:paraId="786D2230" w14:textId="77777777" w:rsidR="00D3721D" w:rsidRPr="00D3721D" w:rsidRDefault="00D3721D" w:rsidP="009A5079">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sidR="00F26A86">
              <w:rPr>
                <w:rFonts w:ascii="Arial" w:hAnsi="Arial" w:cs="Arial"/>
                <w:color w:val="auto"/>
                <w:sz w:val="16"/>
                <w:szCs w:val="16"/>
              </w:rPr>
              <w:t>–</w:t>
            </w:r>
            <w:r w:rsidRPr="00D3721D">
              <w:rPr>
                <w:rFonts w:ascii="Arial" w:hAnsi="Arial" w:cs="Arial"/>
                <w:color w:val="auto"/>
                <w:sz w:val="16"/>
                <w:szCs w:val="16"/>
              </w:rPr>
              <w:t>20</w:t>
            </w:r>
          </w:p>
        </w:tc>
      </w:tr>
      <w:tr w:rsidR="00D3721D" w:rsidRPr="00D3721D" w14:paraId="5FEDEB47" w14:textId="77777777" w:rsidTr="00FD5861">
        <w:trPr>
          <w:trHeight w:val="227"/>
        </w:trPr>
        <w:tc>
          <w:tcPr>
            <w:tcW w:w="531" w:type="pct"/>
            <w:tcBorders>
              <w:top w:val="nil"/>
              <w:left w:val="nil"/>
              <w:bottom w:val="single" w:sz="4" w:space="0" w:color="000000"/>
              <w:right w:val="nil"/>
            </w:tcBorders>
            <w:shd w:val="clear" w:color="000000" w:fill="FFFFFF"/>
            <w:noWrap/>
            <w:vAlign w:val="bottom"/>
            <w:hideMark/>
          </w:tcPr>
          <w:p w14:paraId="6EA7A307" w14:textId="77777777" w:rsidR="00D3721D" w:rsidRPr="00D3721D" w:rsidRDefault="00D3721D" w:rsidP="00D3721D">
            <w:pPr>
              <w:spacing w:after="0" w:line="240" w:lineRule="auto"/>
              <w:jc w:val="left"/>
              <w:rPr>
                <w:rFonts w:ascii="Arial" w:hAnsi="Arial" w:cs="Arial"/>
                <w:color w:val="auto"/>
                <w:sz w:val="16"/>
                <w:szCs w:val="16"/>
              </w:rPr>
            </w:pPr>
            <w:r w:rsidRPr="00D3721D">
              <w:rPr>
                <w:rFonts w:ascii="Arial" w:hAnsi="Arial" w:cs="Arial"/>
                <w:color w:val="auto"/>
                <w:sz w:val="16"/>
                <w:szCs w:val="16"/>
              </w:rPr>
              <w:t xml:space="preserve"> Outcome </w:t>
            </w:r>
          </w:p>
        </w:tc>
        <w:tc>
          <w:tcPr>
            <w:tcW w:w="367" w:type="pct"/>
            <w:tcBorders>
              <w:top w:val="nil"/>
              <w:left w:val="nil"/>
              <w:bottom w:val="single" w:sz="4" w:space="0" w:color="000000"/>
              <w:right w:val="nil"/>
            </w:tcBorders>
            <w:shd w:val="clear" w:color="auto" w:fill="auto"/>
            <w:noWrap/>
            <w:vAlign w:val="bottom"/>
            <w:hideMark/>
          </w:tcPr>
          <w:p w14:paraId="3026476B"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67" w:type="pct"/>
            <w:tcBorders>
              <w:top w:val="nil"/>
              <w:left w:val="nil"/>
              <w:bottom w:val="single" w:sz="4" w:space="0" w:color="000000"/>
              <w:right w:val="nil"/>
            </w:tcBorders>
            <w:shd w:val="clear" w:color="auto" w:fill="F2F2F2"/>
            <w:noWrap/>
            <w:vAlign w:val="bottom"/>
            <w:hideMark/>
          </w:tcPr>
          <w:p w14:paraId="478EA1B9"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66" w:type="pct"/>
            <w:tcBorders>
              <w:top w:val="nil"/>
              <w:left w:val="nil"/>
              <w:bottom w:val="single" w:sz="4" w:space="0" w:color="000000"/>
              <w:right w:val="nil"/>
            </w:tcBorders>
            <w:shd w:val="clear" w:color="auto" w:fill="auto"/>
            <w:noWrap/>
            <w:vAlign w:val="bottom"/>
            <w:hideMark/>
          </w:tcPr>
          <w:p w14:paraId="45DF057B"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66" w:type="pct"/>
            <w:tcBorders>
              <w:top w:val="nil"/>
              <w:left w:val="nil"/>
              <w:bottom w:val="single" w:sz="4" w:space="0" w:color="000000"/>
              <w:right w:val="nil"/>
            </w:tcBorders>
            <w:shd w:val="clear" w:color="auto" w:fill="F2F2F2"/>
            <w:noWrap/>
            <w:vAlign w:val="bottom"/>
            <w:hideMark/>
          </w:tcPr>
          <w:p w14:paraId="17E22045"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66" w:type="pct"/>
            <w:tcBorders>
              <w:top w:val="nil"/>
              <w:left w:val="nil"/>
              <w:bottom w:val="single" w:sz="4" w:space="0" w:color="000000"/>
              <w:right w:val="nil"/>
            </w:tcBorders>
            <w:shd w:val="clear" w:color="auto" w:fill="auto"/>
            <w:noWrap/>
            <w:vAlign w:val="bottom"/>
            <w:hideMark/>
          </w:tcPr>
          <w:p w14:paraId="58FCAFB6"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66" w:type="pct"/>
            <w:tcBorders>
              <w:top w:val="nil"/>
              <w:left w:val="nil"/>
              <w:bottom w:val="single" w:sz="4" w:space="0" w:color="000000"/>
              <w:right w:val="nil"/>
            </w:tcBorders>
            <w:shd w:val="clear" w:color="auto" w:fill="F2F2F2"/>
            <w:noWrap/>
            <w:vAlign w:val="bottom"/>
            <w:hideMark/>
          </w:tcPr>
          <w:p w14:paraId="70EDBF3E"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66" w:type="pct"/>
            <w:tcBorders>
              <w:top w:val="nil"/>
              <w:left w:val="nil"/>
              <w:bottom w:val="single" w:sz="4" w:space="0" w:color="000000"/>
              <w:right w:val="nil"/>
            </w:tcBorders>
            <w:shd w:val="clear" w:color="auto" w:fill="auto"/>
            <w:noWrap/>
            <w:vAlign w:val="bottom"/>
            <w:hideMark/>
          </w:tcPr>
          <w:p w14:paraId="6BCE9D77"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66" w:type="pct"/>
            <w:tcBorders>
              <w:top w:val="nil"/>
              <w:left w:val="nil"/>
              <w:bottom w:val="single" w:sz="4" w:space="0" w:color="000000"/>
              <w:right w:val="nil"/>
            </w:tcBorders>
            <w:shd w:val="clear" w:color="auto" w:fill="F2F2F2"/>
            <w:noWrap/>
            <w:vAlign w:val="bottom"/>
            <w:hideMark/>
          </w:tcPr>
          <w:p w14:paraId="707BC674"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85" w:type="pct"/>
            <w:tcBorders>
              <w:top w:val="nil"/>
              <w:left w:val="nil"/>
              <w:bottom w:val="single" w:sz="4" w:space="0" w:color="000000"/>
              <w:right w:val="nil"/>
            </w:tcBorders>
            <w:shd w:val="clear" w:color="auto" w:fill="auto"/>
            <w:noWrap/>
            <w:vAlign w:val="bottom"/>
            <w:hideMark/>
          </w:tcPr>
          <w:p w14:paraId="57794374"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85" w:type="pct"/>
            <w:tcBorders>
              <w:top w:val="nil"/>
              <w:left w:val="nil"/>
              <w:bottom w:val="single" w:sz="4" w:space="0" w:color="000000"/>
              <w:right w:val="nil"/>
            </w:tcBorders>
            <w:shd w:val="clear" w:color="auto" w:fill="F2F2F2"/>
            <w:noWrap/>
            <w:vAlign w:val="bottom"/>
            <w:hideMark/>
          </w:tcPr>
          <w:p w14:paraId="621DA7F5"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85" w:type="pct"/>
            <w:tcBorders>
              <w:top w:val="nil"/>
              <w:left w:val="nil"/>
              <w:bottom w:val="single" w:sz="4" w:space="0" w:color="000000"/>
              <w:right w:val="nil"/>
            </w:tcBorders>
            <w:shd w:val="clear" w:color="auto" w:fill="auto"/>
            <w:noWrap/>
            <w:vAlign w:val="bottom"/>
            <w:hideMark/>
          </w:tcPr>
          <w:p w14:paraId="26C154A5"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85" w:type="pct"/>
            <w:tcBorders>
              <w:top w:val="nil"/>
              <w:left w:val="nil"/>
              <w:bottom w:val="single" w:sz="4" w:space="0" w:color="000000"/>
              <w:right w:val="nil"/>
            </w:tcBorders>
            <w:shd w:val="clear" w:color="auto" w:fill="F2F2F2"/>
            <w:noWrap/>
            <w:vAlign w:val="bottom"/>
            <w:hideMark/>
          </w:tcPr>
          <w:p w14:paraId="61D91455"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r>
      <w:tr w:rsidR="00D3721D" w:rsidRPr="00D3721D" w14:paraId="4B9D7C40" w14:textId="77777777" w:rsidTr="00FD5861">
        <w:trPr>
          <w:trHeight w:val="227"/>
        </w:trPr>
        <w:tc>
          <w:tcPr>
            <w:tcW w:w="531" w:type="pct"/>
            <w:tcBorders>
              <w:top w:val="nil"/>
              <w:left w:val="nil"/>
              <w:bottom w:val="nil"/>
              <w:right w:val="nil"/>
            </w:tcBorders>
            <w:shd w:val="clear" w:color="000000" w:fill="FFFFFF"/>
            <w:noWrap/>
            <w:vAlign w:val="bottom"/>
            <w:hideMark/>
          </w:tcPr>
          <w:p w14:paraId="4567D9EF" w14:textId="77777777" w:rsidR="00D3721D" w:rsidRPr="00D3721D" w:rsidRDefault="00D3721D" w:rsidP="00D3721D">
            <w:pPr>
              <w:spacing w:after="0" w:line="240" w:lineRule="auto"/>
              <w:jc w:val="left"/>
              <w:rPr>
                <w:rFonts w:ascii="Arial" w:hAnsi="Arial" w:cs="Arial"/>
                <w:color w:val="auto"/>
                <w:sz w:val="16"/>
                <w:szCs w:val="16"/>
              </w:rPr>
            </w:pPr>
            <w:r w:rsidRPr="00D3721D">
              <w:rPr>
                <w:rFonts w:ascii="Arial" w:hAnsi="Arial" w:cs="Arial"/>
                <w:color w:val="auto"/>
                <w:sz w:val="16"/>
                <w:szCs w:val="16"/>
              </w:rPr>
              <w:t> </w:t>
            </w:r>
          </w:p>
        </w:tc>
        <w:tc>
          <w:tcPr>
            <w:tcW w:w="367" w:type="pct"/>
            <w:tcBorders>
              <w:top w:val="nil"/>
              <w:left w:val="nil"/>
              <w:bottom w:val="nil"/>
              <w:right w:val="nil"/>
            </w:tcBorders>
            <w:shd w:val="clear" w:color="auto" w:fill="auto"/>
            <w:noWrap/>
            <w:vAlign w:val="bottom"/>
            <w:hideMark/>
          </w:tcPr>
          <w:p w14:paraId="3C20892E" w14:textId="77777777" w:rsidR="00D3721D" w:rsidRPr="00D3721D" w:rsidRDefault="00D3721D" w:rsidP="00D3721D">
            <w:pPr>
              <w:spacing w:after="0" w:line="240" w:lineRule="auto"/>
              <w:jc w:val="left"/>
              <w:rPr>
                <w:rFonts w:ascii="Arial" w:hAnsi="Arial" w:cs="Arial"/>
                <w:color w:val="auto"/>
                <w:sz w:val="16"/>
                <w:szCs w:val="16"/>
              </w:rPr>
            </w:pPr>
          </w:p>
        </w:tc>
        <w:tc>
          <w:tcPr>
            <w:tcW w:w="367" w:type="pct"/>
            <w:tcBorders>
              <w:top w:val="nil"/>
              <w:left w:val="nil"/>
              <w:bottom w:val="nil"/>
              <w:right w:val="nil"/>
            </w:tcBorders>
            <w:shd w:val="clear" w:color="auto" w:fill="F2F2F2"/>
            <w:noWrap/>
            <w:vAlign w:val="bottom"/>
            <w:hideMark/>
          </w:tcPr>
          <w:p w14:paraId="473B7E01"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66" w:type="pct"/>
            <w:tcBorders>
              <w:top w:val="nil"/>
              <w:left w:val="nil"/>
              <w:bottom w:val="nil"/>
              <w:right w:val="nil"/>
            </w:tcBorders>
            <w:shd w:val="clear" w:color="auto" w:fill="auto"/>
            <w:noWrap/>
            <w:vAlign w:val="bottom"/>
            <w:hideMark/>
          </w:tcPr>
          <w:p w14:paraId="505DD377" w14:textId="77777777" w:rsidR="00D3721D" w:rsidRPr="00D3721D" w:rsidRDefault="00D3721D" w:rsidP="00D3721D">
            <w:pPr>
              <w:spacing w:after="0" w:line="240" w:lineRule="auto"/>
              <w:jc w:val="right"/>
              <w:rPr>
                <w:rFonts w:ascii="Arial" w:hAnsi="Arial" w:cs="Arial"/>
                <w:color w:val="auto"/>
                <w:sz w:val="16"/>
                <w:szCs w:val="16"/>
              </w:rPr>
            </w:pPr>
          </w:p>
        </w:tc>
        <w:tc>
          <w:tcPr>
            <w:tcW w:w="366" w:type="pct"/>
            <w:tcBorders>
              <w:top w:val="nil"/>
              <w:left w:val="nil"/>
              <w:bottom w:val="nil"/>
              <w:right w:val="nil"/>
            </w:tcBorders>
            <w:shd w:val="clear" w:color="auto" w:fill="F2F2F2"/>
            <w:noWrap/>
            <w:vAlign w:val="bottom"/>
            <w:hideMark/>
          </w:tcPr>
          <w:p w14:paraId="3A8653AC"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66" w:type="pct"/>
            <w:tcBorders>
              <w:top w:val="nil"/>
              <w:left w:val="nil"/>
              <w:bottom w:val="nil"/>
              <w:right w:val="nil"/>
            </w:tcBorders>
            <w:shd w:val="clear" w:color="auto" w:fill="auto"/>
            <w:noWrap/>
            <w:vAlign w:val="bottom"/>
            <w:hideMark/>
          </w:tcPr>
          <w:p w14:paraId="4E44C659" w14:textId="77777777" w:rsidR="00D3721D" w:rsidRPr="00D3721D" w:rsidRDefault="00D3721D" w:rsidP="00D3721D">
            <w:pPr>
              <w:spacing w:after="0" w:line="240" w:lineRule="auto"/>
              <w:jc w:val="right"/>
              <w:rPr>
                <w:rFonts w:ascii="Arial" w:hAnsi="Arial" w:cs="Arial"/>
                <w:color w:val="auto"/>
                <w:sz w:val="16"/>
                <w:szCs w:val="16"/>
              </w:rPr>
            </w:pPr>
          </w:p>
        </w:tc>
        <w:tc>
          <w:tcPr>
            <w:tcW w:w="366" w:type="pct"/>
            <w:tcBorders>
              <w:top w:val="nil"/>
              <w:left w:val="nil"/>
              <w:bottom w:val="nil"/>
              <w:right w:val="nil"/>
            </w:tcBorders>
            <w:shd w:val="clear" w:color="auto" w:fill="F2F2F2"/>
            <w:noWrap/>
            <w:vAlign w:val="bottom"/>
            <w:hideMark/>
          </w:tcPr>
          <w:p w14:paraId="3F7A2E81"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66" w:type="pct"/>
            <w:tcBorders>
              <w:top w:val="nil"/>
              <w:left w:val="nil"/>
              <w:bottom w:val="nil"/>
              <w:right w:val="nil"/>
            </w:tcBorders>
            <w:shd w:val="clear" w:color="auto" w:fill="auto"/>
            <w:noWrap/>
            <w:vAlign w:val="bottom"/>
            <w:hideMark/>
          </w:tcPr>
          <w:p w14:paraId="4D56F376" w14:textId="77777777" w:rsidR="00D3721D" w:rsidRPr="00D3721D" w:rsidRDefault="00D3721D" w:rsidP="00D3721D">
            <w:pPr>
              <w:spacing w:after="0" w:line="240" w:lineRule="auto"/>
              <w:jc w:val="right"/>
              <w:rPr>
                <w:rFonts w:ascii="Arial" w:hAnsi="Arial" w:cs="Arial"/>
                <w:color w:val="auto"/>
                <w:sz w:val="16"/>
                <w:szCs w:val="16"/>
              </w:rPr>
            </w:pPr>
          </w:p>
        </w:tc>
        <w:tc>
          <w:tcPr>
            <w:tcW w:w="366" w:type="pct"/>
            <w:tcBorders>
              <w:top w:val="nil"/>
              <w:left w:val="nil"/>
              <w:bottom w:val="nil"/>
              <w:right w:val="nil"/>
            </w:tcBorders>
            <w:shd w:val="clear" w:color="auto" w:fill="F2F2F2"/>
            <w:noWrap/>
            <w:vAlign w:val="bottom"/>
            <w:hideMark/>
          </w:tcPr>
          <w:p w14:paraId="1BC6E596"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85" w:type="pct"/>
            <w:tcBorders>
              <w:top w:val="nil"/>
              <w:left w:val="nil"/>
              <w:bottom w:val="nil"/>
              <w:right w:val="nil"/>
            </w:tcBorders>
            <w:shd w:val="clear" w:color="auto" w:fill="auto"/>
            <w:noWrap/>
            <w:vAlign w:val="bottom"/>
            <w:hideMark/>
          </w:tcPr>
          <w:p w14:paraId="38627EAA" w14:textId="77777777" w:rsidR="00D3721D" w:rsidRPr="00D3721D" w:rsidRDefault="00D3721D" w:rsidP="00D3721D">
            <w:pPr>
              <w:spacing w:after="0" w:line="240" w:lineRule="auto"/>
              <w:jc w:val="right"/>
              <w:rPr>
                <w:rFonts w:ascii="Arial" w:hAnsi="Arial" w:cs="Arial"/>
                <w:color w:val="auto"/>
                <w:sz w:val="16"/>
                <w:szCs w:val="16"/>
              </w:rPr>
            </w:pPr>
          </w:p>
        </w:tc>
        <w:tc>
          <w:tcPr>
            <w:tcW w:w="385" w:type="pct"/>
            <w:tcBorders>
              <w:top w:val="nil"/>
              <w:left w:val="nil"/>
              <w:bottom w:val="nil"/>
              <w:right w:val="nil"/>
            </w:tcBorders>
            <w:shd w:val="clear" w:color="auto" w:fill="F2F2F2"/>
            <w:noWrap/>
            <w:vAlign w:val="bottom"/>
            <w:hideMark/>
          </w:tcPr>
          <w:p w14:paraId="35A20B10"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85" w:type="pct"/>
            <w:tcBorders>
              <w:top w:val="nil"/>
              <w:left w:val="nil"/>
              <w:bottom w:val="nil"/>
              <w:right w:val="nil"/>
            </w:tcBorders>
            <w:shd w:val="clear" w:color="auto" w:fill="auto"/>
            <w:noWrap/>
            <w:vAlign w:val="bottom"/>
            <w:hideMark/>
          </w:tcPr>
          <w:p w14:paraId="248F2D58" w14:textId="77777777" w:rsidR="00D3721D" w:rsidRPr="00D3721D" w:rsidRDefault="00D3721D" w:rsidP="00D3721D">
            <w:pPr>
              <w:spacing w:after="0" w:line="240" w:lineRule="auto"/>
              <w:jc w:val="right"/>
              <w:rPr>
                <w:rFonts w:ascii="Arial" w:hAnsi="Arial" w:cs="Arial"/>
                <w:color w:val="auto"/>
                <w:sz w:val="16"/>
                <w:szCs w:val="16"/>
              </w:rPr>
            </w:pPr>
          </w:p>
        </w:tc>
        <w:tc>
          <w:tcPr>
            <w:tcW w:w="385" w:type="pct"/>
            <w:tcBorders>
              <w:top w:val="nil"/>
              <w:left w:val="nil"/>
              <w:bottom w:val="nil"/>
              <w:right w:val="nil"/>
            </w:tcBorders>
            <w:shd w:val="clear" w:color="auto" w:fill="F2F2F2"/>
            <w:noWrap/>
            <w:vAlign w:val="bottom"/>
            <w:hideMark/>
          </w:tcPr>
          <w:p w14:paraId="23CB5C37"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r>
      <w:tr w:rsidR="00D3721D" w:rsidRPr="00D3721D" w14:paraId="06031DF8" w14:textId="77777777" w:rsidTr="00FD5861">
        <w:trPr>
          <w:trHeight w:val="227"/>
        </w:trPr>
        <w:tc>
          <w:tcPr>
            <w:tcW w:w="531" w:type="pct"/>
            <w:tcBorders>
              <w:top w:val="nil"/>
              <w:left w:val="nil"/>
              <w:bottom w:val="nil"/>
              <w:right w:val="nil"/>
            </w:tcBorders>
            <w:shd w:val="clear" w:color="000000" w:fill="FFFFFF"/>
            <w:noWrap/>
            <w:vAlign w:val="center"/>
            <w:hideMark/>
          </w:tcPr>
          <w:p w14:paraId="73B48E05" w14:textId="77777777" w:rsidR="00D3721D" w:rsidRPr="00D3721D" w:rsidRDefault="005D00DA" w:rsidP="00D3721D">
            <w:pPr>
              <w:spacing w:after="0" w:line="240" w:lineRule="auto"/>
              <w:jc w:val="left"/>
              <w:rPr>
                <w:rFonts w:ascii="Arial" w:hAnsi="Arial" w:cs="Arial"/>
                <w:color w:val="auto"/>
                <w:sz w:val="16"/>
                <w:szCs w:val="16"/>
              </w:rPr>
            </w:pPr>
            <w:r>
              <w:rPr>
                <w:rFonts w:ascii="Arial" w:hAnsi="Arial" w:cs="Arial"/>
                <w:color w:val="auto"/>
                <w:sz w:val="16"/>
                <w:szCs w:val="16"/>
              </w:rPr>
              <w:t xml:space="preserve"> </w:t>
            </w:r>
            <w:r w:rsidR="00D3721D" w:rsidRPr="00D3721D">
              <w:rPr>
                <w:rFonts w:ascii="Arial" w:hAnsi="Arial" w:cs="Arial"/>
                <w:color w:val="auto"/>
                <w:sz w:val="16"/>
                <w:szCs w:val="16"/>
              </w:rPr>
              <w:t xml:space="preserve">Approved </w:t>
            </w:r>
          </w:p>
        </w:tc>
        <w:tc>
          <w:tcPr>
            <w:tcW w:w="367" w:type="pct"/>
            <w:tcBorders>
              <w:top w:val="nil"/>
              <w:left w:val="nil"/>
              <w:bottom w:val="nil"/>
              <w:right w:val="nil"/>
            </w:tcBorders>
            <w:shd w:val="clear" w:color="auto" w:fill="auto"/>
            <w:noWrap/>
            <w:vAlign w:val="center"/>
            <w:hideMark/>
          </w:tcPr>
          <w:p w14:paraId="70B94FCC"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13</w:t>
            </w:r>
          </w:p>
        </w:tc>
        <w:tc>
          <w:tcPr>
            <w:tcW w:w="367" w:type="pct"/>
            <w:tcBorders>
              <w:top w:val="nil"/>
              <w:left w:val="nil"/>
              <w:bottom w:val="nil"/>
              <w:right w:val="nil"/>
            </w:tcBorders>
            <w:shd w:val="clear" w:color="auto" w:fill="F2F2F2"/>
            <w:noWrap/>
            <w:vAlign w:val="center"/>
            <w:hideMark/>
          </w:tcPr>
          <w:p w14:paraId="10373A3A"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17</w:t>
            </w:r>
          </w:p>
        </w:tc>
        <w:tc>
          <w:tcPr>
            <w:tcW w:w="366" w:type="pct"/>
            <w:tcBorders>
              <w:top w:val="nil"/>
              <w:left w:val="nil"/>
              <w:bottom w:val="nil"/>
              <w:right w:val="nil"/>
            </w:tcBorders>
            <w:shd w:val="clear" w:color="auto" w:fill="auto"/>
            <w:noWrap/>
            <w:vAlign w:val="center"/>
            <w:hideMark/>
          </w:tcPr>
          <w:p w14:paraId="31C172F3"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F2F2F2"/>
            <w:noWrap/>
            <w:vAlign w:val="center"/>
            <w:hideMark/>
          </w:tcPr>
          <w:p w14:paraId="6563B0BD"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auto"/>
            <w:noWrap/>
            <w:vAlign w:val="center"/>
            <w:hideMark/>
          </w:tcPr>
          <w:p w14:paraId="3C80220B"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302</w:t>
            </w:r>
          </w:p>
        </w:tc>
        <w:tc>
          <w:tcPr>
            <w:tcW w:w="366" w:type="pct"/>
            <w:tcBorders>
              <w:top w:val="nil"/>
              <w:left w:val="nil"/>
              <w:bottom w:val="nil"/>
              <w:right w:val="nil"/>
            </w:tcBorders>
            <w:shd w:val="clear" w:color="auto" w:fill="F2F2F2"/>
            <w:noWrap/>
            <w:vAlign w:val="center"/>
            <w:hideMark/>
          </w:tcPr>
          <w:p w14:paraId="1AA6E29B"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211</w:t>
            </w:r>
          </w:p>
        </w:tc>
        <w:tc>
          <w:tcPr>
            <w:tcW w:w="366" w:type="pct"/>
            <w:tcBorders>
              <w:top w:val="nil"/>
              <w:left w:val="nil"/>
              <w:bottom w:val="nil"/>
              <w:right w:val="nil"/>
            </w:tcBorders>
            <w:shd w:val="clear" w:color="auto" w:fill="auto"/>
            <w:noWrap/>
            <w:vAlign w:val="center"/>
            <w:hideMark/>
          </w:tcPr>
          <w:p w14:paraId="0F500949"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14</w:t>
            </w:r>
          </w:p>
        </w:tc>
        <w:tc>
          <w:tcPr>
            <w:tcW w:w="366" w:type="pct"/>
            <w:tcBorders>
              <w:top w:val="nil"/>
              <w:left w:val="nil"/>
              <w:bottom w:val="nil"/>
              <w:right w:val="nil"/>
            </w:tcBorders>
            <w:shd w:val="clear" w:color="auto" w:fill="F2F2F2"/>
            <w:noWrap/>
            <w:vAlign w:val="center"/>
            <w:hideMark/>
          </w:tcPr>
          <w:p w14:paraId="0C80F91C"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27</w:t>
            </w:r>
          </w:p>
        </w:tc>
        <w:tc>
          <w:tcPr>
            <w:tcW w:w="385" w:type="pct"/>
            <w:tcBorders>
              <w:top w:val="nil"/>
              <w:left w:val="nil"/>
              <w:bottom w:val="nil"/>
              <w:right w:val="nil"/>
            </w:tcBorders>
            <w:shd w:val="clear" w:color="auto" w:fill="auto"/>
            <w:noWrap/>
            <w:vAlign w:val="center"/>
            <w:hideMark/>
          </w:tcPr>
          <w:p w14:paraId="4AE15481"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31</w:t>
            </w:r>
          </w:p>
        </w:tc>
        <w:tc>
          <w:tcPr>
            <w:tcW w:w="385" w:type="pct"/>
            <w:tcBorders>
              <w:top w:val="nil"/>
              <w:left w:val="nil"/>
              <w:bottom w:val="nil"/>
              <w:right w:val="nil"/>
            </w:tcBorders>
            <w:shd w:val="clear" w:color="auto" w:fill="F2F2F2"/>
            <w:noWrap/>
            <w:vAlign w:val="center"/>
            <w:hideMark/>
          </w:tcPr>
          <w:p w14:paraId="4173AE95"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17</w:t>
            </w:r>
          </w:p>
        </w:tc>
        <w:tc>
          <w:tcPr>
            <w:tcW w:w="385" w:type="pct"/>
            <w:tcBorders>
              <w:top w:val="nil"/>
              <w:left w:val="nil"/>
              <w:bottom w:val="nil"/>
              <w:right w:val="nil"/>
            </w:tcBorders>
            <w:shd w:val="clear" w:color="auto" w:fill="auto"/>
            <w:noWrap/>
            <w:vAlign w:val="center"/>
            <w:hideMark/>
          </w:tcPr>
          <w:p w14:paraId="0DFD5C2E"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360</w:t>
            </w:r>
          </w:p>
        </w:tc>
        <w:tc>
          <w:tcPr>
            <w:tcW w:w="385" w:type="pct"/>
            <w:tcBorders>
              <w:top w:val="nil"/>
              <w:left w:val="nil"/>
              <w:bottom w:val="nil"/>
              <w:right w:val="nil"/>
            </w:tcBorders>
            <w:shd w:val="clear" w:color="auto" w:fill="F2F2F2"/>
            <w:noWrap/>
            <w:vAlign w:val="center"/>
            <w:hideMark/>
          </w:tcPr>
          <w:p w14:paraId="4BC60037"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272</w:t>
            </w:r>
          </w:p>
        </w:tc>
      </w:tr>
      <w:tr w:rsidR="00D3721D" w:rsidRPr="00D3721D" w14:paraId="2FDF267E" w14:textId="77777777" w:rsidTr="00FD5861">
        <w:trPr>
          <w:trHeight w:val="227"/>
        </w:trPr>
        <w:tc>
          <w:tcPr>
            <w:tcW w:w="531" w:type="pct"/>
            <w:tcBorders>
              <w:top w:val="nil"/>
              <w:left w:val="nil"/>
              <w:bottom w:val="nil"/>
              <w:right w:val="nil"/>
            </w:tcBorders>
            <w:shd w:val="clear" w:color="000000" w:fill="FFFFFF"/>
            <w:noWrap/>
            <w:vAlign w:val="center"/>
            <w:hideMark/>
          </w:tcPr>
          <w:p w14:paraId="40A15A5B" w14:textId="77777777" w:rsidR="00D3721D" w:rsidRPr="00D3721D" w:rsidRDefault="00D3721D" w:rsidP="009F768E">
            <w:pPr>
              <w:spacing w:after="0" w:line="240" w:lineRule="auto"/>
              <w:jc w:val="left"/>
              <w:rPr>
                <w:rFonts w:ascii="Arial" w:hAnsi="Arial" w:cs="Arial"/>
                <w:color w:val="auto"/>
                <w:sz w:val="16"/>
                <w:szCs w:val="16"/>
              </w:rPr>
            </w:pPr>
            <w:r w:rsidRPr="00D3721D">
              <w:rPr>
                <w:rFonts w:ascii="Arial" w:hAnsi="Arial" w:cs="Arial"/>
                <w:color w:val="auto"/>
                <w:sz w:val="16"/>
                <w:szCs w:val="16"/>
              </w:rPr>
              <w:t xml:space="preserve"> Declined </w:t>
            </w:r>
          </w:p>
        </w:tc>
        <w:tc>
          <w:tcPr>
            <w:tcW w:w="367" w:type="pct"/>
            <w:tcBorders>
              <w:top w:val="nil"/>
              <w:left w:val="nil"/>
              <w:bottom w:val="nil"/>
              <w:right w:val="nil"/>
            </w:tcBorders>
            <w:shd w:val="clear" w:color="auto" w:fill="auto"/>
            <w:noWrap/>
            <w:vAlign w:val="center"/>
            <w:hideMark/>
          </w:tcPr>
          <w:p w14:paraId="091435CB"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7" w:type="pct"/>
            <w:tcBorders>
              <w:top w:val="nil"/>
              <w:left w:val="nil"/>
              <w:bottom w:val="nil"/>
              <w:right w:val="nil"/>
            </w:tcBorders>
            <w:shd w:val="clear" w:color="auto" w:fill="F2F2F2"/>
            <w:noWrap/>
            <w:vAlign w:val="center"/>
            <w:hideMark/>
          </w:tcPr>
          <w:p w14:paraId="67607354"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auto"/>
            <w:noWrap/>
            <w:vAlign w:val="center"/>
            <w:hideMark/>
          </w:tcPr>
          <w:p w14:paraId="7A353B66"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F2F2F2"/>
            <w:noWrap/>
            <w:vAlign w:val="center"/>
            <w:hideMark/>
          </w:tcPr>
          <w:p w14:paraId="6734A8BF"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auto"/>
            <w:noWrap/>
            <w:vAlign w:val="center"/>
            <w:hideMark/>
          </w:tcPr>
          <w:p w14:paraId="6A3A886B"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F2F2F2"/>
            <w:noWrap/>
            <w:vAlign w:val="center"/>
            <w:hideMark/>
          </w:tcPr>
          <w:p w14:paraId="62905353"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w:t>
            </w:r>
          </w:p>
        </w:tc>
        <w:tc>
          <w:tcPr>
            <w:tcW w:w="366" w:type="pct"/>
            <w:tcBorders>
              <w:top w:val="nil"/>
              <w:left w:val="nil"/>
              <w:bottom w:val="nil"/>
              <w:right w:val="nil"/>
            </w:tcBorders>
            <w:shd w:val="clear" w:color="auto" w:fill="auto"/>
            <w:noWrap/>
            <w:vAlign w:val="center"/>
            <w:hideMark/>
          </w:tcPr>
          <w:p w14:paraId="55D98AEA"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F2F2F2"/>
            <w:noWrap/>
            <w:vAlign w:val="center"/>
            <w:hideMark/>
          </w:tcPr>
          <w:p w14:paraId="15B32534"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85" w:type="pct"/>
            <w:tcBorders>
              <w:top w:val="nil"/>
              <w:left w:val="nil"/>
              <w:bottom w:val="nil"/>
              <w:right w:val="nil"/>
            </w:tcBorders>
            <w:shd w:val="clear" w:color="auto" w:fill="auto"/>
            <w:noWrap/>
            <w:vAlign w:val="center"/>
            <w:hideMark/>
          </w:tcPr>
          <w:p w14:paraId="14A6E87A"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85" w:type="pct"/>
            <w:tcBorders>
              <w:top w:val="nil"/>
              <w:left w:val="nil"/>
              <w:bottom w:val="nil"/>
              <w:right w:val="nil"/>
            </w:tcBorders>
            <w:shd w:val="clear" w:color="auto" w:fill="F2F2F2"/>
            <w:noWrap/>
            <w:vAlign w:val="center"/>
            <w:hideMark/>
          </w:tcPr>
          <w:p w14:paraId="623146B7"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85" w:type="pct"/>
            <w:tcBorders>
              <w:top w:val="nil"/>
              <w:left w:val="nil"/>
              <w:bottom w:val="nil"/>
              <w:right w:val="nil"/>
            </w:tcBorders>
            <w:shd w:val="clear" w:color="auto" w:fill="auto"/>
            <w:noWrap/>
            <w:vAlign w:val="center"/>
            <w:hideMark/>
          </w:tcPr>
          <w:p w14:paraId="1772D5BE"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85" w:type="pct"/>
            <w:tcBorders>
              <w:top w:val="nil"/>
              <w:left w:val="nil"/>
              <w:bottom w:val="nil"/>
              <w:right w:val="nil"/>
            </w:tcBorders>
            <w:shd w:val="clear" w:color="auto" w:fill="F2F2F2"/>
            <w:noWrap/>
            <w:vAlign w:val="center"/>
            <w:hideMark/>
          </w:tcPr>
          <w:p w14:paraId="2B7E85C8"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w:t>
            </w:r>
          </w:p>
        </w:tc>
      </w:tr>
      <w:tr w:rsidR="00D3721D" w:rsidRPr="00D3721D" w14:paraId="6DDEA2F5" w14:textId="77777777" w:rsidTr="00FD5861">
        <w:trPr>
          <w:trHeight w:val="227"/>
        </w:trPr>
        <w:tc>
          <w:tcPr>
            <w:tcW w:w="531" w:type="pct"/>
            <w:tcBorders>
              <w:top w:val="nil"/>
              <w:left w:val="nil"/>
              <w:bottom w:val="nil"/>
              <w:right w:val="nil"/>
            </w:tcBorders>
            <w:shd w:val="clear" w:color="000000" w:fill="FFFFFF"/>
            <w:noWrap/>
            <w:vAlign w:val="center"/>
            <w:hideMark/>
          </w:tcPr>
          <w:p w14:paraId="1ED48BA3" w14:textId="77777777" w:rsidR="00D3721D" w:rsidRPr="00D3721D" w:rsidRDefault="00D3721D" w:rsidP="00D3721D">
            <w:pPr>
              <w:spacing w:after="0" w:line="240" w:lineRule="auto"/>
              <w:jc w:val="left"/>
              <w:rPr>
                <w:rFonts w:ascii="Arial" w:hAnsi="Arial" w:cs="Arial"/>
                <w:b/>
                <w:bCs/>
                <w:color w:val="auto"/>
                <w:sz w:val="16"/>
                <w:szCs w:val="16"/>
              </w:rPr>
            </w:pPr>
            <w:r w:rsidRPr="00D3721D">
              <w:rPr>
                <w:rFonts w:ascii="Arial" w:hAnsi="Arial" w:cs="Arial"/>
                <w:b/>
                <w:bCs/>
                <w:color w:val="auto"/>
                <w:sz w:val="16"/>
                <w:szCs w:val="16"/>
              </w:rPr>
              <w:t xml:space="preserve">   Total decided </w:t>
            </w:r>
          </w:p>
        </w:tc>
        <w:tc>
          <w:tcPr>
            <w:tcW w:w="367" w:type="pct"/>
            <w:tcBorders>
              <w:top w:val="single" w:sz="4" w:space="0" w:color="auto"/>
              <w:left w:val="nil"/>
              <w:bottom w:val="nil"/>
              <w:right w:val="nil"/>
            </w:tcBorders>
            <w:shd w:val="clear" w:color="auto" w:fill="auto"/>
            <w:noWrap/>
            <w:vAlign w:val="center"/>
            <w:hideMark/>
          </w:tcPr>
          <w:p w14:paraId="5AFDBA37"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13</w:t>
            </w:r>
          </w:p>
        </w:tc>
        <w:tc>
          <w:tcPr>
            <w:tcW w:w="367" w:type="pct"/>
            <w:tcBorders>
              <w:top w:val="single" w:sz="4" w:space="0" w:color="auto"/>
              <w:left w:val="nil"/>
              <w:bottom w:val="nil"/>
              <w:right w:val="nil"/>
            </w:tcBorders>
            <w:shd w:val="clear" w:color="auto" w:fill="F2F2F2"/>
            <w:noWrap/>
            <w:vAlign w:val="center"/>
            <w:hideMark/>
          </w:tcPr>
          <w:p w14:paraId="52DDAD31"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17</w:t>
            </w:r>
          </w:p>
        </w:tc>
        <w:tc>
          <w:tcPr>
            <w:tcW w:w="366" w:type="pct"/>
            <w:tcBorders>
              <w:top w:val="single" w:sz="4" w:space="0" w:color="auto"/>
              <w:left w:val="nil"/>
              <w:bottom w:val="nil"/>
              <w:right w:val="nil"/>
            </w:tcBorders>
            <w:shd w:val="clear" w:color="auto" w:fill="auto"/>
            <w:noWrap/>
            <w:vAlign w:val="center"/>
            <w:hideMark/>
          </w:tcPr>
          <w:p w14:paraId="1D4A0925"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0</w:t>
            </w:r>
          </w:p>
        </w:tc>
        <w:tc>
          <w:tcPr>
            <w:tcW w:w="366" w:type="pct"/>
            <w:tcBorders>
              <w:top w:val="single" w:sz="4" w:space="0" w:color="auto"/>
              <w:left w:val="nil"/>
              <w:bottom w:val="nil"/>
              <w:right w:val="nil"/>
            </w:tcBorders>
            <w:shd w:val="clear" w:color="auto" w:fill="F2F2F2"/>
            <w:noWrap/>
            <w:vAlign w:val="center"/>
            <w:hideMark/>
          </w:tcPr>
          <w:p w14:paraId="3C4D89D6"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0</w:t>
            </w:r>
          </w:p>
        </w:tc>
        <w:tc>
          <w:tcPr>
            <w:tcW w:w="366" w:type="pct"/>
            <w:tcBorders>
              <w:top w:val="single" w:sz="4" w:space="0" w:color="auto"/>
              <w:left w:val="nil"/>
              <w:bottom w:val="nil"/>
              <w:right w:val="nil"/>
            </w:tcBorders>
            <w:shd w:val="clear" w:color="auto" w:fill="auto"/>
            <w:noWrap/>
            <w:vAlign w:val="center"/>
            <w:hideMark/>
          </w:tcPr>
          <w:p w14:paraId="05ADB5D4"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302</w:t>
            </w:r>
          </w:p>
        </w:tc>
        <w:tc>
          <w:tcPr>
            <w:tcW w:w="366" w:type="pct"/>
            <w:tcBorders>
              <w:top w:val="single" w:sz="4" w:space="0" w:color="auto"/>
              <w:left w:val="nil"/>
              <w:bottom w:val="nil"/>
              <w:right w:val="nil"/>
            </w:tcBorders>
            <w:shd w:val="clear" w:color="auto" w:fill="F2F2F2"/>
            <w:noWrap/>
            <w:vAlign w:val="center"/>
            <w:hideMark/>
          </w:tcPr>
          <w:p w14:paraId="74254CBF"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212</w:t>
            </w:r>
          </w:p>
        </w:tc>
        <w:tc>
          <w:tcPr>
            <w:tcW w:w="366" w:type="pct"/>
            <w:tcBorders>
              <w:top w:val="single" w:sz="4" w:space="0" w:color="auto"/>
              <w:left w:val="nil"/>
              <w:bottom w:val="nil"/>
              <w:right w:val="nil"/>
            </w:tcBorders>
            <w:shd w:val="clear" w:color="auto" w:fill="auto"/>
            <w:noWrap/>
            <w:vAlign w:val="center"/>
            <w:hideMark/>
          </w:tcPr>
          <w:p w14:paraId="55FE2735"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14</w:t>
            </w:r>
          </w:p>
        </w:tc>
        <w:tc>
          <w:tcPr>
            <w:tcW w:w="366" w:type="pct"/>
            <w:tcBorders>
              <w:top w:val="single" w:sz="4" w:space="0" w:color="auto"/>
              <w:left w:val="nil"/>
              <w:bottom w:val="nil"/>
              <w:right w:val="nil"/>
            </w:tcBorders>
            <w:shd w:val="clear" w:color="auto" w:fill="F2F2F2"/>
            <w:noWrap/>
            <w:vAlign w:val="center"/>
            <w:hideMark/>
          </w:tcPr>
          <w:p w14:paraId="123304C8"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27</w:t>
            </w:r>
          </w:p>
        </w:tc>
        <w:tc>
          <w:tcPr>
            <w:tcW w:w="385" w:type="pct"/>
            <w:tcBorders>
              <w:top w:val="single" w:sz="4" w:space="0" w:color="auto"/>
              <w:left w:val="nil"/>
              <w:bottom w:val="nil"/>
              <w:right w:val="nil"/>
            </w:tcBorders>
            <w:shd w:val="clear" w:color="auto" w:fill="auto"/>
            <w:noWrap/>
            <w:vAlign w:val="center"/>
            <w:hideMark/>
          </w:tcPr>
          <w:p w14:paraId="4A4B2F0B"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31</w:t>
            </w:r>
          </w:p>
        </w:tc>
        <w:tc>
          <w:tcPr>
            <w:tcW w:w="385" w:type="pct"/>
            <w:tcBorders>
              <w:top w:val="single" w:sz="4" w:space="0" w:color="auto"/>
              <w:left w:val="nil"/>
              <w:bottom w:val="nil"/>
              <w:right w:val="nil"/>
            </w:tcBorders>
            <w:shd w:val="clear" w:color="auto" w:fill="F2F2F2"/>
            <w:noWrap/>
            <w:vAlign w:val="center"/>
            <w:hideMark/>
          </w:tcPr>
          <w:p w14:paraId="4158904A"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17</w:t>
            </w:r>
          </w:p>
        </w:tc>
        <w:tc>
          <w:tcPr>
            <w:tcW w:w="385" w:type="pct"/>
            <w:tcBorders>
              <w:top w:val="single" w:sz="4" w:space="0" w:color="auto"/>
              <w:left w:val="nil"/>
              <w:bottom w:val="nil"/>
              <w:right w:val="nil"/>
            </w:tcBorders>
            <w:shd w:val="clear" w:color="auto" w:fill="auto"/>
            <w:noWrap/>
            <w:vAlign w:val="center"/>
            <w:hideMark/>
          </w:tcPr>
          <w:p w14:paraId="7DA431CF"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360</w:t>
            </w:r>
          </w:p>
        </w:tc>
        <w:tc>
          <w:tcPr>
            <w:tcW w:w="385" w:type="pct"/>
            <w:tcBorders>
              <w:top w:val="single" w:sz="4" w:space="0" w:color="auto"/>
              <w:left w:val="nil"/>
              <w:bottom w:val="nil"/>
              <w:right w:val="nil"/>
            </w:tcBorders>
            <w:shd w:val="clear" w:color="auto" w:fill="F2F2F2"/>
            <w:noWrap/>
            <w:vAlign w:val="center"/>
            <w:hideMark/>
          </w:tcPr>
          <w:p w14:paraId="1F17C49E"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273</w:t>
            </w:r>
          </w:p>
        </w:tc>
      </w:tr>
      <w:tr w:rsidR="00D3721D" w:rsidRPr="00D3721D" w14:paraId="5C125DA9" w14:textId="77777777" w:rsidTr="00FD5861">
        <w:trPr>
          <w:trHeight w:val="227"/>
        </w:trPr>
        <w:tc>
          <w:tcPr>
            <w:tcW w:w="531" w:type="pct"/>
            <w:tcBorders>
              <w:top w:val="nil"/>
              <w:left w:val="nil"/>
              <w:bottom w:val="nil"/>
              <w:right w:val="nil"/>
            </w:tcBorders>
            <w:shd w:val="clear" w:color="000000" w:fill="FFFFFF"/>
            <w:noWrap/>
            <w:vAlign w:val="center"/>
            <w:hideMark/>
          </w:tcPr>
          <w:p w14:paraId="111E8EBD" w14:textId="77777777" w:rsidR="00D3721D" w:rsidRPr="00D3721D" w:rsidRDefault="00D3721D" w:rsidP="00D3721D">
            <w:pPr>
              <w:spacing w:after="0" w:line="240" w:lineRule="auto"/>
              <w:jc w:val="left"/>
              <w:rPr>
                <w:rFonts w:ascii="Arial" w:hAnsi="Arial" w:cs="Arial"/>
                <w:color w:val="auto"/>
                <w:sz w:val="16"/>
                <w:szCs w:val="16"/>
              </w:rPr>
            </w:pPr>
            <w:r w:rsidRPr="00D3721D">
              <w:rPr>
                <w:rFonts w:ascii="Arial" w:hAnsi="Arial" w:cs="Arial"/>
                <w:color w:val="auto"/>
                <w:sz w:val="16"/>
                <w:szCs w:val="16"/>
              </w:rPr>
              <w:t xml:space="preserve"> Exempt </w:t>
            </w:r>
          </w:p>
        </w:tc>
        <w:tc>
          <w:tcPr>
            <w:tcW w:w="367" w:type="pct"/>
            <w:tcBorders>
              <w:top w:val="nil"/>
              <w:left w:val="nil"/>
              <w:bottom w:val="nil"/>
              <w:right w:val="nil"/>
            </w:tcBorders>
            <w:shd w:val="clear" w:color="auto" w:fill="auto"/>
            <w:noWrap/>
            <w:vAlign w:val="center"/>
            <w:hideMark/>
          </w:tcPr>
          <w:p w14:paraId="5C569458"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7" w:type="pct"/>
            <w:tcBorders>
              <w:top w:val="nil"/>
              <w:left w:val="nil"/>
              <w:bottom w:val="nil"/>
              <w:right w:val="nil"/>
            </w:tcBorders>
            <w:shd w:val="clear" w:color="auto" w:fill="F2F2F2"/>
            <w:noWrap/>
            <w:vAlign w:val="center"/>
            <w:hideMark/>
          </w:tcPr>
          <w:p w14:paraId="0085C9D7"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auto"/>
            <w:noWrap/>
            <w:vAlign w:val="center"/>
            <w:hideMark/>
          </w:tcPr>
          <w:p w14:paraId="279CF6BA"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F2F2F2"/>
            <w:noWrap/>
            <w:vAlign w:val="center"/>
            <w:hideMark/>
          </w:tcPr>
          <w:p w14:paraId="4BB20B32"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auto"/>
            <w:noWrap/>
            <w:vAlign w:val="center"/>
            <w:hideMark/>
          </w:tcPr>
          <w:p w14:paraId="08646967"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F2F2F2"/>
            <w:noWrap/>
            <w:vAlign w:val="center"/>
            <w:hideMark/>
          </w:tcPr>
          <w:p w14:paraId="0F2C4354"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auto"/>
            <w:noWrap/>
            <w:vAlign w:val="center"/>
            <w:hideMark/>
          </w:tcPr>
          <w:p w14:paraId="301F95C1"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F2F2F2"/>
            <w:noWrap/>
            <w:vAlign w:val="center"/>
            <w:hideMark/>
          </w:tcPr>
          <w:p w14:paraId="46C0D558"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85" w:type="pct"/>
            <w:tcBorders>
              <w:top w:val="nil"/>
              <w:left w:val="nil"/>
              <w:bottom w:val="nil"/>
              <w:right w:val="nil"/>
            </w:tcBorders>
            <w:shd w:val="clear" w:color="auto" w:fill="auto"/>
            <w:noWrap/>
            <w:vAlign w:val="center"/>
            <w:hideMark/>
          </w:tcPr>
          <w:p w14:paraId="6EC56EB4"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85" w:type="pct"/>
            <w:tcBorders>
              <w:top w:val="nil"/>
              <w:left w:val="nil"/>
              <w:bottom w:val="nil"/>
              <w:right w:val="nil"/>
            </w:tcBorders>
            <w:shd w:val="clear" w:color="auto" w:fill="F2F2F2"/>
            <w:noWrap/>
            <w:vAlign w:val="center"/>
            <w:hideMark/>
          </w:tcPr>
          <w:p w14:paraId="2734D226"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w:t>
            </w:r>
          </w:p>
        </w:tc>
        <w:tc>
          <w:tcPr>
            <w:tcW w:w="385" w:type="pct"/>
            <w:tcBorders>
              <w:top w:val="nil"/>
              <w:left w:val="nil"/>
              <w:bottom w:val="nil"/>
              <w:right w:val="nil"/>
            </w:tcBorders>
            <w:shd w:val="clear" w:color="auto" w:fill="auto"/>
            <w:noWrap/>
            <w:vAlign w:val="center"/>
            <w:hideMark/>
          </w:tcPr>
          <w:p w14:paraId="306EBEDE"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85" w:type="pct"/>
            <w:tcBorders>
              <w:top w:val="nil"/>
              <w:left w:val="nil"/>
              <w:bottom w:val="nil"/>
              <w:right w:val="nil"/>
            </w:tcBorders>
            <w:shd w:val="clear" w:color="auto" w:fill="F2F2F2"/>
            <w:noWrap/>
            <w:vAlign w:val="center"/>
            <w:hideMark/>
          </w:tcPr>
          <w:p w14:paraId="239D13EE"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w:t>
            </w:r>
          </w:p>
        </w:tc>
      </w:tr>
      <w:tr w:rsidR="00D3721D" w:rsidRPr="00D3721D" w14:paraId="16F6DF3E" w14:textId="77777777" w:rsidTr="00FD5861">
        <w:trPr>
          <w:trHeight w:val="227"/>
        </w:trPr>
        <w:tc>
          <w:tcPr>
            <w:tcW w:w="531" w:type="pct"/>
            <w:tcBorders>
              <w:top w:val="nil"/>
              <w:left w:val="nil"/>
              <w:bottom w:val="nil"/>
              <w:right w:val="nil"/>
            </w:tcBorders>
            <w:shd w:val="clear" w:color="000000" w:fill="FFFFFF"/>
            <w:noWrap/>
            <w:vAlign w:val="center"/>
            <w:hideMark/>
          </w:tcPr>
          <w:p w14:paraId="47A0122F" w14:textId="77777777" w:rsidR="00D3721D" w:rsidRPr="00D3721D" w:rsidRDefault="00D3721D" w:rsidP="009F768E">
            <w:pPr>
              <w:spacing w:after="0" w:line="240" w:lineRule="auto"/>
              <w:jc w:val="left"/>
              <w:rPr>
                <w:rFonts w:ascii="Arial" w:hAnsi="Arial" w:cs="Arial"/>
                <w:color w:val="auto"/>
                <w:sz w:val="16"/>
                <w:szCs w:val="16"/>
              </w:rPr>
            </w:pPr>
            <w:r w:rsidRPr="00D3721D">
              <w:rPr>
                <w:rFonts w:ascii="Arial" w:hAnsi="Arial" w:cs="Arial"/>
                <w:color w:val="auto"/>
                <w:sz w:val="16"/>
                <w:szCs w:val="16"/>
              </w:rPr>
              <w:t xml:space="preserve"> Not a variation </w:t>
            </w:r>
          </w:p>
        </w:tc>
        <w:tc>
          <w:tcPr>
            <w:tcW w:w="367" w:type="pct"/>
            <w:tcBorders>
              <w:top w:val="nil"/>
              <w:left w:val="nil"/>
              <w:bottom w:val="nil"/>
              <w:right w:val="nil"/>
            </w:tcBorders>
            <w:shd w:val="clear" w:color="auto" w:fill="auto"/>
            <w:noWrap/>
            <w:vAlign w:val="center"/>
            <w:hideMark/>
          </w:tcPr>
          <w:p w14:paraId="62E65D3A"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w:t>
            </w:r>
          </w:p>
        </w:tc>
        <w:tc>
          <w:tcPr>
            <w:tcW w:w="367" w:type="pct"/>
            <w:tcBorders>
              <w:top w:val="nil"/>
              <w:left w:val="nil"/>
              <w:bottom w:val="nil"/>
              <w:right w:val="nil"/>
            </w:tcBorders>
            <w:shd w:val="clear" w:color="auto" w:fill="F2F2F2"/>
            <w:noWrap/>
            <w:vAlign w:val="center"/>
            <w:hideMark/>
          </w:tcPr>
          <w:p w14:paraId="3A937734"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w:t>
            </w:r>
          </w:p>
        </w:tc>
        <w:tc>
          <w:tcPr>
            <w:tcW w:w="366" w:type="pct"/>
            <w:tcBorders>
              <w:top w:val="nil"/>
              <w:left w:val="nil"/>
              <w:bottom w:val="nil"/>
              <w:right w:val="nil"/>
            </w:tcBorders>
            <w:shd w:val="clear" w:color="auto" w:fill="auto"/>
            <w:noWrap/>
            <w:vAlign w:val="center"/>
            <w:hideMark/>
          </w:tcPr>
          <w:p w14:paraId="4650C667"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F2F2F2"/>
            <w:noWrap/>
            <w:vAlign w:val="center"/>
            <w:hideMark/>
          </w:tcPr>
          <w:p w14:paraId="23D84652"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auto"/>
            <w:noWrap/>
            <w:vAlign w:val="center"/>
            <w:hideMark/>
          </w:tcPr>
          <w:p w14:paraId="3B0E76A8"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F2F2F2"/>
            <w:noWrap/>
            <w:vAlign w:val="center"/>
            <w:hideMark/>
          </w:tcPr>
          <w:p w14:paraId="34EACDB8"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auto"/>
            <w:noWrap/>
            <w:vAlign w:val="center"/>
            <w:hideMark/>
          </w:tcPr>
          <w:p w14:paraId="2EE2D8A6"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2</w:t>
            </w:r>
          </w:p>
        </w:tc>
        <w:tc>
          <w:tcPr>
            <w:tcW w:w="366" w:type="pct"/>
            <w:tcBorders>
              <w:top w:val="nil"/>
              <w:left w:val="nil"/>
              <w:bottom w:val="nil"/>
              <w:right w:val="nil"/>
            </w:tcBorders>
            <w:shd w:val="clear" w:color="auto" w:fill="F2F2F2"/>
            <w:noWrap/>
            <w:vAlign w:val="center"/>
            <w:hideMark/>
          </w:tcPr>
          <w:p w14:paraId="4F9E12C0"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w:t>
            </w:r>
          </w:p>
        </w:tc>
        <w:tc>
          <w:tcPr>
            <w:tcW w:w="385" w:type="pct"/>
            <w:tcBorders>
              <w:top w:val="nil"/>
              <w:left w:val="nil"/>
              <w:bottom w:val="nil"/>
              <w:right w:val="nil"/>
            </w:tcBorders>
            <w:shd w:val="clear" w:color="auto" w:fill="auto"/>
            <w:noWrap/>
            <w:vAlign w:val="center"/>
            <w:hideMark/>
          </w:tcPr>
          <w:p w14:paraId="7E421D4C"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w:t>
            </w:r>
          </w:p>
        </w:tc>
        <w:tc>
          <w:tcPr>
            <w:tcW w:w="385" w:type="pct"/>
            <w:tcBorders>
              <w:top w:val="nil"/>
              <w:left w:val="nil"/>
              <w:bottom w:val="nil"/>
              <w:right w:val="nil"/>
            </w:tcBorders>
            <w:shd w:val="clear" w:color="auto" w:fill="F2F2F2"/>
            <w:noWrap/>
            <w:vAlign w:val="center"/>
            <w:hideMark/>
          </w:tcPr>
          <w:p w14:paraId="496AECBD"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85" w:type="pct"/>
            <w:tcBorders>
              <w:top w:val="nil"/>
              <w:left w:val="nil"/>
              <w:bottom w:val="nil"/>
              <w:right w:val="nil"/>
            </w:tcBorders>
            <w:shd w:val="clear" w:color="auto" w:fill="auto"/>
            <w:noWrap/>
            <w:vAlign w:val="center"/>
            <w:hideMark/>
          </w:tcPr>
          <w:p w14:paraId="2608D984"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4</w:t>
            </w:r>
          </w:p>
        </w:tc>
        <w:tc>
          <w:tcPr>
            <w:tcW w:w="385" w:type="pct"/>
            <w:tcBorders>
              <w:top w:val="nil"/>
              <w:left w:val="nil"/>
              <w:bottom w:val="nil"/>
              <w:right w:val="nil"/>
            </w:tcBorders>
            <w:shd w:val="clear" w:color="auto" w:fill="F2F2F2"/>
            <w:noWrap/>
            <w:vAlign w:val="center"/>
            <w:hideMark/>
          </w:tcPr>
          <w:p w14:paraId="3C8D620A"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2</w:t>
            </w:r>
          </w:p>
        </w:tc>
      </w:tr>
      <w:tr w:rsidR="00D3721D" w:rsidRPr="00D3721D" w14:paraId="7A333348" w14:textId="77777777" w:rsidTr="00FD5861">
        <w:trPr>
          <w:trHeight w:val="227"/>
        </w:trPr>
        <w:tc>
          <w:tcPr>
            <w:tcW w:w="531" w:type="pct"/>
            <w:tcBorders>
              <w:top w:val="nil"/>
              <w:left w:val="nil"/>
              <w:bottom w:val="nil"/>
              <w:right w:val="nil"/>
            </w:tcBorders>
            <w:shd w:val="clear" w:color="000000" w:fill="FFFFFF"/>
            <w:noWrap/>
            <w:vAlign w:val="center"/>
            <w:hideMark/>
          </w:tcPr>
          <w:p w14:paraId="17DF1D8D" w14:textId="77777777" w:rsidR="00D3721D" w:rsidRPr="00D3721D" w:rsidRDefault="00D3721D" w:rsidP="009F768E">
            <w:pPr>
              <w:spacing w:after="0" w:line="240" w:lineRule="auto"/>
              <w:jc w:val="left"/>
              <w:rPr>
                <w:rFonts w:ascii="Arial" w:hAnsi="Arial" w:cs="Arial"/>
                <w:color w:val="auto"/>
                <w:sz w:val="16"/>
                <w:szCs w:val="16"/>
              </w:rPr>
            </w:pPr>
            <w:r w:rsidRPr="00D3721D">
              <w:rPr>
                <w:rFonts w:ascii="Arial" w:hAnsi="Arial" w:cs="Arial"/>
                <w:color w:val="auto"/>
                <w:sz w:val="16"/>
                <w:szCs w:val="16"/>
              </w:rPr>
              <w:t xml:space="preserve"> Withdrawn </w:t>
            </w:r>
          </w:p>
        </w:tc>
        <w:tc>
          <w:tcPr>
            <w:tcW w:w="367" w:type="pct"/>
            <w:tcBorders>
              <w:top w:val="nil"/>
              <w:left w:val="nil"/>
              <w:bottom w:val="nil"/>
              <w:right w:val="nil"/>
            </w:tcBorders>
            <w:shd w:val="clear" w:color="auto" w:fill="auto"/>
            <w:noWrap/>
            <w:vAlign w:val="center"/>
            <w:hideMark/>
          </w:tcPr>
          <w:p w14:paraId="657D5D66"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3</w:t>
            </w:r>
          </w:p>
        </w:tc>
        <w:tc>
          <w:tcPr>
            <w:tcW w:w="367" w:type="pct"/>
            <w:tcBorders>
              <w:top w:val="nil"/>
              <w:left w:val="nil"/>
              <w:bottom w:val="nil"/>
              <w:right w:val="nil"/>
            </w:tcBorders>
            <w:shd w:val="clear" w:color="auto" w:fill="F2F2F2"/>
            <w:noWrap/>
            <w:vAlign w:val="center"/>
            <w:hideMark/>
          </w:tcPr>
          <w:p w14:paraId="1574EE38"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6</w:t>
            </w:r>
          </w:p>
        </w:tc>
        <w:tc>
          <w:tcPr>
            <w:tcW w:w="366" w:type="pct"/>
            <w:tcBorders>
              <w:top w:val="nil"/>
              <w:left w:val="nil"/>
              <w:bottom w:val="nil"/>
              <w:right w:val="nil"/>
            </w:tcBorders>
            <w:shd w:val="clear" w:color="auto" w:fill="auto"/>
            <w:noWrap/>
            <w:vAlign w:val="center"/>
            <w:hideMark/>
          </w:tcPr>
          <w:p w14:paraId="41E39DDB"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F2F2F2"/>
            <w:noWrap/>
            <w:vAlign w:val="center"/>
            <w:hideMark/>
          </w:tcPr>
          <w:p w14:paraId="542BA749"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0</w:t>
            </w:r>
          </w:p>
        </w:tc>
        <w:tc>
          <w:tcPr>
            <w:tcW w:w="366" w:type="pct"/>
            <w:tcBorders>
              <w:top w:val="nil"/>
              <w:left w:val="nil"/>
              <w:bottom w:val="nil"/>
              <w:right w:val="nil"/>
            </w:tcBorders>
            <w:shd w:val="clear" w:color="auto" w:fill="auto"/>
            <w:noWrap/>
            <w:vAlign w:val="center"/>
            <w:hideMark/>
          </w:tcPr>
          <w:p w14:paraId="29BD755C"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7</w:t>
            </w:r>
          </w:p>
        </w:tc>
        <w:tc>
          <w:tcPr>
            <w:tcW w:w="366" w:type="pct"/>
            <w:tcBorders>
              <w:top w:val="nil"/>
              <w:left w:val="nil"/>
              <w:bottom w:val="nil"/>
              <w:right w:val="nil"/>
            </w:tcBorders>
            <w:shd w:val="clear" w:color="auto" w:fill="F2F2F2"/>
            <w:noWrap/>
            <w:vAlign w:val="center"/>
            <w:hideMark/>
          </w:tcPr>
          <w:p w14:paraId="644C1C18"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42</w:t>
            </w:r>
          </w:p>
        </w:tc>
        <w:tc>
          <w:tcPr>
            <w:tcW w:w="366" w:type="pct"/>
            <w:tcBorders>
              <w:top w:val="nil"/>
              <w:left w:val="nil"/>
              <w:bottom w:val="nil"/>
              <w:right w:val="nil"/>
            </w:tcBorders>
            <w:shd w:val="clear" w:color="auto" w:fill="auto"/>
            <w:noWrap/>
            <w:vAlign w:val="center"/>
            <w:hideMark/>
          </w:tcPr>
          <w:p w14:paraId="56DE9E1B"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2</w:t>
            </w:r>
          </w:p>
        </w:tc>
        <w:tc>
          <w:tcPr>
            <w:tcW w:w="366" w:type="pct"/>
            <w:tcBorders>
              <w:top w:val="nil"/>
              <w:left w:val="nil"/>
              <w:bottom w:val="nil"/>
              <w:right w:val="nil"/>
            </w:tcBorders>
            <w:shd w:val="clear" w:color="auto" w:fill="F2F2F2"/>
            <w:noWrap/>
            <w:vAlign w:val="center"/>
            <w:hideMark/>
          </w:tcPr>
          <w:p w14:paraId="35646666"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6</w:t>
            </w:r>
          </w:p>
        </w:tc>
        <w:tc>
          <w:tcPr>
            <w:tcW w:w="385" w:type="pct"/>
            <w:tcBorders>
              <w:top w:val="nil"/>
              <w:left w:val="nil"/>
              <w:bottom w:val="nil"/>
              <w:right w:val="nil"/>
            </w:tcBorders>
            <w:shd w:val="clear" w:color="auto" w:fill="auto"/>
            <w:noWrap/>
            <w:vAlign w:val="center"/>
            <w:hideMark/>
          </w:tcPr>
          <w:p w14:paraId="67B922CE"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3</w:t>
            </w:r>
          </w:p>
        </w:tc>
        <w:tc>
          <w:tcPr>
            <w:tcW w:w="385" w:type="pct"/>
            <w:tcBorders>
              <w:top w:val="nil"/>
              <w:left w:val="nil"/>
              <w:bottom w:val="nil"/>
              <w:right w:val="nil"/>
            </w:tcBorders>
            <w:shd w:val="clear" w:color="auto" w:fill="F2F2F2"/>
            <w:noWrap/>
            <w:vAlign w:val="center"/>
            <w:hideMark/>
          </w:tcPr>
          <w:p w14:paraId="44792B2D"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11</w:t>
            </w:r>
          </w:p>
        </w:tc>
        <w:tc>
          <w:tcPr>
            <w:tcW w:w="385" w:type="pct"/>
            <w:tcBorders>
              <w:top w:val="nil"/>
              <w:left w:val="nil"/>
              <w:bottom w:val="nil"/>
              <w:right w:val="nil"/>
            </w:tcBorders>
            <w:shd w:val="clear" w:color="auto" w:fill="auto"/>
            <w:noWrap/>
            <w:vAlign w:val="center"/>
            <w:hideMark/>
          </w:tcPr>
          <w:p w14:paraId="777A3E3A"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15</w:t>
            </w:r>
          </w:p>
        </w:tc>
        <w:tc>
          <w:tcPr>
            <w:tcW w:w="385" w:type="pct"/>
            <w:tcBorders>
              <w:top w:val="nil"/>
              <w:left w:val="nil"/>
              <w:bottom w:val="nil"/>
              <w:right w:val="nil"/>
            </w:tcBorders>
            <w:shd w:val="clear" w:color="auto" w:fill="F2F2F2"/>
            <w:noWrap/>
            <w:vAlign w:val="center"/>
            <w:hideMark/>
          </w:tcPr>
          <w:p w14:paraId="27B231F4"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65</w:t>
            </w:r>
          </w:p>
        </w:tc>
      </w:tr>
      <w:tr w:rsidR="00D3721D" w:rsidRPr="00D3721D" w14:paraId="1643A506" w14:textId="77777777" w:rsidTr="00FD5861">
        <w:trPr>
          <w:trHeight w:val="227"/>
        </w:trPr>
        <w:tc>
          <w:tcPr>
            <w:tcW w:w="531" w:type="pct"/>
            <w:tcBorders>
              <w:top w:val="nil"/>
              <w:left w:val="nil"/>
              <w:bottom w:val="nil"/>
              <w:right w:val="nil"/>
            </w:tcBorders>
            <w:shd w:val="clear" w:color="000000" w:fill="FFFFFF"/>
            <w:noWrap/>
            <w:vAlign w:val="center"/>
            <w:hideMark/>
          </w:tcPr>
          <w:p w14:paraId="1943429A" w14:textId="77777777" w:rsidR="00D3721D" w:rsidRPr="00D3721D" w:rsidRDefault="00D3721D" w:rsidP="00D3721D">
            <w:pPr>
              <w:spacing w:after="0" w:line="240" w:lineRule="auto"/>
              <w:jc w:val="left"/>
              <w:rPr>
                <w:rFonts w:ascii="Arial" w:hAnsi="Arial" w:cs="Arial"/>
                <w:color w:val="auto"/>
                <w:sz w:val="16"/>
                <w:szCs w:val="16"/>
              </w:rPr>
            </w:pPr>
            <w:r w:rsidRPr="00D3721D">
              <w:rPr>
                <w:rFonts w:ascii="Arial" w:hAnsi="Arial" w:cs="Arial"/>
                <w:color w:val="auto"/>
                <w:sz w:val="16"/>
                <w:szCs w:val="16"/>
              </w:rPr>
              <w:t> </w:t>
            </w:r>
          </w:p>
        </w:tc>
        <w:tc>
          <w:tcPr>
            <w:tcW w:w="367" w:type="pct"/>
            <w:tcBorders>
              <w:top w:val="nil"/>
              <w:left w:val="nil"/>
              <w:bottom w:val="nil"/>
              <w:right w:val="nil"/>
            </w:tcBorders>
            <w:shd w:val="clear" w:color="auto" w:fill="auto"/>
            <w:noWrap/>
            <w:vAlign w:val="center"/>
            <w:hideMark/>
          </w:tcPr>
          <w:p w14:paraId="445EC1B9" w14:textId="77777777" w:rsidR="00D3721D" w:rsidRPr="00D3721D" w:rsidRDefault="00D3721D" w:rsidP="00D3721D">
            <w:pPr>
              <w:spacing w:after="0" w:line="240" w:lineRule="auto"/>
              <w:jc w:val="left"/>
              <w:rPr>
                <w:rFonts w:ascii="Arial" w:hAnsi="Arial" w:cs="Arial"/>
                <w:color w:val="auto"/>
                <w:sz w:val="16"/>
                <w:szCs w:val="16"/>
              </w:rPr>
            </w:pPr>
          </w:p>
        </w:tc>
        <w:tc>
          <w:tcPr>
            <w:tcW w:w="367" w:type="pct"/>
            <w:tcBorders>
              <w:top w:val="nil"/>
              <w:left w:val="nil"/>
              <w:bottom w:val="nil"/>
              <w:right w:val="nil"/>
            </w:tcBorders>
            <w:shd w:val="clear" w:color="auto" w:fill="F2F2F2"/>
            <w:noWrap/>
            <w:vAlign w:val="center"/>
            <w:hideMark/>
          </w:tcPr>
          <w:p w14:paraId="023A9D65"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66" w:type="pct"/>
            <w:tcBorders>
              <w:top w:val="nil"/>
              <w:left w:val="nil"/>
              <w:bottom w:val="nil"/>
              <w:right w:val="nil"/>
            </w:tcBorders>
            <w:shd w:val="clear" w:color="auto" w:fill="auto"/>
            <w:noWrap/>
            <w:vAlign w:val="center"/>
            <w:hideMark/>
          </w:tcPr>
          <w:p w14:paraId="1DB4CE3C" w14:textId="77777777" w:rsidR="00D3721D" w:rsidRPr="00D3721D" w:rsidRDefault="00D3721D" w:rsidP="00D3721D">
            <w:pPr>
              <w:spacing w:after="0" w:line="240" w:lineRule="auto"/>
              <w:jc w:val="right"/>
              <w:rPr>
                <w:rFonts w:ascii="Arial" w:hAnsi="Arial" w:cs="Arial"/>
                <w:color w:val="auto"/>
                <w:sz w:val="16"/>
                <w:szCs w:val="16"/>
              </w:rPr>
            </w:pPr>
          </w:p>
        </w:tc>
        <w:tc>
          <w:tcPr>
            <w:tcW w:w="366" w:type="pct"/>
            <w:tcBorders>
              <w:top w:val="nil"/>
              <w:left w:val="nil"/>
              <w:bottom w:val="nil"/>
              <w:right w:val="nil"/>
            </w:tcBorders>
            <w:shd w:val="clear" w:color="auto" w:fill="F2F2F2"/>
            <w:noWrap/>
            <w:vAlign w:val="center"/>
            <w:hideMark/>
          </w:tcPr>
          <w:p w14:paraId="3C58A386"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66" w:type="pct"/>
            <w:tcBorders>
              <w:top w:val="nil"/>
              <w:left w:val="nil"/>
              <w:bottom w:val="nil"/>
              <w:right w:val="nil"/>
            </w:tcBorders>
            <w:shd w:val="clear" w:color="auto" w:fill="auto"/>
            <w:noWrap/>
            <w:vAlign w:val="center"/>
            <w:hideMark/>
          </w:tcPr>
          <w:p w14:paraId="2F86205A" w14:textId="77777777" w:rsidR="00D3721D" w:rsidRPr="00D3721D" w:rsidRDefault="00D3721D" w:rsidP="00D3721D">
            <w:pPr>
              <w:spacing w:after="0" w:line="240" w:lineRule="auto"/>
              <w:jc w:val="right"/>
              <w:rPr>
                <w:rFonts w:ascii="Arial" w:hAnsi="Arial" w:cs="Arial"/>
                <w:color w:val="auto"/>
                <w:sz w:val="16"/>
                <w:szCs w:val="16"/>
              </w:rPr>
            </w:pPr>
          </w:p>
        </w:tc>
        <w:tc>
          <w:tcPr>
            <w:tcW w:w="366" w:type="pct"/>
            <w:tcBorders>
              <w:top w:val="nil"/>
              <w:left w:val="nil"/>
              <w:bottom w:val="nil"/>
              <w:right w:val="nil"/>
            </w:tcBorders>
            <w:shd w:val="clear" w:color="auto" w:fill="F2F2F2"/>
            <w:noWrap/>
            <w:vAlign w:val="center"/>
            <w:hideMark/>
          </w:tcPr>
          <w:p w14:paraId="4793D9E9"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66" w:type="pct"/>
            <w:tcBorders>
              <w:top w:val="nil"/>
              <w:left w:val="nil"/>
              <w:bottom w:val="nil"/>
              <w:right w:val="nil"/>
            </w:tcBorders>
            <w:shd w:val="clear" w:color="auto" w:fill="auto"/>
            <w:noWrap/>
            <w:vAlign w:val="center"/>
            <w:hideMark/>
          </w:tcPr>
          <w:p w14:paraId="0E1BA8D9" w14:textId="77777777" w:rsidR="00D3721D" w:rsidRPr="00D3721D" w:rsidRDefault="00D3721D" w:rsidP="00D3721D">
            <w:pPr>
              <w:spacing w:after="0" w:line="240" w:lineRule="auto"/>
              <w:jc w:val="right"/>
              <w:rPr>
                <w:rFonts w:ascii="Arial" w:hAnsi="Arial" w:cs="Arial"/>
                <w:color w:val="auto"/>
                <w:sz w:val="16"/>
                <w:szCs w:val="16"/>
              </w:rPr>
            </w:pPr>
          </w:p>
        </w:tc>
        <w:tc>
          <w:tcPr>
            <w:tcW w:w="366" w:type="pct"/>
            <w:tcBorders>
              <w:top w:val="nil"/>
              <w:left w:val="nil"/>
              <w:bottom w:val="nil"/>
              <w:right w:val="nil"/>
            </w:tcBorders>
            <w:shd w:val="clear" w:color="auto" w:fill="F2F2F2"/>
            <w:noWrap/>
            <w:vAlign w:val="center"/>
            <w:hideMark/>
          </w:tcPr>
          <w:p w14:paraId="56294135"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85" w:type="pct"/>
            <w:tcBorders>
              <w:top w:val="nil"/>
              <w:left w:val="nil"/>
              <w:bottom w:val="nil"/>
              <w:right w:val="nil"/>
            </w:tcBorders>
            <w:shd w:val="clear" w:color="auto" w:fill="auto"/>
            <w:noWrap/>
            <w:vAlign w:val="center"/>
            <w:hideMark/>
          </w:tcPr>
          <w:p w14:paraId="07B766D3" w14:textId="77777777" w:rsidR="00D3721D" w:rsidRPr="00D3721D" w:rsidRDefault="00D3721D" w:rsidP="00D3721D">
            <w:pPr>
              <w:spacing w:after="0" w:line="240" w:lineRule="auto"/>
              <w:jc w:val="right"/>
              <w:rPr>
                <w:rFonts w:ascii="Arial" w:hAnsi="Arial" w:cs="Arial"/>
                <w:color w:val="auto"/>
                <w:sz w:val="16"/>
                <w:szCs w:val="16"/>
              </w:rPr>
            </w:pPr>
          </w:p>
        </w:tc>
        <w:tc>
          <w:tcPr>
            <w:tcW w:w="385" w:type="pct"/>
            <w:tcBorders>
              <w:top w:val="nil"/>
              <w:left w:val="nil"/>
              <w:bottom w:val="nil"/>
              <w:right w:val="nil"/>
            </w:tcBorders>
            <w:shd w:val="clear" w:color="auto" w:fill="F2F2F2"/>
            <w:noWrap/>
            <w:vAlign w:val="center"/>
            <w:hideMark/>
          </w:tcPr>
          <w:p w14:paraId="21F05497"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85" w:type="pct"/>
            <w:tcBorders>
              <w:top w:val="nil"/>
              <w:left w:val="nil"/>
              <w:bottom w:val="nil"/>
              <w:right w:val="nil"/>
            </w:tcBorders>
            <w:shd w:val="clear" w:color="auto" w:fill="auto"/>
            <w:noWrap/>
            <w:vAlign w:val="center"/>
            <w:hideMark/>
          </w:tcPr>
          <w:p w14:paraId="1BE9F794" w14:textId="77777777" w:rsidR="00D3721D" w:rsidRPr="00D3721D" w:rsidRDefault="00D3721D" w:rsidP="00D3721D">
            <w:pPr>
              <w:spacing w:after="0" w:line="240" w:lineRule="auto"/>
              <w:jc w:val="right"/>
              <w:rPr>
                <w:rFonts w:ascii="Arial" w:hAnsi="Arial" w:cs="Arial"/>
                <w:color w:val="auto"/>
                <w:sz w:val="16"/>
                <w:szCs w:val="16"/>
              </w:rPr>
            </w:pPr>
          </w:p>
        </w:tc>
        <w:tc>
          <w:tcPr>
            <w:tcW w:w="385" w:type="pct"/>
            <w:tcBorders>
              <w:top w:val="nil"/>
              <w:left w:val="nil"/>
              <w:bottom w:val="nil"/>
              <w:right w:val="nil"/>
            </w:tcBorders>
            <w:shd w:val="clear" w:color="auto" w:fill="F2F2F2"/>
            <w:noWrap/>
            <w:vAlign w:val="center"/>
            <w:hideMark/>
          </w:tcPr>
          <w:p w14:paraId="79CBB09E" w14:textId="77777777" w:rsidR="00D3721D" w:rsidRPr="00D3721D" w:rsidRDefault="00D3721D" w:rsidP="00D3721D">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r>
      <w:tr w:rsidR="00D3721D" w:rsidRPr="00D3721D" w14:paraId="6863DF33" w14:textId="77777777" w:rsidTr="00581E71">
        <w:trPr>
          <w:trHeight w:val="227"/>
        </w:trPr>
        <w:tc>
          <w:tcPr>
            <w:tcW w:w="531" w:type="pct"/>
            <w:tcBorders>
              <w:top w:val="nil"/>
              <w:left w:val="nil"/>
              <w:bottom w:val="single" w:sz="4" w:space="0" w:color="000000"/>
              <w:right w:val="nil"/>
            </w:tcBorders>
            <w:shd w:val="clear" w:color="000000" w:fill="FFFFFF"/>
            <w:noWrap/>
            <w:vAlign w:val="center"/>
            <w:hideMark/>
          </w:tcPr>
          <w:p w14:paraId="3C1E81F7" w14:textId="77777777" w:rsidR="00D3721D" w:rsidRPr="00D3721D" w:rsidRDefault="00D3721D" w:rsidP="00D3721D">
            <w:pPr>
              <w:spacing w:after="0" w:line="240" w:lineRule="auto"/>
              <w:jc w:val="left"/>
              <w:rPr>
                <w:rFonts w:ascii="Arial" w:hAnsi="Arial" w:cs="Arial"/>
                <w:b/>
                <w:bCs/>
                <w:color w:val="auto"/>
                <w:sz w:val="16"/>
                <w:szCs w:val="16"/>
              </w:rPr>
            </w:pPr>
            <w:r w:rsidRPr="00D3721D">
              <w:rPr>
                <w:rFonts w:ascii="Arial" w:hAnsi="Arial" w:cs="Arial"/>
                <w:b/>
                <w:bCs/>
                <w:color w:val="auto"/>
                <w:sz w:val="16"/>
                <w:szCs w:val="16"/>
              </w:rPr>
              <w:t xml:space="preserve"> Total considered </w:t>
            </w:r>
          </w:p>
        </w:tc>
        <w:tc>
          <w:tcPr>
            <w:tcW w:w="367" w:type="pct"/>
            <w:tcBorders>
              <w:top w:val="nil"/>
              <w:left w:val="nil"/>
              <w:bottom w:val="single" w:sz="4" w:space="0" w:color="000000"/>
              <w:right w:val="nil"/>
            </w:tcBorders>
            <w:shd w:val="clear" w:color="auto" w:fill="auto"/>
            <w:noWrap/>
            <w:vAlign w:val="center"/>
            <w:hideMark/>
          </w:tcPr>
          <w:p w14:paraId="796CAFB4"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17</w:t>
            </w:r>
          </w:p>
        </w:tc>
        <w:tc>
          <w:tcPr>
            <w:tcW w:w="367" w:type="pct"/>
            <w:tcBorders>
              <w:top w:val="nil"/>
              <w:left w:val="nil"/>
              <w:bottom w:val="single" w:sz="4" w:space="0" w:color="000000"/>
              <w:right w:val="nil"/>
            </w:tcBorders>
            <w:shd w:val="clear" w:color="auto" w:fill="F2F2F2"/>
            <w:noWrap/>
            <w:vAlign w:val="center"/>
            <w:hideMark/>
          </w:tcPr>
          <w:p w14:paraId="599D7776"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24</w:t>
            </w:r>
          </w:p>
        </w:tc>
        <w:tc>
          <w:tcPr>
            <w:tcW w:w="366" w:type="pct"/>
            <w:tcBorders>
              <w:top w:val="nil"/>
              <w:left w:val="nil"/>
              <w:bottom w:val="single" w:sz="4" w:space="0" w:color="000000"/>
              <w:right w:val="nil"/>
            </w:tcBorders>
            <w:shd w:val="clear" w:color="auto" w:fill="auto"/>
            <w:noWrap/>
            <w:vAlign w:val="center"/>
            <w:hideMark/>
          </w:tcPr>
          <w:p w14:paraId="08FCD970"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0</w:t>
            </w:r>
          </w:p>
        </w:tc>
        <w:tc>
          <w:tcPr>
            <w:tcW w:w="366" w:type="pct"/>
            <w:tcBorders>
              <w:top w:val="nil"/>
              <w:left w:val="nil"/>
              <w:bottom w:val="single" w:sz="4" w:space="0" w:color="000000"/>
              <w:right w:val="nil"/>
            </w:tcBorders>
            <w:shd w:val="clear" w:color="auto" w:fill="F2F2F2"/>
            <w:noWrap/>
            <w:vAlign w:val="center"/>
            <w:hideMark/>
          </w:tcPr>
          <w:p w14:paraId="672E62EB"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0</w:t>
            </w:r>
          </w:p>
        </w:tc>
        <w:tc>
          <w:tcPr>
            <w:tcW w:w="366" w:type="pct"/>
            <w:tcBorders>
              <w:top w:val="nil"/>
              <w:left w:val="nil"/>
              <w:bottom w:val="single" w:sz="4" w:space="0" w:color="000000"/>
              <w:right w:val="nil"/>
            </w:tcBorders>
            <w:shd w:val="clear" w:color="auto" w:fill="auto"/>
            <w:noWrap/>
            <w:vAlign w:val="center"/>
            <w:hideMark/>
          </w:tcPr>
          <w:p w14:paraId="7995CB47"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309</w:t>
            </w:r>
          </w:p>
        </w:tc>
        <w:tc>
          <w:tcPr>
            <w:tcW w:w="366" w:type="pct"/>
            <w:tcBorders>
              <w:top w:val="nil"/>
              <w:left w:val="nil"/>
              <w:bottom w:val="single" w:sz="4" w:space="0" w:color="000000"/>
              <w:right w:val="nil"/>
            </w:tcBorders>
            <w:shd w:val="clear" w:color="auto" w:fill="F2F2F2"/>
            <w:noWrap/>
            <w:vAlign w:val="center"/>
            <w:hideMark/>
          </w:tcPr>
          <w:p w14:paraId="02A450F1"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254</w:t>
            </w:r>
          </w:p>
        </w:tc>
        <w:tc>
          <w:tcPr>
            <w:tcW w:w="366" w:type="pct"/>
            <w:tcBorders>
              <w:top w:val="nil"/>
              <w:left w:val="nil"/>
              <w:bottom w:val="single" w:sz="4" w:space="0" w:color="000000"/>
              <w:right w:val="nil"/>
            </w:tcBorders>
            <w:shd w:val="clear" w:color="auto" w:fill="auto"/>
            <w:noWrap/>
            <w:vAlign w:val="center"/>
            <w:hideMark/>
          </w:tcPr>
          <w:p w14:paraId="74C1E1A0"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18</w:t>
            </w:r>
          </w:p>
        </w:tc>
        <w:tc>
          <w:tcPr>
            <w:tcW w:w="366" w:type="pct"/>
            <w:tcBorders>
              <w:top w:val="nil"/>
              <w:left w:val="nil"/>
              <w:bottom w:val="single" w:sz="4" w:space="0" w:color="000000"/>
              <w:right w:val="nil"/>
            </w:tcBorders>
            <w:shd w:val="clear" w:color="auto" w:fill="F2F2F2"/>
            <w:noWrap/>
            <w:vAlign w:val="center"/>
            <w:hideMark/>
          </w:tcPr>
          <w:p w14:paraId="4CF99A2F"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34</w:t>
            </w:r>
          </w:p>
        </w:tc>
        <w:tc>
          <w:tcPr>
            <w:tcW w:w="385" w:type="pct"/>
            <w:tcBorders>
              <w:top w:val="nil"/>
              <w:left w:val="nil"/>
              <w:bottom w:val="single" w:sz="4" w:space="0" w:color="000000"/>
              <w:right w:val="nil"/>
            </w:tcBorders>
            <w:shd w:val="clear" w:color="auto" w:fill="auto"/>
            <w:noWrap/>
            <w:vAlign w:val="center"/>
            <w:hideMark/>
          </w:tcPr>
          <w:p w14:paraId="1E9CCC93"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35</w:t>
            </w:r>
          </w:p>
        </w:tc>
        <w:tc>
          <w:tcPr>
            <w:tcW w:w="385" w:type="pct"/>
            <w:tcBorders>
              <w:top w:val="nil"/>
              <w:left w:val="nil"/>
              <w:bottom w:val="single" w:sz="4" w:space="0" w:color="000000"/>
              <w:right w:val="nil"/>
            </w:tcBorders>
            <w:shd w:val="clear" w:color="auto" w:fill="F2F2F2"/>
            <w:noWrap/>
            <w:vAlign w:val="center"/>
            <w:hideMark/>
          </w:tcPr>
          <w:p w14:paraId="0060F288"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29</w:t>
            </w:r>
          </w:p>
        </w:tc>
        <w:tc>
          <w:tcPr>
            <w:tcW w:w="385" w:type="pct"/>
            <w:tcBorders>
              <w:top w:val="nil"/>
              <w:left w:val="nil"/>
              <w:bottom w:val="single" w:sz="4" w:space="0" w:color="auto"/>
              <w:right w:val="nil"/>
            </w:tcBorders>
            <w:shd w:val="clear" w:color="auto" w:fill="auto"/>
            <w:noWrap/>
            <w:vAlign w:val="center"/>
            <w:hideMark/>
          </w:tcPr>
          <w:p w14:paraId="2244F7B1"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379</w:t>
            </w:r>
          </w:p>
        </w:tc>
        <w:tc>
          <w:tcPr>
            <w:tcW w:w="385" w:type="pct"/>
            <w:tcBorders>
              <w:top w:val="nil"/>
              <w:left w:val="nil"/>
              <w:bottom w:val="single" w:sz="4" w:space="0" w:color="auto"/>
              <w:right w:val="nil"/>
            </w:tcBorders>
            <w:shd w:val="clear" w:color="auto" w:fill="F2F2F2"/>
            <w:noWrap/>
            <w:vAlign w:val="center"/>
            <w:hideMark/>
          </w:tcPr>
          <w:p w14:paraId="4ADF0231" w14:textId="77777777" w:rsidR="00D3721D" w:rsidRPr="00D3721D" w:rsidRDefault="00D3721D" w:rsidP="00D3721D">
            <w:pPr>
              <w:spacing w:after="0" w:line="240" w:lineRule="auto"/>
              <w:jc w:val="right"/>
              <w:rPr>
                <w:rFonts w:ascii="Arial" w:hAnsi="Arial" w:cs="Arial"/>
                <w:b/>
                <w:bCs/>
                <w:color w:val="auto"/>
                <w:sz w:val="16"/>
                <w:szCs w:val="16"/>
              </w:rPr>
            </w:pPr>
            <w:r w:rsidRPr="00D3721D">
              <w:rPr>
                <w:rFonts w:ascii="Arial" w:hAnsi="Arial" w:cs="Arial"/>
                <w:b/>
                <w:bCs/>
                <w:color w:val="auto"/>
                <w:sz w:val="16"/>
                <w:szCs w:val="16"/>
              </w:rPr>
              <w:t>341</w:t>
            </w:r>
          </w:p>
        </w:tc>
      </w:tr>
    </w:tbl>
    <w:p w14:paraId="5A7699B7" w14:textId="77777777" w:rsidR="0040739B" w:rsidRDefault="0040739B" w:rsidP="00FD5861">
      <w:pPr>
        <w:pStyle w:val="SingleParagraph"/>
      </w:pPr>
    </w:p>
    <w:p w14:paraId="12F3FACB" w14:textId="77777777" w:rsidR="009E4F4E" w:rsidRDefault="0064177C" w:rsidP="005D00DA">
      <w:pPr>
        <w:pStyle w:val="TableMainHeading"/>
      </w:pPr>
      <w:bookmarkStart w:id="165" w:name="_Toc63798287"/>
      <w:bookmarkStart w:id="166" w:name="_Toc73984746"/>
      <w:r w:rsidRPr="00F01C22">
        <w:t>Table 3.1</w:t>
      </w:r>
      <w:r w:rsidR="001B57FA">
        <w:t>9</w:t>
      </w:r>
      <w:r w:rsidRPr="00F01C22">
        <w:t xml:space="preserve">: Variations approved: </w:t>
      </w:r>
      <w:r w:rsidR="00420DD4" w:rsidRPr="0064177C">
        <w:t>201</w:t>
      </w:r>
      <w:r w:rsidR="00420DD4">
        <w:t>8</w:t>
      </w:r>
      <w:r w:rsidR="00F26A86">
        <w:t>–</w:t>
      </w:r>
      <w:r w:rsidR="00420DD4" w:rsidRPr="0064177C">
        <w:t>1</w:t>
      </w:r>
      <w:r w:rsidR="00420DD4">
        <w:t>9</w:t>
      </w:r>
      <w:r w:rsidR="00420DD4" w:rsidRPr="0064177C">
        <w:t xml:space="preserve"> to 201</w:t>
      </w:r>
      <w:r w:rsidR="00420DD4">
        <w:t>9</w:t>
      </w:r>
      <w:r w:rsidR="00F26A86">
        <w:t>–</w:t>
      </w:r>
      <w:r w:rsidR="00420DD4">
        <w:t>20</w:t>
      </w:r>
      <w:r w:rsidR="00420DD4" w:rsidRPr="0064177C">
        <w:t xml:space="preserve"> </w:t>
      </w:r>
      <w:r w:rsidRPr="00F01C22">
        <w:t>(number of variations by variation reason)</w:t>
      </w:r>
      <w:bookmarkEnd w:id="165"/>
      <w:bookmarkEnd w:id="166"/>
    </w:p>
    <w:tbl>
      <w:tblPr>
        <w:tblW w:w="5000" w:type="pct"/>
        <w:tblLook w:val="04A0" w:firstRow="1" w:lastRow="0" w:firstColumn="1" w:lastColumn="0" w:noHBand="0" w:noVBand="1"/>
      </w:tblPr>
      <w:tblGrid>
        <w:gridCol w:w="1764"/>
        <w:gridCol w:w="839"/>
        <w:gridCol w:w="840"/>
        <w:gridCol w:w="839"/>
        <w:gridCol w:w="840"/>
        <w:gridCol w:w="839"/>
        <w:gridCol w:w="840"/>
        <w:gridCol w:w="839"/>
        <w:gridCol w:w="840"/>
        <w:gridCol w:w="839"/>
        <w:gridCol w:w="847"/>
        <w:gridCol w:w="873"/>
        <w:gridCol w:w="867"/>
      </w:tblGrid>
      <w:tr w:rsidR="005D00DA" w:rsidRPr="00D3721D" w14:paraId="5F7B5420" w14:textId="77777777" w:rsidTr="005D00DA">
        <w:trPr>
          <w:trHeight w:val="227"/>
        </w:trPr>
        <w:tc>
          <w:tcPr>
            <w:tcW w:w="741" w:type="pct"/>
            <w:tcBorders>
              <w:top w:val="single" w:sz="4" w:space="0" w:color="000000"/>
              <w:left w:val="nil"/>
              <w:bottom w:val="nil"/>
              <w:right w:val="nil"/>
            </w:tcBorders>
            <w:shd w:val="clear" w:color="000000" w:fill="FFFFFF"/>
            <w:noWrap/>
            <w:vAlign w:val="center"/>
            <w:hideMark/>
          </w:tcPr>
          <w:p w14:paraId="34E8F425" w14:textId="77777777" w:rsidR="005D00DA" w:rsidRPr="00D3721D" w:rsidRDefault="005D00DA" w:rsidP="00555DD2">
            <w:pPr>
              <w:spacing w:after="0" w:line="240" w:lineRule="auto"/>
              <w:jc w:val="left"/>
              <w:rPr>
                <w:rFonts w:ascii="Arial" w:hAnsi="Arial" w:cs="Arial"/>
                <w:color w:val="auto"/>
                <w:sz w:val="16"/>
                <w:szCs w:val="16"/>
              </w:rPr>
            </w:pPr>
            <w:r w:rsidRPr="00D3721D">
              <w:rPr>
                <w:rFonts w:ascii="Arial" w:hAnsi="Arial" w:cs="Arial"/>
                <w:color w:val="auto"/>
                <w:sz w:val="16"/>
                <w:szCs w:val="16"/>
              </w:rPr>
              <w:t> </w:t>
            </w:r>
          </w:p>
        </w:tc>
        <w:tc>
          <w:tcPr>
            <w:tcW w:w="1410" w:type="pct"/>
            <w:gridSpan w:val="4"/>
            <w:tcBorders>
              <w:top w:val="single" w:sz="4" w:space="0" w:color="000000"/>
              <w:left w:val="nil"/>
              <w:bottom w:val="single" w:sz="4" w:space="0" w:color="000000"/>
              <w:right w:val="nil"/>
            </w:tcBorders>
            <w:shd w:val="clear" w:color="auto" w:fill="auto"/>
            <w:vAlign w:val="bottom"/>
            <w:hideMark/>
          </w:tcPr>
          <w:p w14:paraId="67EB0455"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Variation to exemption certificate (a) </w:t>
            </w:r>
          </w:p>
        </w:tc>
        <w:tc>
          <w:tcPr>
            <w:tcW w:w="1410" w:type="pct"/>
            <w:gridSpan w:val="4"/>
            <w:tcBorders>
              <w:top w:val="single" w:sz="4" w:space="0" w:color="000000"/>
              <w:left w:val="nil"/>
              <w:bottom w:val="single" w:sz="4" w:space="0" w:color="000000"/>
              <w:right w:val="nil"/>
            </w:tcBorders>
            <w:shd w:val="clear" w:color="auto" w:fill="auto"/>
            <w:vAlign w:val="bottom"/>
            <w:hideMark/>
          </w:tcPr>
          <w:p w14:paraId="3E12295D"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Variation to Land approval (b) </w:t>
            </w:r>
          </w:p>
        </w:tc>
        <w:tc>
          <w:tcPr>
            <w:tcW w:w="708" w:type="pct"/>
            <w:gridSpan w:val="2"/>
            <w:tcBorders>
              <w:top w:val="single" w:sz="4" w:space="0" w:color="000000"/>
              <w:left w:val="nil"/>
              <w:bottom w:val="single" w:sz="4" w:space="0" w:color="000000"/>
              <w:right w:val="nil"/>
            </w:tcBorders>
            <w:shd w:val="clear" w:color="auto" w:fill="auto"/>
            <w:vAlign w:val="center"/>
            <w:hideMark/>
          </w:tcPr>
          <w:p w14:paraId="59C9B19F" w14:textId="77777777" w:rsidR="005D00DA" w:rsidRPr="00D3721D" w:rsidRDefault="005D00DA" w:rsidP="00555DD2">
            <w:pPr>
              <w:spacing w:after="0" w:line="240" w:lineRule="auto"/>
              <w:jc w:val="center"/>
              <w:rPr>
                <w:rFonts w:ascii="Arial" w:hAnsi="Arial" w:cs="Arial"/>
                <w:color w:val="auto"/>
                <w:sz w:val="16"/>
                <w:szCs w:val="16"/>
              </w:rPr>
            </w:pPr>
            <w:r>
              <w:rPr>
                <w:rFonts w:ascii="Arial" w:hAnsi="Arial" w:cs="Arial"/>
                <w:color w:val="auto"/>
                <w:sz w:val="16"/>
                <w:szCs w:val="16"/>
              </w:rPr>
              <w:t xml:space="preserve"> Variation to Other approval</w:t>
            </w:r>
            <w:r w:rsidRPr="00D3721D">
              <w:rPr>
                <w:rFonts w:ascii="Arial" w:hAnsi="Arial" w:cs="Arial"/>
                <w:color w:val="auto"/>
                <w:sz w:val="16"/>
                <w:szCs w:val="16"/>
              </w:rPr>
              <w:t xml:space="preserve"> </w:t>
            </w:r>
          </w:p>
        </w:tc>
        <w:tc>
          <w:tcPr>
            <w:tcW w:w="731" w:type="pct"/>
            <w:gridSpan w:val="2"/>
            <w:tcBorders>
              <w:top w:val="single" w:sz="4" w:space="0" w:color="000000"/>
              <w:left w:val="nil"/>
              <w:bottom w:val="single" w:sz="4" w:space="0" w:color="000000"/>
              <w:right w:val="nil"/>
            </w:tcBorders>
            <w:shd w:val="clear" w:color="auto" w:fill="auto"/>
            <w:vAlign w:val="bottom"/>
            <w:hideMark/>
          </w:tcPr>
          <w:p w14:paraId="29AFFCA0"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Total All variations </w:t>
            </w:r>
          </w:p>
        </w:tc>
      </w:tr>
      <w:tr w:rsidR="005D00DA" w:rsidRPr="00D3721D" w14:paraId="58DBE0D3" w14:textId="77777777" w:rsidTr="005D00DA">
        <w:trPr>
          <w:trHeight w:val="227"/>
        </w:trPr>
        <w:tc>
          <w:tcPr>
            <w:tcW w:w="741" w:type="pct"/>
            <w:tcBorders>
              <w:top w:val="nil"/>
              <w:left w:val="nil"/>
              <w:bottom w:val="nil"/>
              <w:right w:val="nil"/>
            </w:tcBorders>
            <w:shd w:val="clear" w:color="000000" w:fill="FFFFFF"/>
            <w:noWrap/>
            <w:vAlign w:val="center"/>
            <w:hideMark/>
          </w:tcPr>
          <w:p w14:paraId="19572CD7" w14:textId="77777777" w:rsidR="005D00DA" w:rsidRPr="00D3721D" w:rsidRDefault="005D00DA" w:rsidP="00555DD2">
            <w:pPr>
              <w:spacing w:after="0" w:line="240" w:lineRule="auto"/>
              <w:jc w:val="left"/>
              <w:rPr>
                <w:rFonts w:ascii="Arial" w:hAnsi="Arial" w:cs="Arial"/>
                <w:color w:val="auto"/>
                <w:sz w:val="16"/>
                <w:szCs w:val="16"/>
              </w:rPr>
            </w:pPr>
            <w:r w:rsidRPr="00D3721D">
              <w:rPr>
                <w:rFonts w:ascii="Arial" w:hAnsi="Arial" w:cs="Arial"/>
                <w:color w:val="auto"/>
                <w:sz w:val="16"/>
                <w:szCs w:val="16"/>
              </w:rPr>
              <w:t> </w:t>
            </w:r>
          </w:p>
        </w:tc>
        <w:tc>
          <w:tcPr>
            <w:tcW w:w="705" w:type="pct"/>
            <w:gridSpan w:val="2"/>
            <w:tcBorders>
              <w:top w:val="single" w:sz="4" w:space="0" w:color="000000"/>
              <w:left w:val="nil"/>
              <w:bottom w:val="single" w:sz="4" w:space="0" w:color="000000"/>
              <w:right w:val="nil"/>
            </w:tcBorders>
            <w:shd w:val="clear" w:color="auto" w:fill="auto"/>
            <w:vAlign w:val="bottom"/>
            <w:hideMark/>
          </w:tcPr>
          <w:p w14:paraId="405FE615"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Acquisition program certificate </w:t>
            </w:r>
          </w:p>
        </w:tc>
        <w:tc>
          <w:tcPr>
            <w:tcW w:w="705" w:type="pct"/>
            <w:gridSpan w:val="2"/>
            <w:tcBorders>
              <w:top w:val="single" w:sz="4" w:space="0" w:color="000000"/>
              <w:left w:val="nil"/>
              <w:bottom w:val="single" w:sz="4" w:space="0" w:color="000000"/>
              <w:right w:val="nil"/>
            </w:tcBorders>
            <w:shd w:val="clear" w:color="auto" w:fill="auto"/>
            <w:vAlign w:val="bottom"/>
            <w:hideMark/>
          </w:tcPr>
          <w:p w14:paraId="3A0A9363"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New dwelling certificate </w:t>
            </w:r>
          </w:p>
        </w:tc>
        <w:tc>
          <w:tcPr>
            <w:tcW w:w="705" w:type="pct"/>
            <w:gridSpan w:val="2"/>
            <w:tcBorders>
              <w:top w:val="single" w:sz="4" w:space="0" w:color="000000"/>
              <w:left w:val="nil"/>
              <w:bottom w:val="single" w:sz="4" w:space="0" w:color="000000"/>
              <w:right w:val="nil"/>
            </w:tcBorders>
            <w:shd w:val="clear" w:color="auto" w:fill="auto"/>
            <w:vAlign w:val="bottom"/>
            <w:hideMark/>
          </w:tcPr>
          <w:p w14:paraId="42C51C0D"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Residential </w:t>
            </w:r>
          </w:p>
        </w:tc>
        <w:tc>
          <w:tcPr>
            <w:tcW w:w="705" w:type="pct"/>
            <w:gridSpan w:val="2"/>
            <w:tcBorders>
              <w:top w:val="single" w:sz="4" w:space="0" w:color="000000"/>
              <w:left w:val="nil"/>
              <w:bottom w:val="single" w:sz="4" w:space="0" w:color="000000"/>
              <w:right w:val="nil"/>
            </w:tcBorders>
            <w:shd w:val="clear" w:color="auto" w:fill="auto"/>
            <w:vAlign w:val="bottom"/>
            <w:hideMark/>
          </w:tcPr>
          <w:p w14:paraId="1ED1E575"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 xml:space="preserve"> Other </w:t>
            </w:r>
          </w:p>
        </w:tc>
        <w:tc>
          <w:tcPr>
            <w:tcW w:w="352" w:type="pct"/>
            <w:tcBorders>
              <w:top w:val="nil"/>
              <w:left w:val="nil"/>
              <w:bottom w:val="nil"/>
              <w:right w:val="nil"/>
            </w:tcBorders>
            <w:shd w:val="clear" w:color="auto" w:fill="auto"/>
            <w:vAlign w:val="bottom"/>
            <w:hideMark/>
          </w:tcPr>
          <w:p w14:paraId="755C7EF6"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 </w:t>
            </w:r>
          </w:p>
        </w:tc>
        <w:tc>
          <w:tcPr>
            <w:tcW w:w="356" w:type="pct"/>
            <w:tcBorders>
              <w:top w:val="nil"/>
              <w:left w:val="nil"/>
              <w:bottom w:val="nil"/>
              <w:right w:val="nil"/>
            </w:tcBorders>
            <w:shd w:val="clear" w:color="auto" w:fill="auto"/>
            <w:vAlign w:val="bottom"/>
            <w:hideMark/>
          </w:tcPr>
          <w:p w14:paraId="787F8BD0" w14:textId="77777777" w:rsidR="005D00DA" w:rsidRPr="00D3721D" w:rsidRDefault="005D00DA" w:rsidP="00555DD2">
            <w:pPr>
              <w:spacing w:after="0" w:line="240" w:lineRule="auto"/>
              <w:jc w:val="center"/>
              <w:rPr>
                <w:rFonts w:ascii="Calibri" w:hAnsi="Calibri" w:cs="Calibri"/>
                <w:color w:val="auto"/>
                <w:sz w:val="22"/>
                <w:szCs w:val="22"/>
              </w:rPr>
            </w:pPr>
            <w:r w:rsidRPr="00D3721D">
              <w:rPr>
                <w:rFonts w:ascii="Calibri" w:hAnsi="Calibri" w:cs="Calibri"/>
                <w:color w:val="auto"/>
                <w:sz w:val="22"/>
                <w:szCs w:val="22"/>
              </w:rPr>
              <w:t> </w:t>
            </w:r>
          </w:p>
        </w:tc>
        <w:tc>
          <w:tcPr>
            <w:tcW w:w="367" w:type="pct"/>
            <w:tcBorders>
              <w:top w:val="nil"/>
              <w:left w:val="nil"/>
              <w:bottom w:val="nil"/>
              <w:right w:val="nil"/>
            </w:tcBorders>
            <w:shd w:val="clear" w:color="auto" w:fill="auto"/>
            <w:vAlign w:val="bottom"/>
            <w:hideMark/>
          </w:tcPr>
          <w:p w14:paraId="5023B2DB"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 </w:t>
            </w:r>
          </w:p>
        </w:tc>
        <w:tc>
          <w:tcPr>
            <w:tcW w:w="364" w:type="pct"/>
            <w:tcBorders>
              <w:top w:val="nil"/>
              <w:left w:val="nil"/>
              <w:bottom w:val="nil"/>
              <w:right w:val="nil"/>
            </w:tcBorders>
            <w:shd w:val="clear" w:color="auto" w:fill="auto"/>
            <w:vAlign w:val="bottom"/>
            <w:hideMark/>
          </w:tcPr>
          <w:p w14:paraId="049164FD" w14:textId="77777777" w:rsidR="005D00DA" w:rsidRPr="00D3721D" w:rsidRDefault="005D00DA" w:rsidP="00555DD2">
            <w:pPr>
              <w:spacing w:after="0" w:line="240" w:lineRule="auto"/>
              <w:jc w:val="center"/>
              <w:rPr>
                <w:rFonts w:ascii="Calibri" w:hAnsi="Calibri" w:cs="Calibri"/>
                <w:color w:val="auto"/>
                <w:sz w:val="22"/>
                <w:szCs w:val="22"/>
              </w:rPr>
            </w:pPr>
            <w:r w:rsidRPr="00D3721D">
              <w:rPr>
                <w:rFonts w:ascii="Calibri" w:hAnsi="Calibri" w:cs="Calibri"/>
                <w:color w:val="auto"/>
                <w:sz w:val="22"/>
                <w:szCs w:val="22"/>
              </w:rPr>
              <w:t> </w:t>
            </w:r>
          </w:p>
        </w:tc>
      </w:tr>
      <w:tr w:rsidR="005D00DA" w:rsidRPr="00D3721D" w14:paraId="16899E82" w14:textId="77777777" w:rsidTr="005D00DA">
        <w:trPr>
          <w:trHeight w:val="227"/>
        </w:trPr>
        <w:tc>
          <w:tcPr>
            <w:tcW w:w="741" w:type="pct"/>
            <w:tcBorders>
              <w:top w:val="nil"/>
              <w:left w:val="nil"/>
              <w:bottom w:val="nil"/>
              <w:right w:val="nil"/>
            </w:tcBorders>
            <w:shd w:val="clear" w:color="000000" w:fill="FFFFFF"/>
            <w:noWrap/>
            <w:vAlign w:val="center"/>
            <w:hideMark/>
          </w:tcPr>
          <w:p w14:paraId="064CF139" w14:textId="77777777" w:rsidR="005D00DA" w:rsidRPr="00D3721D" w:rsidRDefault="005D00DA" w:rsidP="00555DD2">
            <w:pPr>
              <w:spacing w:after="0" w:line="240" w:lineRule="auto"/>
              <w:jc w:val="left"/>
              <w:rPr>
                <w:rFonts w:ascii="Arial" w:hAnsi="Arial" w:cs="Arial"/>
                <w:color w:val="auto"/>
                <w:sz w:val="16"/>
                <w:szCs w:val="16"/>
              </w:rPr>
            </w:pPr>
            <w:r w:rsidRPr="00D3721D">
              <w:rPr>
                <w:rFonts w:ascii="Arial" w:hAnsi="Arial" w:cs="Arial"/>
                <w:color w:val="auto"/>
                <w:sz w:val="16"/>
                <w:szCs w:val="16"/>
              </w:rPr>
              <w:t> </w:t>
            </w:r>
          </w:p>
        </w:tc>
        <w:tc>
          <w:tcPr>
            <w:tcW w:w="352" w:type="pct"/>
            <w:tcBorders>
              <w:top w:val="nil"/>
              <w:left w:val="nil"/>
              <w:bottom w:val="nil"/>
              <w:right w:val="nil"/>
            </w:tcBorders>
            <w:shd w:val="clear" w:color="auto" w:fill="auto"/>
            <w:noWrap/>
            <w:vAlign w:val="center"/>
            <w:hideMark/>
          </w:tcPr>
          <w:p w14:paraId="50CEC0C4"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Pr>
                <w:rFonts w:ascii="Arial" w:hAnsi="Arial" w:cs="Arial"/>
                <w:color w:val="auto"/>
                <w:sz w:val="16"/>
                <w:szCs w:val="16"/>
              </w:rPr>
              <w:t>–19</w:t>
            </w:r>
          </w:p>
        </w:tc>
        <w:tc>
          <w:tcPr>
            <w:tcW w:w="353" w:type="pct"/>
            <w:tcBorders>
              <w:top w:val="nil"/>
              <w:left w:val="nil"/>
              <w:bottom w:val="nil"/>
              <w:right w:val="nil"/>
            </w:tcBorders>
            <w:shd w:val="clear" w:color="auto" w:fill="F2F2F2"/>
            <w:noWrap/>
            <w:vAlign w:val="center"/>
            <w:hideMark/>
          </w:tcPr>
          <w:p w14:paraId="26C60DB9"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Pr>
                <w:rFonts w:ascii="Arial" w:hAnsi="Arial" w:cs="Arial"/>
                <w:color w:val="auto"/>
                <w:sz w:val="16"/>
                <w:szCs w:val="16"/>
              </w:rPr>
              <w:t>–</w:t>
            </w:r>
            <w:r w:rsidRPr="00D3721D">
              <w:rPr>
                <w:rFonts w:ascii="Arial" w:hAnsi="Arial" w:cs="Arial"/>
                <w:color w:val="auto"/>
                <w:sz w:val="16"/>
                <w:szCs w:val="16"/>
              </w:rPr>
              <w:t>20</w:t>
            </w:r>
          </w:p>
        </w:tc>
        <w:tc>
          <w:tcPr>
            <w:tcW w:w="352" w:type="pct"/>
            <w:tcBorders>
              <w:top w:val="nil"/>
              <w:left w:val="nil"/>
              <w:bottom w:val="nil"/>
              <w:right w:val="nil"/>
            </w:tcBorders>
            <w:shd w:val="clear" w:color="auto" w:fill="auto"/>
            <w:noWrap/>
            <w:vAlign w:val="center"/>
            <w:hideMark/>
          </w:tcPr>
          <w:p w14:paraId="170948FA"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Pr>
                <w:rFonts w:ascii="Arial" w:hAnsi="Arial" w:cs="Arial"/>
                <w:color w:val="auto"/>
                <w:sz w:val="16"/>
                <w:szCs w:val="16"/>
              </w:rPr>
              <w:t>–</w:t>
            </w:r>
            <w:r w:rsidRPr="00D3721D">
              <w:rPr>
                <w:rFonts w:ascii="Arial" w:hAnsi="Arial" w:cs="Arial"/>
                <w:color w:val="auto"/>
                <w:sz w:val="16"/>
                <w:szCs w:val="16"/>
              </w:rPr>
              <w:t>19</w:t>
            </w:r>
          </w:p>
        </w:tc>
        <w:tc>
          <w:tcPr>
            <w:tcW w:w="353" w:type="pct"/>
            <w:tcBorders>
              <w:top w:val="nil"/>
              <w:left w:val="nil"/>
              <w:bottom w:val="nil"/>
              <w:right w:val="nil"/>
            </w:tcBorders>
            <w:shd w:val="clear" w:color="auto" w:fill="F2F2F2"/>
            <w:noWrap/>
            <w:vAlign w:val="center"/>
            <w:hideMark/>
          </w:tcPr>
          <w:p w14:paraId="5A415F55"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Pr>
                <w:rFonts w:ascii="Arial" w:hAnsi="Arial" w:cs="Arial"/>
                <w:color w:val="auto"/>
                <w:sz w:val="16"/>
                <w:szCs w:val="16"/>
              </w:rPr>
              <w:t>–</w:t>
            </w:r>
            <w:r w:rsidRPr="00D3721D">
              <w:rPr>
                <w:rFonts w:ascii="Arial" w:hAnsi="Arial" w:cs="Arial"/>
                <w:color w:val="auto"/>
                <w:sz w:val="16"/>
                <w:szCs w:val="16"/>
              </w:rPr>
              <w:t>20</w:t>
            </w:r>
          </w:p>
        </w:tc>
        <w:tc>
          <w:tcPr>
            <w:tcW w:w="352" w:type="pct"/>
            <w:tcBorders>
              <w:top w:val="nil"/>
              <w:left w:val="nil"/>
              <w:bottom w:val="nil"/>
              <w:right w:val="nil"/>
            </w:tcBorders>
            <w:shd w:val="clear" w:color="auto" w:fill="auto"/>
            <w:noWrap/>
            <w:vAlign w:val="center"/>
            <w:hideMark/>
          </w:tcPr>
          <w:p w14:paraId="18F328C8"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Pr>
                <w:rFonts w:ascii="Arial" w:hAnsi="Arial" w:cs="Arial"/>
                <w:color w:val="auto"/>
                <w:sz w:val="16"/>
                <w:szCs w:val="16"/>
              </w:rPr>
              <w:t>–</w:t>
            </w:r>
            <w:r w:rsidRPr="00D3721D">
              <w:rPr>
                <w:rFonts w:ascii="Arial" w:hAnsi="Arial" w:cs="Arial"/>
                <w:color w:val="auto"/>
                <w:sz w:val="16"/>
                <w:szCs w:val="16"/>
              </w:rPr>
              <w:t>19</w:t>
            </w:r>
          </w:p>
        </w:tc>
        <w:tc>
          <w:tcPr>
            <w:tcW w:w="353" w:type="pct"/>
            <w:tcBorders>
              <w:top w:val="nil"/>
              <w:left w:val="nil"/>
              <w:bottom w:val="nil"/>
              <w:right w:val="nil"/>
            </w:tcBorders>
            <w:shd w:val="clear" w:color="auto" w:fill="F2F2F2"/>
            <w:noWrap/>
            <w:vAlign w:val="center"/>
            <w:hideMark/>
          </w:tcPr>
          <w:p w14:paraId="43703F85"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Pr>
                <w:rFonts w:ascii="Arial" w:hAnsi="Arial" w:cs="Arial"/>
                <w:color w:val="auto"/>
                <w:sz w:val="16"/>
                <w:szCs w:val="16"/>
              </w:rPr>
              <w:t>–</w:t>
            </w:r>
            <w:r w:rsidRPr="00D3721D">
              <w:rPr>
                <w:rFonts w:ascii="Arial" w:hAnsi="Arial" w:cs="Arial"/>
                <w:color w:val="auto"/>
                <w:sz w:val="16"/>
                <w:szCs w:val="16"/>
              </w:rPr>
              <w:t>20</w:t>
            </w:r>
          </w:p>
        </w:tc>
        <w:tc>
          <w:tcPr>
            <w:tcW w:w="352" w:type="pct"/>
            <w:tcBorders>
              <w:top w:val="nil"/>
              <w:left w:val="nil"/>
              <w:bottom w:val="nil"/>
              <w:right w:val="nil"/>
            </w:tcBorders>
            <w:shd w:val="clear" w:color="auto" w:fill="auto"/>
            <w:noWrap/>
            <w:vAlign w:val="center"/>
            <w:hideMark/>
          </w:tcPr>
          <w:p w14:paraId="4441BA5E"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Pr>
                <w:rFonts w:ascii="Arial" w:hAnsi="Arial" w:cs="Arial"/>
                <w:color w:val="auto"/>
                <w:sz w:val="16"/>
                <w:szCs w:val="16"/>
              </w:rPr>
              <w:t>–</w:t>
            </w:r>
            <w:r w:rsidRPr="00D3721D">
              <w:rPr>
                <w:rFonts w:ascii="Arial" w:hAnsi="Arial" w:cs="Arial"/>
                <w:color w:val="auto"/>
                <w:sz w:val="16"/>
                <w:szCs w:val="16"/>
              </w:rPr>
              <w:t>19</w:t>
            </w:r>
          </w:p>
        </w:tc>
        <w:tc>
          <w:tcPr>
            <w:tcW w:w="353" w:type="pct"/>
            <w:tcBorders>
              <w:top w:val="nil"/>
              <w:left w:val="nil"/>
              <w:bottom w:val="nil"/>
              <w:right w:val="nil"/>
            </w:tcBorders>
            <w:shd w:val="clear" w:color="auto" w:fill="F2F2F2"/>
            <w:noWrap/>
            <w:vAlign w:val="center"/>
            <w:hideMark/>
          </w:tcPr>
          <w:p w14:paraId="289774F4"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Pr>
                <w:rFonts w:ascii="Arial" w:hAnsi="Arial" w:cs="Arial"/>
                <w:color w:val="auto"/>
                <w:sz w:val="16"/>
                <w:szCs w:val="16"/>
              </w:rPr>
              <w:t>–</w:t>
            </w:r>
            <w:r w:rsidRPr="00D3721D">
              <w:rPr>
                <w:rFonts w:ascii="Arial" w:hAnsi="Arial" w:cs="Arial"/>
                <w:color w:val="auto"/>
                <w:sz w:val="16"/>
                <w:szCs w:val="16"/>
              </w:rPr>
              <w:t>20</w:t>
            </w:r>
          </w:p>
        </w:tc>
        <w:tc>
          <w:tcPr>
            <w:tcW w:w="352" w:type="pct"/>
            <w:tcBorders>
              <w:top w:val="single" w:sz="4" w:space="0" w:color="000000"/>
              <w:left w:val="nil"/>
              <w:bottom w:val="nil"/>
              <w:right w:val="nil"/>
            </w:tcBorders>
            <w:shd w:val="clear" w:color="auto" w:fill="auto"/>
            <w:noWrap/>
            <w:vAlign w:val="center"/>
            <w:hideMark/>
          </w:tcPr>
          <w:p w14:paraId="556E6F15"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Pr>
                <w:rFonts w:ascii="Arial" w:hAnsi="Arial" w:cs="Arial"/>
                <w:color w:val="auto"/>
                <w:sz w:val="16"/>
                <w:szCs w:val="16"/>
              </w:rPr>
              <w:t>–</w:t>
            </w:r>
            <w:r w:rsidRPr="00D3721D">
              <w:rPr>
                <w:rFonts w:ascii="Arial" w:hAnsi="Arial" w:cs="Arial"/>
                <w:color w:val="auto"/>
                <w:sz w:val="16"/>
                <w:szCs w:val="16"/>
              </w:rPr>
              <w:t>19</w:t>
            </w:r>
          </w:p>
        </w:tc>
        <w:tc>
          <w:tcPr>
            <w:tcW w:w="356" w:type="pct"/>
            <w:tcBorders>
              <w:top w:val="single" w:sz="4" w:space="0" w:color="000000"/>
              <w:left w:val="nil"/>
              <w:bottom w:val="nil"/>
              <w:right w:val="nil"/>
            </w:tcBorders>
            <w:shd w:val="clear" w:color="auto" w:fill="F2F2F2"/>
            <w:noWrap/>
            <w:vAlign w:val="center"/>
            <w:hideMark/>
          </w:tcPr>
          <w:p w14:paraId="08A86C8C"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Pr>
                <w:rFonts w:ascii="Arial" w:hAnsi="Arial" w:cs="Arial"/>
                <w:color w:val="auto"/>
                <w:sz w:val="16"/>
                <w:szCs w:val="16"/>
              </w:rPr>
              <w:t>–</w:t>
            </w:r>
            <w:r w:rsidRPr="00D3721D">
              <w:rPr>
                <w:rFonts w:ascii="Arial" w:hAnsi="Arial" w:cs="Arial"/>
                <w:color w:val="auto"/>
                <w:sz w:val="16"/>
                <w:szCs w:val="16"/>
              </w:rPr>
              <w:t>20</w:t>
            </w:r>
          </w:p>
        </w:tc>
        <w:tc>
          <w:tcPr>
            <w:tcW w:w="367" w:type="pct"/>
            <w:tcBorders>
              <w:top w:val="single" w:sz="4" w:space="0" w:color="000000"/>
              <w:left w:val="nil"/>
              <w:bottom w:val="nil"/>
              <w:right w:val="nil"/>
            </w:tcBorders>
            <w:shd w:val="clear" w:color="auto" w:fill="auto"/>
            <w:noWrap/>
            <w:vAlign w:val="center"/>
            <w:hideMark/>
          </w:tcPr>
          <w:p w14:paraId="4058EA43"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2018</w:t>
            </w:r>
            <w:r>
              <w:rPr>
                <w:rFonts w:ascii="Arial" w:hAnsi="Arial" w:cs="Arial"/>
                <w:color w:val="auto"/>
                <w:sz w:val="16"/>
                <w:szCs w:val="16"/>
              </w:rPr>
              <w:t>–</w:t>
            </w:r>
            <w:r w:rsidRPr="00D3721D">
              <w:rPr>
                <w:rFonts w:ascii="Arial" w:hAnsi="Arial" w:cs="Arial"/>
                <w:color w:val="auto"/>
                <w:sz w:val="16"/>
                <w:szCs w:val="16"/>
              </w:rPr>
              <w:t>19</w:t>
            </w:r>
          </w:p>
        </w:tc>
        <w:tc>
          <w:tcPr>
            <w:tcW w:w="364" w:type="pct"/>
            <w:tcBorders>
              <w:top w:val="single" w:sz="4" w:space="0" w:color="000000"/>
              <w:left w:val="nil"/>
              <w:bottom w:val="nil"/>
              <w:right w:val="nil"/>
            </w:tcBorders>
            <w:shd w:val="clear" w:color="auto" w:fill="F2F2F2"/>
            <w:noWrap/>
            <w:vAlign w:val="center"/>
            <w:hideMark/>
          </w:tcPr>
          <w:p w14:paraId="2E1FD70B" w14:textId="77777777" w:rsidR="005D00DA" w:rsidRPr="00D3721D" w:rsidRDefault="005D00DA" w:rsidP="00555DD2">
            <w:pPr>
              <w:spacing w:after="0" w:line="240" w:lineRule="auto"/>
              <w:jc w:val="center"/>
              <w:rPr>
                <w:rFonts w:ascii="Arial" w:hAnsi="Arial" w:cs="Arial"/>
                <w:color w:val="auto"/>
                <w:sz w:val="16"/>
                <w:szCs w:val="16"/>
              </w:rPr>
            </w:pPr>
            <w:r w:rsidRPr="00D3721D">
              <w:rPr>
                <w:rFonts w:ascii="Arial" w:hAnsi="Arial" w:cs="Arial"/>
                <w:color w:val="auto"/>
                <w:sz w:val="16"/>
                <w:szCs w:val="16"/>
              </w:rPr>
              <w:t>2019</w:t>
            </w:r>
            <w:r>
              <w:rPr>
                <w:rFonts w:ascii="Arial" w:hAnsi="Arial" w:cs="Arial"/>
                <w:color w:val="auto"/>
                <w:sz w:val="16"/>
                <w:szCs w:val="16"/>
              </w:rPr>
              <w:t>–</w:t>
            </w:r>
            <w:r w:rsidRPr="00D3721D">
              <w:rPr>
                <w:rFonts w:ascii="Arial" w:hAnsi="Arial" w:cs="Arial"/>
                <w:color w:val="auto"/>
                <w:sz w:val="16"/>
                <w:szCs w:val="16"/>
              </w:rPr>
              <w:t>20</w:t>
            </w:r>
          </w:p>
        </w:tc>
      </w:tr>
      <w:tr w:rsidR="005D00DA" w:rsidRPr="00D3721D" w14:paraId="39A1F61A" w14:textId="77777777" w:rsidTr="005D00DA">
        <w:trPr>
          <w:trHeight w:val="227"/>
        </w:trPr>
        <w:tc>
          <w:tcPr>
            <w:tcW w:w="741" w:type="pct"/>
            <w:tcBorders>
              <w:top w:val="nil"/>
              <w:left w:val="nil"/>
              <w:bottom w:val="single" w:sz="4" w:space="0" w:color="000000"/>
              <w:right w:val="nil"/>
            </w:tcBorders>
            <w:shd w:val="clear" w:color="000000" w:fill="FFFFFF"/>
            <w:noWrap/>
            <w:vAlign w:val="bottom"/>
            <w:hideMark/>
          </w:tcPr>
          <w:p w14:paraId="3892AF14" w14:textId="77777777" w:rsidR="005D00DA" w:rsidRPr="00D3721D" w:rsidRDefault="005D00DA" w:rsidP="00555DD2">
            <w:pPr>
              <w:spacing w:after="0" w:line="240" w:lineRule="auto"/>
              <w:jc w:val="left"/>
              <w:rPr>
                <w:rFonts w:ascii="Arial" w:hAnsi="Arial" w:cs="Arial"/>
                <w:color w:val="auto"/>
                <w:sz w:val="16"/>
                <w:szCs w:val="16"/>
              </w:rPr>
            </w:pPr>
            <w:r>
              <w:rPr>
                <w:rFonts w:ascii="Arial" w:hAnsi="Arial" w:cs="Arial"/>
                <w:color w:val="auto"/>
                <w:sz w:val="16"/>
                <w:szCs w:val="16"/>
              </w:rPr>
              <w:t xml:space="preserve"> Reason</w:t>
            </w:r>
            <w:r w:rsidRPr="00D3721D">
              <w:rPr>
                <w:rFonts w:ascii="Arial" w:hAnsi="Arial" w:cs="Arial"/>
                <w:color w:val="auto"/>
                <w:sz w:val="16"/>
                <w:szCs w:val="16"/>
              </w:rPr>
              <w:t xml:space="preserve"> </w:t>
            </w:r>
          </w:p>
        </w:tc>
        <w:tc>
          <w:tcPr>
            <w:tcW w:w="352" w:type="pct"/>
            <w:tcBorders>
              <w:top w:val="nil"/>
              <w:left w:val="nil"/>
              <w:bottom w:val="single" w:sz="4" w:space="0" w:color="000000"/>
              <w:right w:val="nil"/>
            </w:tcBorders>
            <w:shd w:val="clear" w:color="auto" w:fill="auto"/>
            <w:noWrap/>
            <w:vAlign w:val="bottom"/>
            <w:hideMark/>
          </w:tcPr>
          <w:p w14:paraId="6E53618A"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53" w:type="pct"/>
            <w:tcBorders>
              <w:top w:val="nil"/>
              <w:left w:val="nil"/>
              <w:bottom w:val="single" w:sz="4" w:space="0" w:color="000000"/>
              <w:right w:val="nil"/>
            </w:tcBorders>
            <w:shd w:val="clear" w:color="auto" w:fill="F2F2F2"/>
            <w:noWrap/>
            <w:vAlign w:val="bottom"/>
            <w:hideMark/>
          </w:tcPr>
          <w:p w14:paraId="0FD1CBB8"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52" w:type="pct"/>
            <w:tcBorders>
              <w:top w:val="nil"/>
              <w:left w:val="nil"/>
              <w:bottom w:val="single" w:sz="4" w:space="0" w:color="000000"/>
              <w:right w:val="nil"/>
            </w:tcBorders>
            <w:shd w:val="clear" w:color="auto" w:fill="auto"/>
            <w:noWrap/>
            <w:vAlign w:val="bottom"/>
            <w:hideMark/>
          </w:tcPr>
          <w:p w14:paraId="7E810A90"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53" w:type="pct"/>
            <w:tcBorders>
              <w:top w:val="nil"/>
              <w:left w:val="nil"/>
              <w:bottom w:val="single" w:sz="4" w:space="0" w:color="000000"/>
              <w:right w:val="nil"/>
            </w:tcBorders>
            <w:shd w:val="clear" w:color="auto" w:fill="F2F2F2"/>
            <w:noWrap/>
            <w:vAlign w:val="bottom"/>
            <w:hideMark/>
          </w:tcPr>
          <w:p w14:paraId="377F2369"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52" w:type="pct"/>
            <w:tcBorders>
              <w:top w:val="nil"/>
              <w:left w:val="nil"/>
              <w:bottom w:val="single" w:sz="4" w:space="0" w:color="000000"/>
              <w:right w:val="nil"/>
            </w:tcBorders>
            <w:shd w:val="clear" w:color="auto" w:fill="auto"/>
            <w:noWrap/>
            <w:vAlign w:val="bottom"/>
            <w:hideMark/>
          </w:tcPr>
          <w:p w14:paraId="237E389B"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53" w:type="pct"/>
            <w:tcBorders>
              <w:top w:val="nil"/>
              <w:left w:val="nil"/>
              <w:bottom w:val="single" w:sz="4" w:space="0" w:color="000000"/>
              <w:right w:val="nil"/>
            </w:tcBorders>
            <w:shd w:val="clear" w:color="auto" w:fill="F2F2F2"/>
            <w:noWrap/>
            <w:vAlign w:val="bottom"/>
            <w:hideMark/>
          </w:tcPr>
          <w:p w14:paraId="3C4E5465"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52" w:type="pct"/>
            <w:tcBorders>
              <w:top w:val="nil"/>
              <w:left w:val="nil"/>
              <w:bottom w:val="single" w:sz="4" w:space="0" w:color="000000"/>
              <w:right w:val="nil"/>
            </w:tcBorders>
            <w:shd w:val="clear" w:color="auto" w:fill="auto"/>
            <w:noWrap/>
            <w:vAlign w:val="bottom"/>
            <w:hideMark/>
          </w:tcPr>
          <w:p w14:paraId="2408887A"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53" w:type="pct"/>
            <w:tcBorders>
              <w:top w:val="nil"/>
              <w:left w:val="nil"/>
              <w:bottom w:val="single" w:sz="4" w:space="0" w:color="000000"/>
              <w:right w:val="nil"/>
            </w:tcBorders>
            <w:shd w:val="clear" w:color="auto" w:fill="F2F2F2"/>
            <w:noWrap/>
            <w:vAlign w:val="bottom"/>
            <w:hideMark/>
          </w:tcPr>
          <w:p w14:paraId="7668655E"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52" w:type="pct"/>
            <w:tcBorders>
              <w:top w:val="nil"/>
              <w:left w:val="nil"/>
              <w:bottom w:val="single" w:sz="4" w:space="0" w:color="000000"/>
              <w:right w:val="nil"/>
            </w:tcBorders>
            <w:shd w:val="clear" w:color="auto" w:fill="auto"/>
            <w:noWrap/>
            <w:vAlign w:val="bottom"/>
            <w:hideMark/>
          </w:tcPr>
          <w:p w14:paraId="1E05B811"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56" w:type="pct"/>
            <w:tcBorders>
              <w:top w:val="nil"/>
              <w:left w:val="nil"/>
              <w:bottom w:val="single" w:sz="4" w:space="0" w:color="000000"/>
              <w:right w:val="nil"/>
            </w:tcBorders>
            <w:shd w:val="clear" w:color="auto" w:fill="F2F2F2"/>
            <w:noWrap/>
            <w:vAlign w:val="bottom"/>
            <w:hideMark/>
          </w:tcPr>
          <w:p w14:paraId="5C7333D3"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67" w:type="pct"/>
            <w:tcBorders>
              <w:top w:val="nil"/>
              <w:left w:val="nil"/>
              <w:bottom w:val="single" w:sz="4" w:space="0" w:color="000000"/>
              <w:right w:val="nil"/>
            </w:tcBorders>
            <w:shd w:val="clear" w:color="auto" w:fill="auto"/>
            <w:noWrap/>
            <w:vAlign w:val="bottom"/>
            <w:hideMark/>
          </w:tcPr>
          <w:p w14:paraId="4A9802B7"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c>
          <w:tcPr>
            <w:tcW w:w="364" w:type="pct"/>
            <w:tcBorders>
              <w:top w:val="nil"/>
              <w:left w:val="nil"/>
              <w:bottom w:val="single" w:sz="4" w:space="0" w:color="000000"/>
              <w:right w:val="nil"/>
            </w:tcBorders>
            <w:shd w:val="clear" w:color="auto" w:fill="F2F2F2"/>
            <w:noWrap/>
            <w:vAlign w:val="bottom"/>
            <w:hideMark/>
          </w:tcPr>
          <w:p w14:paraId="44ACF0E2"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xml:space="preserve"> No. </w:t>
            </w:r>
          </w:p>
        </w:tc>
      </w:tr>
      <w:tr w:rsidR="005D00DA" w:rsidRPr="00D3721D" w14:paraId="0FD77E9E" w14:textId="77777777" w:rsidTr="005D00DA">
        <w:trPr>
          <w:trHeight w:val="227"/>
        </w:trPr>
        <w:tc>
          <w:tcPr>
            <w:tcW w:w="741" w:type="pct"/>
            <w:tcBorders>
              <w:top w:val="nil"/>
              <w:left w:val="nil"/>
              <w:bottom w:val="nil"/>
              <w:right w:val="nil"/>
            </w:tcBorders>
            <w:shd w:val="clear" w:color="000000" w:fill="FFFFFF"/>
            <w:noWrap/>
            <w:vAlign w:val="bottom"/>
            <w:hideMark/>
          </w:tcPr>
          <w:p w14:paraId="156B21C8" w14:textId="77777777" w:rsidR="005D00DA" w:rsidRPr="00D3721D" w:rsidRDefault="005D00DA" w:rsidP="00555DD2">
            <w:pPr>
              <w:spacing w:after="0" w:line="240" w:lineRule="auto"/>
              <w:jc w:val="left"/>
              <w:rPr>
                <w:rFonts w:ascii="Arial" w:hAnsi="Arial" w:cs="Arial"/>
                <w:color w:val="auto"/>
                <w:sz w:val="16"/>
                <w:szCs w:val="16"/>
              </w:rPr>
            </w:pPr>
            <w:r w:rsidRPr="00D3721D">
              <w:rPr>
                <w:rFonts w:ascii="Arial" w:hAnsi="Arial" w:cs="Arial"/>
                <w:color w:val="auto"/>
                <w:sz w:val="16"/>
                <w:szCs w:val="16"/>
              </w:rPr>
              <w:t> </w:t>
            </w:r>
          </w:p>
        </w:tc>
        <w:tc>
          <w:tcPr>
            <w:tcW w:w="352" w:type="pct"/>
            <w:tcBorders>
              <w:top w:val="nil"/>
              <w:left w:val="nil"/>
              <w:bottom w:val="nil"/>
              <w:right w:val="nil"/>
            </w:tcBorders>
            <w:shd w:val="clear" w:color="auto" w:fill="auto"/>
            <w:noWrap/>
            <w:vAlign w:val="bottom"/>
            <w:hideMark/>
          </w:tcPr>
          <w:p w14:paraId="49FBC36E" w14:textId="77777777" w:rsidR="005D00DA" w:rsidRPr="00D3721D" w:rsidRDefault="005D00DA" w:rsidP="00555DD2">
            <w:pPr>
              <w:spacing w:after="0" w:line="240" w:lineRule="auto"/>
              <w:jc w:val="left"/>
              <w:rPr>
                <w:rFonts w:ascii="Arial" w:hAnsi="Arial" w:cs="Arial"/>
                <w:color w:val="auto"/>
                <w:sz w:val="16"/>
                <w:szCs w:val="16"/>
              </w:rPr>
            </w:pPr>
          </w:p>
        </w:tc>
        <w:tc>
          <w:tcPr>
            <w:tcW w:w="353" w:type="pct"/>
            <w:tcBorders>
              <w:top w:val="nil"/>
              <w:left w:val="nil"/>
              <w:bottom w:val="nil"/>
              <w:right w:val="nil"/>
            </w:tcBorders>
            <w:shd w:val="clear" w:color="auto" w:fill="F2F2F2"/>
            <w:noWrap/>
            <w:vAlign w:val="bottom"/>
            <w:hideMark/>
          </w:tcPr>
          <w:p w14:paraId="5A8541A1"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52" w:type="pct"/>
            <w:tcBorders>
              <w:top w:val="nil"/>
              <w:left w:val="nil"/>
              <w:bottom w:val="nil"/>
              <w:right w:val="nil"/>
            </w:tcBorders>
            <w:shd w:val="clear" w:color="auto" w:fill="auto"/>
            <w:noWrap/>
            <w:vAlign w:val="bottom"/>
            <w:hideMark/>
          </w:tcPr>
          <w:p w14:paraId="4533A231" w14:textId="77777777" w:rsidR="005D00DA" w:rsidRPr="00D3721D" w:rsidRDefault="005D00DA" w:rsidP="00555DD2">
            <w:pPr>
              <w:spacing w:after="0" w:line="240" w:lineRule="auto"/>
              <w:jc w:val="right"/>
              <w:rPr>
                <w:rFonts w:ascii="Arial" w:hAnsi="Arial" w:cs="Arial"/>
                <w:color w:val="auto"/>
                <w:sz w:val="16"/>
                <w:szCs w:val="16"/>
              </w:rPr>
            </w:pPr>
          </w:p>
        </w:tc>
        <w:tc>
          <w:tcPr>
            <w:tcW w:w="353" w:type="pct"/>
            <w:tcBorders>
              <w:top w:val="nil"/>
              <w:left w:val="nil"/>
              <w:bottom w:val="nil"/>
              <w:right w:val="nil"/>
            </w:tcBorders>
            <w:shd w:val="clear" w:color="auto" w:fill="F2F2F2"/>
            <w:noWrap/>
            <w:vAlign w:val="bottom"/>
            <w:hideMark/>
          </w:tcPr>
          <w:p w14:paraId="68E2106F"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52" w:type="pct"/>
            <w:tcBorders>
              <w:top w:val="nil"/>
              <w:left w:val="nil"/>
              <w:bottom w:val="nil"/>
              <w:right w:val="nil"/>
            </w:tcBorders>
            <w:shd w:val="clear" w:color="auto" w:fill="auto"/>
            <w:noWrap/>
            <w:vAlign w:val="bottom"/>
            <w:hideMark/>
          </w:tcPr>
          <w:p w14:paraId="439D5BF9" w14:textId="77777777" w:rsidR="005D00DA" w:rsidRPr="00D3721D" w:rsidRDefault="005D00DA" w:rsidP="00555DD2">
            <w:pPr>
              <w:spacing w:after="0" w:line="240" w:lineRule="auto"/>
              <w:jc w:val="right"/>
              <w:rPr>
                <w:rFonts w:ascii="Arial" w:hAnsi="Arial" w:cs="Arial"/>
                <w:color w:val="auto"/>
                <w:sz w:val="16"/>
                <w:szCs w:val="16"/>
              </w:rPr>
            </w:pPr>
          </w:p>
        </w:tc>
        <w:tc>
          <w:tcPr>
            <w:tcW w:w="353" w:type="pct"/>
            <w:tcBorders>
              <w:top w:val="nil"/>
              <w:left w:val="nil"/>
              <w:bottom w:val="nil"/>
              <w:right w:val="nil"/>
            </w:tcBorders>
            <w:shd w:val="clear" w:color="auto" w:fill="F2F2F2"/>
            <w:noWrap/>
            <w:vAlign w:val="bottom"/>
            <w:hideMark/>
          </w:tcPr>
          <w:p w14:paraId="06DE3DA5"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52" w:type="pct"/>
            <w:tcBorders>
              <w:top w:val="nil"/>
              <w:left w:val="nil"/>
              <w:bottom w:val="nil"/>
              <w:right w:val="nil"/>
            </w:tcBorders>
            <w:shd w:val="clear" w:color="auto" w:fill="auto"/>
            <w:noWrap/>
            <w:vAlign w:val="bottom"/>
            <w:hideMark/>
          </w:tcPr>
          <w:p w14:paraId="16EFA2C8" w14:textId="77777777" w:rsidR="005D00DA" w:rsidRPr="00D3721D" w:rsidRDefault="005D00DA" w:rsidP="00555DD2">
            <w:pPr>
              <w:spacing w:after="0" w:line="240" w:lineRule="auto"/>
              <w:jc w:val="right"/>
              <w:rPr>
                <w:rFonts w:ascii="Arial" w:hAnsi="Arial" w:cs="Arial"/>
                <w:color w:val="auto"/>
                <w:sz w:val="16"/>
                <w:szCs w:val="16"/>
              </w:rPr>
            </w:pPr>
          </w:p>
        </w:tc>
        <w:tc>
          <w:tcPr>
            <w:tcW w:w="353" w:type="pct"/>
            <w:tcBorders>
              <w:top w:val="nil"/>
              <w:left w:val="nil"/>
              <w:bottom w:val="nil"/>
              <w:right w:val="nil"/>
            </w:tcBorders>
            <w:shd w:val="clear" w:color="auto" w:fill="F2F2F2"/>
            <w:noWrap/>
            <w:vAlign w:val="bottom"/>
            <w:hideMark/>
          </w:tcPr>
          <w:p w14:paraId="0244A335"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52" w:type="pct"/>
            <w:tcBorders>
              <w:top w:val="nil"/>
              <w:left w:val="nil"/>
              <w:bottom w:val="nil"/>
              <w:right w:val="nil"/>
            </w:tcBorders>
            <w:shd w:val="clear" w:color="auto" w:fill="auto"/>
            <w:noWrap/>
            <w:vAlign w:val="bottom"/>
            <w:hideMark/>
          </w:tcPr>
          <w:p w14:paraId="1E35E5D9" w14:textId="77777777" w:rsidR="005D00DA" w:rsidRPr="00D3721D" w:rsidRDefault="005D00DA" w:rsidP="00555DD2">
            <w:pPr>
              <w:spacing w:after="0" w:line="240" w:lineRule="auto"/>
              <w:jc w:val="right"/>
              <w:rPr>
                <w:rFonts w:ascii="Arial" w:hAnsi="Arial" w:cs="Arial"/>
                <w:color w:val="auto"/>
                <w:sz w:val="16"/>
                <w:szCs w:val="16"/>
              </w:rPr>
            </w:pPr>
          </w:p>
        </w:tc>
        <w:tc>
          <w:tcPr>
            <w:tcW w:w="356" w:type="pct"/>
            <w:tcBorders>
              <w:top w:val="nil"/>
              <w:left w:val="nil"/>
              <w:bottom w:val="nil"/>
              <w:right w:val="nil"/>
            </w:tcBorders>
            <w:shd w:val="clear" w:color="auto" w:fill="F2F2F2"/>
            <w:noWrap/>
            <w:vAlign w:val="bottom"/>
            <w:hideMark/>
          </w:tcPr>
          <w:p w14:paraId="14BF7527"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c>
          <w:tcPr>
            <w:tcW w:w="367" w:type="pct"/>
            <w:tcBorders>
              <w:top w:val="nil"/>
              <w:left w:val="nil"/>
              <w:bottom w:val="nil"/>
              <w:right w:val="nil"/>
            </w:tcBorders>
            <w:shd w:val="clear" w:color="auto" w:fill="auto"/>
            <w:noWrap/>
            <w:vAlign w:val="bottom"/>
            <w:hideMark/>
          </w:tcPr>
          <w:p w14:paraId="0FFE0FF2" w14:textId="77777777" w:rsidR="005D00DA" w:rsidRPr="00D3721D" w:rsidRDefault="005D00DA" w:rsidP="00555DD2">
            <w:pPr>
              <w:spacing w:after="0" w:line="240" w:lineRule="auto"/>
              <w:jc w:val="right"/>
              <w:rPr>
                <w:rFonts w:ascii="Arial" w:hAnsi="Arial" w:cs="Arial"/>
                <w:color w:val="auto"/>
                <w:sz w:val="16"/>
                <w:szCs w:val="16"/>
              </w:rPr>
            </w:pPr>
          </w:p>
        </w:tc>
        <w:tc>
          <w:tcPr>
            <w:tcW w:w="364" w:type="pct"/>
            <w:tcBorders>
              <w:top w:val="nil"/>
              <w:left w:val="nil"/>
              <w:bottom w:val="nil"/>
              <w:right w:val="nil"/>
            </w:tcBorders>
            <w:shd w:val="clear" w:color="auto" w:fill="F2F2F2"/>
            <w:noWrap/>
            <w:vAlign w:val="bottom"/>
            <w:hideMark/>
          </w:tcPr>
          <w:p w14:paraId="20B661ED" w14:textId="77777777" w:rsidR="005D00DA" w:rsidRPr="00D3721D" w:rsidRDefault="005D00DA" w:rsidP="00555DD2">
            <w:pPr>
              <w:spacing w:after="0" w:line="240" w:lineRule="auto"/>
              <w:jc w:val="right"/>
              <w:rPr>
                <w:rFonts w:ascii="Arial" w:hAnsi="Arial" w:cs="Arial"/>
                <w:color w:val="auto"/>
                <w:sz w:val="16"/>
                <w:szCs w:val="16"/>
              </w:rPr>
            </w:pPr>
            <w:r w:rsidRPr="00D3721D">
              <w:rPr>
                <w:rFonts w:ascii="Arial" w:hAnsi="Arial" w:cs="Arial"/>
                <w:color w:val="auto"/>
                <w:sz w:val="16"/>
                <w:szCs w:val="16"/>
              </w:rPr>
              <w:t> </w:t>
            </w:r>
          </w:p>
        </w:tc>
      </w:tr>
      <w:tr w:rsidR="005D00DA" w:rsidRPr="00D3721D" w14:paraId="1A9B4FD5" w14:textId="77777777" w:rsidTr="005D00DA">
        <w:trPr>
          <w:trHeight w:val="227"/>
        </w:trPr>
        <w:tc>
          <w:tcPr>
            <w:tcW w:w="741" w:type="pct"/>
            <w:tcBorders>
              <w:top w:val="nil"/>
              <w:left w:val="nil"/>
              <w:bottom w:val="nil"/>
              <w:right w:val="nil"/>
            </w:tcBorders>
            <w:shd w:val="clear" w:color="000000" w:fill="FFFFFF"/>
            <w:noWrap/>
            <w:vAlign w:val="center"/>
            <w:hideMark/>
          </w:tcPr>
          <w:p w14:paraId="59212BBE" w14:textId="77777777" w:rsidR="005D00DA" w:rsidRDefault="005D00DA" w:rsidP="005D00DA">
            <w:pPr>
              <w:spacing w:after="0" w:line="240" w:lineRule="auto"/>
              <w:jc w:val="left"/>
              <w:rPr>
                <w:rFonts w:ascii="Arial" w:hAnsi="Arial" w:cs="Arial"/>
                <w:color w:val="auto"/>
                <w:sz w:val="16"/>
                <w:szCs w:val="16"/>
              </w:rPr>
            </w:pPr>
            <w:r>
              <w:rPr>
                <w:rFonts w:ascii="Arial" w:hAnsi="Arial" w:cs="Arial"/>
                <w:color w:val="auto"/>
                <w:sz w:val="16"/>
                <w:szCs w:val="16"/>
              </w:rPr>
              <w:t xml:space="preserve"> Longer time to</w:t>
            </w:r>
          </w:p>
          <w:p w14:paraId="689808A3" w14:textId="77777777" w:rsidR="005D00DA" w:rsidRDefault="005D00DA" w:rsidP="005D00DA">
            <w:pPr>
              <w:spacing w:after="0" w:line="240" w:lineRule="auto"/>
              <w:jc w:val="left"/>
              <w:rPr>
                <w:rFonts w:ascii="Arial" w:hAnsi="Arial" w:cs="Arial"/>
                <w:color w:val="auto"/>
                <w:sz w:val="16"/>
                <w:szCs w:val="16"/>
              </w:rPr>
            </w:pPr>
            <w:r>
              <w:rPr>
                <w:rFonts w:ascii="Arial" w:hAnsi="Arial" w:cs="Arial"/>
                <w:color w:val="auto"/>
                <w:sz w:val="16"/>
                <w:szCs w:val="16"/>
              </w:rPr>
              <w:t>undertake action</w:t>
            </w:r>
          </w:p>
          <w:p w14:paraId="2B9055A5" w14:textId="77777777" w:rsidR="005D00DA" w:rsidRPr="00D3721D" w:rsidRDefault="005D00DA" w:rsidP="005D00DA">
            <w:pPr>
              <w:spacing w:after="0" w:line="240" w:lineRule="auto"/>
              <w:jc w:val="left"/>
              <w:rPr>
                <w:rFonts w:ascii="Arial" w:hAnsi="Arial" w:cs="Arial"/>
                <w:color w:val="auto"/>
                <w:sz w:val="16"/>
                <w:szCs w:val="16"/>
              </w:rPr>
            </w:pPr>
            <w:r>
              <w:rPr>
                <w:rFonts w:ascii="Arial" w:hAnsi="Arial" w:cs="Arial"/>
                <w:color w:val="auto"/>
                <w:sz w:val="16"/>
                <w:szCs w:val="16"/>
              </w:rPr>
              <w:t>only</w:t>
            </w:r>
            <w:r w:rsidRPr="00D3721D">
              <w:rPr>
                <w:rFonts w:ascii="Arial" w:hAnsi="Arial" w:cs="Arial"/>
                <w:color w:val="auto"/>
                <w:sz w:val="16"/>
                <w:szCs w:val="16"/>
              </w:rPr>
              <w:t xml:space="preserve"> </w:t>
            </w:r>
          </w:p>
        </w:tc>
        <w:tc>
          <w:tcPr>
            <w:tcW w:w="352" w:type="pct"/>
            <w:tcBorders>
              <w:top w:val="nil"/>
              <w:left w:val="nil"/>
              <w:bottom w:val="nil"/>
              <w:right w:val="nil"/>
            </w:tcBorders>
            <w:shd w:val="clear" w:color="auto" w:fill="auto"/>
            <w:noWrap/>
            <w:vAlign w:val="center"/>
            <w:hideMark/>
          </w:tcPr>
          <w:p w14:paraId="5B325B27" w14:textId="77777777" w:rsidR="005D00DA" w:rsidRPr="00D3721D" w:rsidRDefault="005D00DA" w:rsidP="005D00DA">
            <w:pPr>
              <w:spacing w:after="0" w:line="240" w:lineRule="auto"/>
              <w:jc w:val="right"/>
              <w:rPr>
                <w:rFonts w:ascii="Arial" w:hAnsi="Arial" w:cs="Arial"/>
                <w:color w:val="auto"/>
                <w:sz w:val="16"/>
                <w:szCs w:val="16"/>
              </w:rPr>
            </w:pPr>
            <w:r>
              <w:rPr>
                <w:rFonts w:ascii="Arial" w:hAnsi="Arial" w:cs="Arial"/>
                <w:color w:val="auto"/>
                <w:sz w:val="16"/>
                <w:szCs w:val="16"/>
              </w:rPr>
              <w:t>0</w:t>
            </w:r>
          </w:p>
        </w:tc>
        <w:tc>
          <w:tcPr>
            <w:tcW w:w="353" w:type="pct"/>
            <w:tcBorders>
              <w:top w:val="nil"/>
              <w:left w:val="nil"/>
              <w:bottom w:val="nil"/>
              <w:right w:val="nil"/>
            </w:tcBorders>
            <w:shd w:val="clear" w:color="auto" w:fill="F2F2F2"/>
            <w:noWrap/>
            <w:vAlign w:val="center"/>
            <w:hideMark/>
          </w:tcPr>
          <w:p w14:paraId="35DFDA8F"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5</w:t>
            </w:r>
          </w:p>
        </w:tc>
        <w:tc>
          <w:tcPr>
            <w:tcW w:w="352" w:type="pct"/>
            <w:tcBorders>
              <w:top w:val="nil"/>
              <w:left w:val="nil"/>
              <w:bottom w:val="nil"/>
              <w:right w:val="nil"/>
            </w:tcBorders>
            <w:shd w:val="clear" w:color="auto" w:fill="auto"/>
            <w:noWrap/>
            <w:vAlign w:val="center"/>
            <w:hideMark/>
          </w:tcPr>
          <w:p w14:paraId="67D06F4C"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0</w:t>
            </w:r>
          </w:p>
        </w:tc>
        <w:tc>
          <w:tcPr>
            <w:tcW w:w="353" w:type="pct"/>
            <w:tcBorders>
              <w:top w:val="nil"/>
              <w:left w:val="nil"/>
              <w:bottom w:val="nil"/>
              <w:right w:val="nil"/>
            </w:tcBorders>
            <w:shd w:val="clear" w:color="auto" w:fill="F2F2F2"/>
            <w:noWrap/>
            <w:vAlign w:val="center"/>
            <w:hideMark/>
          </w:tcPr>
          <w:p w14:paraId="424A9E29"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0</w:t>
            </w:r>
          </w:p>
        </w:tc>
        <w:tc>
          <w:tcPr>
            <w:tcW w:w="352" w:type="pct"/>
            <w:tcBorders>
              <w:top w:val="nil"/>
              <w:left w:val="nil"/>
              <w:bottom w:val="nil"/>
              <w:right w:val="nil"/>
            </w:tcBorders>
            <w:shd w:val="clear" w:color="auto" w:fill="auto"/>
            <w:noWrap/>
            <w:vAlign w:val="center"/>
            <w:hideMark/>
          </w:tcPr>
          <w:p w14:paraId="43A265C8"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1</w:t>
            </w:r>
          </w:p>
        </w:tc>
        <w:tc>
          <w:tcPr>
            <w:tcW w:w="353" w:type="pct"/>
            <w:tcBorders>
              <w:top w:val="nil"/>
              <w:left w:val="nil"/>
              <w:bottom w:val="nil"/>
              <w:right w:val="nil"/>
            </w:tcBorders>
            <w:shd w:val="clear" w:color="auto" w:fill="F2F2F2"/>
            <w:noWrap/>
            <w:vAlign w:val="center"/>
            <w:hideMark/>
          </w:tcPr>
          <w:p w14:paraId="48279028"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68</w:t>
            </w:r>
          </w:p>
        </w:tc>
        <w:tc>
          <w:tcPr>
            <w:tcW w:w="352" w:type="pct"/>
            <w:tcBorders>
              <w:top w:val="nil"/>
              <w:left w:val="nil"/>
              <w:bottom w:val="nil"/>
              <w:right w:val="nil"/>
            </w:tcBorders>
            <w:shd w:val="clear" w:color="auto" w:fill="auto"/>
            <w:noWrap/>
            <w:vAlign w:val="center"/>
            <w:hideMark/>
          </w:tcPr>
          <w:p w14:paraId="30D23AF4"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3</w:t>
            </w:r>
          </w:p>
        </w:tc>
        <w:tc>
          <w:tcPr>
            <w:tcW w:w="353" w:type="pct"/>
            <w:tcBorders>
              <w:top w:val="nil"/>
              <w:left w:val="nil"/>
              <w:bottom w:val="nil"/>
              <w:right w:val="nil"/>
            </w:tcBorders>
            <w:shd w:val="clear" w:color="auto" w:fill="F2F2F2"/>
            <w:noWrap/>
            <w:vAlign w:val="center"/>
            <w:hideMark/>
          </w:tcPr>
          <w:p w14:paraId="0C2C761D"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7</w:t>
            </w:r>
          </w:p>
        </w:tc>
        <w:tc>
          <w:tcPr>
            <w:tcW w:w="352" w:type="pct"/>
            <w:tcBorders>
              <w:top w:val="nil"/>
              <w:left w:val="nil"/>
              <w:bottom w:val="nil"/>
              <w:right w:val="nil"/>
            </w:tcBorders>
            <w:shd w:val="clear" w:color="auto" w:fill="auto"/>
            <w:noWrap/>
            <w:vAlign w:val="center"/>
            <w:hideMark/>
          </w:tcPr>
          <w:p w14:paraId="20BBF75A"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13</w:t>
            </w:r>
          </w:p>
        </w:tc>
        <w:tc>
          <w:tcPr>
            <w:tcW w:w="356" w:type="pct"/>
            <w:tcBorders>
              <w:top w:val="nil"/>
              <w:left w:val="nil"/>
              <w:bottom w:val="nil"/>
              <w:right w:val="nil"/>
            </w:tcBorders>
            <w:shd w:val="clear" w:color="auto" w:fill="F2F2F2"/>
            <w:noWrap/>
            <w:vAlign w:val="center"/>
            <w:hideMark/>
          </w:tcPr>
          <w:p w14:paraId="660CEFBD"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8</w:t>
            </w:r>
          </w:p>
        </w:tc>
        <w:tc>
          <w:tcPr>
            <w:tcW w:w="367" w:type="pct"/>
            <w:tcBorders>
              <w:top w:val="nil"/>
              <w:left w:val="nil"/>
              <w:bottom w:val="nil"/>
              <w:right w:val="nil"/>
            </w:tcBorders>
            <w:shd w:val="clear" w:color="auto" w:fill="auto"/>
            <w:noWrap/>
            <w:vAlign w:val="center"/>
            <w:hideMark/>
          </w:tcPr>
          <w:p w14:paraId="195620C5"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17</w:t>
            </w:r>
          </w:p>
        </w:tc>
        <w:tc>
          <w:tcPr>
            <w:tcW w:w="364" w:type="pct"/>
            <w:tcBorders>
              <w:top w:val="nil"/>
              <w:left w:val="nil"/>
              <w:bottom w:val="nil"/>
              <w:right w:val="nil"/>
            </w:tcBorders>
            <w:shd w:val="clear" w:color="auto" w:fill="F2F2F2"/>
            <w:noWrap/>
            <w:vAlign w:val="center"/>
            <w:hideMark/>
          </w:tcPr>
          <w:p w14:paraId="1833E9C1"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88</w:t>
            </w:r>
          </w:p>
        </w:tc>
      </w:tr>
      <w:tr w:rsidR="005D00DA" w:rsidRPr="00D3721D" w14:paraId="0DF0B2E1" w14:textId="77777777" w:rsidTr="005D00DA">
        <w:trPr>
          <w:trHeight w:val="227"/>
        </w:trPr>
        <w:tc>
          <w:tcPr>
            <w:tcW w:w="741" w:type="pct"/>
            <w:tcBorders>
              <w:top w:val="nil"/>
              <w:left w:val="nil"/>
              <w:bottom w:val="nil"/>
              <w:right w:val="nil"/>
            </w:tcBorders>
            <w:shd w:val="clear" w:color="000000" w:fill="FFFFFF"/>
            <w:noWrap/>
            <w:vAlign w:val="center"/>
            <w:hideMark/>
          </w:tcPr>
          <w:p w14:paraId="53525321" w14:textId="77777777" w:rsidR="005D00DA" w:rsidRDefault="005D00DA" w:rsidP="005D00DA">
            <w:pPr>
              <w:spacing w:after="0" w:line="240" w:lineRule="auto"/>
              <w:jc w:val="left"/>
              <w:rPr>
                <w:rFonts w:ascii="Arial" w:hAnsi="Arial" w:cs="Arial"/>
                <w:color w:val="auto"/>
                <w:sz w:val="16"/>
                <w:szCs w:val="16"/>
              </w:rPr>
            </w:pPr>
            <w:r w:rsidRPr="00D3721D">
              <w:rPr>
                <w:rFonts w:ascii="Arial" w:hAnsi="Arial" w:cs="Arial"/>
                <w:color w:val="auto"/>
                <w:sz w:val="16"/>
                <w:szCs w:val="16"/>
              </w:rPr>
              <w:t xml:space="preserve"> </w:t>
            </w:r>
            <w:r>
              <w:rPr>
                <w:rFonts w:ascii="Arial" w:hAnsi="Arial" w:cs="Arial"/>
                <w:color w:val="auto"/>
                <w:sz w:val="16"/>
                <w:szCs w:val="16"/>
              </w:rPr>
              <w:t>Change to conditions</w:t>
            </w:r>
          </w:p>
          <w:p w14:paraId="184BEE09" w14:textId="77777777" w:rsidR="005D00DA" w:rsidRPr="00D3721D" w:rsidRDefault="005D00DA" w:rsidP="005D00DA">
            <w:pPr>
              <w:spacing w:after="0" w:line="240" w:lineRule="auto"/>
              <w:jc w:val="left"/>
              <w:rPr>
                <w:rFonts w:ascii="Arial" w:hAnsi="Arial" w:cs="Arial"/>
                <w:color w:val="auto"/>
                <w:sz w:val="16"/>
                <w:szCs w:val="16"/>
              </w:rPr>
            </w:pPr>
            <w:r>
              <w:rPr>
                <w:rFonts w:ascii="Arial" w:hAnsi="Arial" w:cs="Arial"/>
                <w:color w:val="auto"/>
                <w:sz w:val="16"/>
                <w:szCs w:val="16"/>
              </w:rPr>
              <w:t>only</w:t>
            </w:r>
            <w:r w:rsidRPr="00D3721D">
              <w:rPr>
                <w:rFonts w:ascii="Arial" w:hAnsi="Arial" w:cs="Arial"/>
                <w:color w:val="auto"/>
                <w:sz w:val="16"/>
                <w:szCs w:val="16"/>
              </w:rPr>
              <w:t xml:space="preserve"> </w:t>
            </w:r>
          </w:p>
        </w:tc>
        <w:tc>
          <w:tcPr>
            <w:tcW w:w="352" w:type="pct"/>
            <w:tcBorders>
              <w:top w:val="nil"/>
              <w:left w:val="nil"/>
              <w:right w:val="nil"/>
            </w:tcBorders>
            <w:shd w:val="clear" w:color="auto" w:fill="auto"/>
            <w:noWrap/>
            <w:vAlign w:val="center"/>
            <w:hideMark/>
          </w:tcPr>
          <w:p w14:paraId="33F788F7"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9</w:t>
            </w:r>
          </w:p>
        </w:tc>
        <w:tc>
          <w:tcPr>
            <w:tcW w:w="353" w:type="pct"/>
            <w:tcBorders>
              <w:top w:val="nil"/>
              <w:left w:val="nil"/>
              <w:right w:val="nil"/>
            </w:tcBorders>
            <w:shd w:val="clear" w:color="auto" w:fill="F2F2F2"/>
            <w:noWrap/>
            <w:vAlign w:val="center"/>
            <w:hideMark/>
          </w:tcPr>
          <w:p w14:paraId="3A4E4053"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9</w:t>
            </w:r>
          </w:p>
        </w:tc>
        <w:tc>
          <w:tcPr>
            <w:tcW w:w="352" w:type="pct"/>
            <w:tcBorders>
              <w:top w:val="nil"/>
              <w:left w:val="nil"/>
              <w:right w:val="nil"/>
            </w:tcBorders>
            <w:shd w:val="clear" w:color="auto" w:fill="auto"/>
            <w:noWrap/>
            <w:vAlign w:val="center"/>
            <w:hideMark/>
          </w:tcPr>
          <w:p w14:paraId="67068CC3"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0</w:t>
            </w:r>
          </w:p>
        </w:tc>
        <w:tc>
          <w:tcPr>
            <w:tcW w:w="353" w:type="pct"/>
            <w:tcBorders>
              <w:top w:val="nil"/>
              <w:left w:val="nil"/>
              <w:right w:val="nil"/>
            </w:tcBorders>
            <w:shd w:val="clear" w:color="auto" w:fill="F2F2F2"/>
            <w:noWrap/>
            <w:vAlign w:val="center"/>
            <w:hideMark/>
          </w:tcPr>
          <w:p w14:paraId="0153022A"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0</w:t>
            </w:r>
          </w:p>
        </w:tc>
        <w:tc>
          <w:tcPr>
            <w:tcW w:w="352" w:type="pct"/>
            <w:tcBorders>
              <w:top w:val="nil"/>
              <w:left w:val="nil"/>
              <w:right w:val="nil"/>
            </w:tcBorders>
            <w:shd w:val="clear" w:color="auto" w:fill="auto"/>
            <w:noWrap/>
            <w:vAlign w:val="center"/>
            <w:hideMark/>
          </w:tcPr>
          <w:p w14:paraId="6886B942"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163</w:t>
            </w:r>
          </w:p>
        </w:tc>
        <w:tc>
          <w:tcPr>
            <w:tcW w:w="353" w:type="pct"/>
            <w:tcBorders>
              <w:top w:val="nil"/>
              <w:left w:val="nil"/>
              <w:right w:val="nil"/>
            </w:tcBorders>
            <w:shd w:val="clear" w:color="auto" w:fill="F2F2F2"/>
            <w:noWrap/>
            <w:vAlign w:val="center"/>
            <w:hideMark/>
          </w:tcPr>
          <w:p w14:paraId="137DF511"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138</w:t>
            </w:r>
          </w:p>
        </w:tc>
        <w:tc>
          <w:tcPr>
            <w:tcW w:w="352" w:type="pct"/>
            <w:tcBorders>
              <w:top w:val="nil"/>
              <w:left w:val="nil"/>
              <w:right w:val="nil"/>
            </w:tcBorders>
            <w:shd w:val="clear" w:color="auto" w:fill="auto"/>
            <w:noWrap/>
            <w:vAlign w:val="center"/>
            <w:hideMark/>
          </w:tcPr>
          <w:p w14:paraId="622F552E"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8</w:t>
            </w:r>
          </w:p>
        </w:tc>
        <w:tc>
          <w:tcPr>
            <w:tcW w:w="353" w:type="pct"/>
            <w:tcBorders>
              <w:top w:val="nil"/>
              <w:left w:val="nil"/>
              <w:right w:val="nil"/>
            </w:tcBorders>
            <w:shd w:val="clear" w:color="auto" w:fill="F2F2F2"/>
            <w:noWrap/>
            <w:vAlign w:val="center"/>
            <w:hideMark/>
          </w:tcPr>
          <w:p w14:paraId="4CE3B4E7"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13</w:t>
            </w:r>
          </w:p>
        </w:tc>
        <w:tc>
          <w:tcPr>
            <w:tcW w:w="352" w:type="pct"/>
            <w:tcBorders>
              <w:top w:val="nil"/>
              <w:left w:val="nil"/>
              <w:right w:val="nil"/>
            </w:tcBorders>
            <w:shd w:val="clear" w:color="auto" w:fill="auto"/>
            <w:noWrap/>
            <w:vAlign w:val="center"/>
            <w:hideMark/>
          </w:tcPr>
          <w:p w14:paraId="569FF109"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7</w:t>
            </w:r>
          </w:p>
        </w:tc>
        <w:tc>
          <w:tcPr>
            <w:tcW w:w="356" w:type="pct"/>
            <w:tcBorders>
              <w:top w:val="nil"/>
              <w:left w:val="nil"/>
              <w:right w:val="nil"/>
            </w:tcBorders>
            <w:shd w:val="clear" w:color="auto" w:fill="F2F2F2"/>
            <w:noWrap/>
            <w:vAlign w:val="center"/>
            <w:hideMark/>
          </w:tcPr>
          <w:p w14:paraId="50EECE6B"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5</w:t>
            </w:r>
          </w:p>
        </w:tc>
        <w:tc>
          <w:tcPr>
            <w:tcW w:w="367" w:type="pct"/>
            <w:tcBorders>
              <w:top w:val="nil"/>
              <w:left w:val="nil"/>
              <w:right w:val="nil"/>
            </w:tcBorders>
            <w:shd w:val="clear" w:color="auto" w:fill="auto"/>
            <w:noWrap/>
            <w:vAlign w:val="center"/>
            <w:hideMark/>
          </w:tcPr>
          <w:p w14:paraId="7471CB24"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187</w:t>
            </w:r>
          </w:p>
        </w:tc>
        <w:tc>
          <w:tcPr>
            <w:tcW w:w="364" w:type="pct"/>
            <w:tcBorders>
              <w:top w:val="nil"/>
              <w:left w:val="nil"/>
              <w:right w:val="nil"/>
            </w:tcBorders>
            <w:shd w:val="clear" w:color="auto" w:fill="F2F2F2"/>
            <w:noWrap/>
            <w:vAlign w:val="center"/>
            <w:hideMark/>
          </w:tcPr>
          <w:p w14:paraId="4C8B0FF9"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165</w:t>
            </w:r>
          </w:p>
        </w:tc>
      </w:tr>
      <w:tr w:rsidR="005D00DA" w:rsidRPr="00D3721D" w14:paraId="65104265" w14:textId="77777777" w:rsidTr="005D00DA">
        <w:trPr>
          <w:trHeight w:val="227"/>
        </w:trPr>
        <w:tc>
          <w:tcPr>
            <w:tcW w:w="741" w:type="pct"/>
            <w:tcBorders>
              <w:top w:val="nil"/>
              <w:left w:val="nil"/>
              <w:bottom w:val="nil"/>
              <w:right w:val="nil"/>
            </w:tcBorders>
            <w:shd w:val="clear" w:color="000000" w:fill="FFFFFF"/>
            <w:noWrap/>
            <w:vAlign w:val="center"/>
          </w:tcPr>
          <w:p w14:paraId="660B1909" w14:textId="77777777" w:rsidR="005D00DA" w:rsidRDefault="005D00DA" w:rsidP="00555DD2">
            <w:pPr>
              <w:spacing w:after="0" w:line="240" w:lineRule="auto"/>
              <w:jc w:val="left"/>
              <w:rPr>
                <w:rFonts w:ascii="Arial" w:hAnsi="Arial" w:cs="Arial"/>
                <w:bCs/>
                <w:color w:val="auto"/>
                <w:sz w:val="16"/>
                <w:szCs w:val="16"/>
              </w:rPr>
            </w:pPr>
            <w:r>
              <w:rPr>
                <w:rFonts w:ascii="Arial" w:hAnsi="Arial" w:cs="Arial"/>
                <w:bCs/>
                <w:color w:val="auto"/>
                <w:sz w:val="16"/>
                <w:szCs w:val="16"/>
              </w:rPr>
              <w:t>Other, or more than</w:t>
            </w:r>
          </w:p>
          <w:p w14:paraId="52CC4A0E" w14:textId="77777777" w:rsidR="005D00DA" w:rsidRPr="005D00DA" w:rsidRDefault="005D00DA" w:rsidP="00555DD2">
            <w:pPr>
              <w:spacing w:after="0" w:line="240" w:lineRule="auto"/>
              <w:jc w:val="left"/>
              <w:rPr>
                <w:rFonts w:ascii="Arial" w:hAnsi="Arial" w:cs="Arial"/>
                <w:bCs/>
                <w:color w:val="auto"/>
                <w:sz w:val="16"/>
                <w:szCs w:val="16"/>
              </w:rPr>
            </w:pPr>
            <w:r>
              <w:rPr>
                <w:rFonts w:ascii="Arial" w:hAnsi="Arial" w:cs="Arial"/>
                <w:bCs/>
                <w:color w:val="auto"/>
                <w:sz w:val="16"/>
                <w:szCs w:val="16"/>
              </w:rPr>
              <w:t>one reason</w:t>
            </w:r>
          </w:p>
        </w:tc>
        <w:tc>
          <w:tcPr>
            <w:tcW w:w="352" w:type="pct"/>
            <w:tcBorders>
              <w:left w:val="nil"/>
              <w:bottom w:val="nil"/>
              <w:right w:val="nil"/>
            </w:tcBorders>
            <w:shd w:val="clear" w:color="auto" w:fill="auto"/>
            <w:noWrap/>
            <w:vAlign w:val="center"/>
          </w:tcPr>
          <w:p w14:paraId="0241E87C" w14:textId="77777777" w:rsidR="005D00DA" w:rsidRPr="005D00DA" w:rsidRDefault="005D00DA" w:rsidP="00555DD2">
            <w:pPr>
              <w:spacing w:after="0" w:line="240" w:lineRule="auto"/>
              <w:jc w:val="right"/>
              <w:rPr>
                <w:rFonts w:ascii="Arial" w:hAnsi="Arial" w:cs="Arial"/>
                <w:bCs/>
                <w:color w:val="auto"/>
                <w:sz w:val="16"/>
                <w:szCs w:val="16"/>
              </w:rPr>
            </w:pPr>
            <w:r>
              <w:rPr>
                <w:rFonts w:ascii="Arial" w:hAnsi="Arial" w:cs="Arial"/>
                <w:bCs/>
                <w:color w:val="auto"/>
                <w:sz w:val="16"/>
                <w:szCs w:val="16"/>
              </w:rPr>
              <w:t>4</w:t>
            </w:r>
          </w:p>
        </w:tc>
        <w:tc>
          <w:tcPr>
            <w:tcW w:w="353" w:type="pct"/>
            <w:tcBorders>
              <w:left w:val="nil"/>
              <w:bottom w:val="nil"/>
              <w:right w:val="nil"/>
            </w:tcBorders>
            <w:shd w:val="clear" w:color="auto" w:fill="F2F2F2"/>
            <w:noWrap/>
            <w:vAlign w:val="center"/>
          </w:tcPr>
          <w:p w14:paraId="35809804" w14:textId="77777777" w:rsidR="005D00DA" w:rsidRPr="005D00DA" w:rsidRDefault="005D00DA" w:rsidP="00555DD2">
            <w:pPr>
              <w:spacing w:after="0" w:line="240" w:lineRule="auto"/>
              <w:jc w:val="right"/>
              <w:rPr>
                <w:rFonts w:ascii="Arial" w:hAnsi="Arial" w:cs="Arial"/>
                <w:bCs/>
                <w:color w:val="auto"/>
                <w:sz w:val="16"/>
                <w:szCs w:val="16"/>
              </w:rPr>
            </w:pPr>
            <w:r>
              <w:rPr>
                <w:rFonts w:ascii="Arial" w:hAnsi="Arial" w:cs="Arial"/>
                <w:bCs/>
                <w:color w:val="auto"/>
                <w:sz w:val="16"/>
                <w:szCs w:val="16"/>
              </w:rPr>
              <w:t>3</w:t>
            </w:r>
          </w:p>
        </w:tc>
        <w:tc>
          <w:tcPr>
            <w:tcW w:w="352" w:type="pct"/>
            <w:tcBorders>
              <w:left w:val="nil"/>
              <w:bottom w:val="nil"/>
              <w:right w:val="nil"/>
            </w:tcBorders>
            <w:shd w:val="clear" w:color="auto" w:fill="auto"/>
            <w:noWrap/>
            <w:vAlign w:val="center"/>
          </w:tcPr>
          <w:p w14:paraId="2154A96C" w14:textId="77777777" w:rsidR="005D00DA" w:rsidRPr="005D00DA" w:rsidRDefault="005D00DA" w:rsidP="00555DD2">
            <w:pPr>
              <w:spacing w:after="0" w:line="240" w:lineRule="auto"/>
              <w:jc w:val="right"/>
              <w:rPr>
                <w:rFonts w:ascii="Arial" w:hAnsi="Arial" w:cs="Arial"/>
                <w:bCs/>
                <w:color w:val="auto"/>
                <w:sz w:val="16"/>
                <w:szCs w:val="16"/>
              </w:rPr>
            </w:pPr>
            <w:r>
              <w:rPr>
                <w:rFonts w:ascii="Arial" w:hAnsi="Arial" w:cs="Arial"/>
                <w:bCs/>
                <w:color w:val="auto"/>
                <w:sz w:val="16"/>
                <w:szCs w:val="16"/>
              </w:rPr>
              <w:t>0</w:t>
            </w:r>
          </w:p>
        </w:tc>
        <w:tc>
          <w:tcPr>
            <w:tcW w:w="353" w:type="pct"/>
            <w:tcBorders>
              <w:left w:val="nil"/>
              <w:bottom w:val="nil"/>
              <w:right w:val="nil"/>
            </w:tcBorders>
            <w:shd w:val="clear" w:color="auto" w:fill="F2F2F2"/>
            <w:noWrap/>
            <w:vAlign w:val="center"/>
          </w:tcPr>
          <w:p w14:paraId="47F46827" w14:textId="77777777" w:rsidR="005D00DA" w:rsidRPr="005D00DA" w:rsidRDefault="005D00DA" w:rsidP="00555DD2">
            <w:pPr>
              <w:spacing w:after="0" w:line="240" w:lineRule="auto"/>
              <w:jc w:val="right"/>
              <w:rPr>
                <w:rFonts w:ascii="Arial" w:hAnsi="Arial" w:cs="Arial"/>
                <w:bCs/>
                <w:color w:val="auto"/>
                <w:sz w:val="16"/>
                <w:szCs w:val="16"/>
              </w:rPr>
            </w:pPr>
            <w:r>
              <w:rPr>
                <w:rFonts w:ascii="Arial" w:hAnsi="Arial" w:cs="Arial"/>
                <w:bCs/>
                <w:color w:val="auto"/>
                <w:sz w:val="16"/>
                <w:szCs w:val="16"/>
              </w:rPr>
              <w:t>0</w:t>
            </w:r>
          </w:p>
        </w:tc>
        <w:tc>
          <w:tcPr>
            <w:tcW w:w="352" w:type="pct"/>
            <w:tcBorders>
              <w:left w:val="nil"/>
              <w:bottom w:val="nil"/>
              <w:right w:val="nil"/>
            </w:tcBorders>
            <w:shd w:val="clear" w:color="auto" w:fill="auto"/>
            <w:noWrap/>
            <w:vAlign w:val="center"/>
          </w:tcPr>
          <w:p w14:paraId="064C8ACB" w14:textId="77777777" w:rsidR="005D00DA" w:rsidRPr="005D00DA" w:rsidRDefault="005D00DA" w:rsidP="00555DD2">
            <w:pPr>
              <w:spacing w:after="0" w:line="240" w:lineRule="auto"/>
              <w:jc w:val="right"/>
              <w:rPr>
                <w:rFonts w:ascii="Arial" w:hAnsi="Arial" w:cs="Arial"/>
                <w:bCs/>
                <w:color w:val="auto"/>
                <w:sz w:val="16"/>
                <w:szCs w:val="16"/>
              </w:rPr>
            </w:pPr>
            <w:r>
              <w:rPr>
                <w:rFonts w:ascii="Arial" w:hAnsi="Arial" w:cs="Arial"/>
                <w:bCs/>
                <w:color w:val="auto"/>
                <w:sz w:val="16"/>
                <w:szCs w:val="16"/>
              </w:rPr>
              <w:t>138</w:t>
            </w:r>
          </w:p>
        </w:tc>
        <w:tc>
          <w:tcPr>
            <w:tcW w:w="353" w:type="pct"/>
            <w:tcBorders>
              <w:left w:val="nil"/>
              <w:bottom w:val="nil"/>
              <w:right w:val="nil"/>
            </w:tcBorders>
            <w:shd w:val="clear" w:color="auto" w:fill="F2F2F2"/>
            <w:noWrap/>
            <w:vAlign w:val="center"/>
          </w:tcPr>
          <w:p w14:paraId="4175536E" w14:textId="77777777" w:rsidR="005D00DA" w:rsidRPr="005D00DA" w:rsidRDefault="005D00DA" w:rsidP="00555DD2">
            <w:pPr>
              <w:spacing w:after="0" w:line="240" w:lineRule="auto"/>
              <w:jc w:val="right"/>
              <w:rPr>
                <w:rFonts w:ascii="Arial" w:hAnsi="Arial" w:cs="Arial"/>
                <w:bCs/>
                <w:color w:val="auto"/>
                <w:sz w:val="16"/>
                <w:szCs w:val="16"/>
              </w:rPr>
            </w:pPr>
            <w:r>
              <w:rPr>
                <w:rFonts w:ascii="Arial" w:hAnsi="Arial" w:cs="Arial"/>
                <w:bCs/>
                <w:color w:val="auto"/>
                <w:sz w:val="16"/>
                <w:szCs w:val="16"/>
              </w:rPr>
              <w:t>5</w:t>
            </w:r>
          </w:p>
        </w:tc>
        <w:tc>
          <w:tcPr>
            <w:tcW w:w="352" w:type="pct"/>
            <w:tcBorders>
              <w:left w:val="nil"/>
              <w:bottom w:val="nil"/>
              <w:right w:val="nil"/>
            </w:tcBorders>
            <w:shd w:val="clear" w:color="auto" w:fill="auto"/>
            <w:noWrap/>
            <w:vAlign w:val="center"/>
          </w:tcPr>
          <w:p w14:paraId="4D0E79F4" w14:textId="77777777" w:rsidR="005D00DA" w:rsidRPr="005D00DA" w:rsidRDefault="005D00DA" w:rsidP="00555DD2">
            <w:pPr>
              <w:spacing w:after="0" w:line="240" w:lineRule="auto"/>
              <w:jc w:val="right"/>
              <w:rPr>
                <w:rFonts w:ascii="Arial" w:hAnsi="Arial" w:cs="Arial"/>
                <w:bCs/>
                <w:color w:val="auto"/>
                <w:sz w:val="16"/>
                <w:szCs w:val="16"/>
              </w:rPr>
            </w:pPr>
            <w:r>
              <w:rPr>
                <w:rFonts w:ascii="Arial" w:hAnsi="Arial" w:cs="Arial"/>
                <w:bCs/>
                <w:color w:val="auto"/>
                <w:sz w:val="16"/>
                <w:szCs w:val="16"/>
              </w:rPr>
              <w:t>3</w:t>
            </w:r>
          </w:p>
        </w:tc>
        <w:tc>
          <w:tcPr>
            <w:tcW w:w="353" w:type="pct"/>
            <w:tcBorders>
              <w:left w:val="nil"/>
              <w:bottom w:val="nil"/>
              <w:right w:val="nil"/>
            </w:tcBorders>
            <w:shd w:val="clear" w:color="auto" w:fill="F2F2F2"/>
            <w:noWrap/>
            <w:vAlign w:val="center"/>
          </w:tcPr>
          <w:p w14:paraId="3F695B0F" w14:textId="77777777" w:rsidR="005D00DA" w:rsidRPr="005D00DA" w:rsidRDefault="005D00DA" w:rsidP="00555DD2">
            <w:pPr>
              <w:spacing w:after="0" w:line="240" w:lineRule="auto"/>
              <w:jc w:val="right"/>
              <w:rPr>
                <w:rFonts w:ascii="Arial" w:hAnsi="Arial" w:cs="Arial"/>
                <w:bCs/>
                <w:color w:val="auto"/>
                <w:sz w:val="16"/>
                <w:szCs w:val="16"/>
              </w:rPr>
            </w:pPr>
            <w:r>
              <w:rPr>
                <w:rFonts w:ascii="Arial" w:hAnsi="Arial" w:cs="Arial"/>
                <w:bCs/>
                <w:color w:val="auto"/>
                <w:sz w:val="16"/>
                <w:szCs w:val="16"/>
              </w:rPr>
              <w:t>7</w:t>
            </w:r>
          </w:p>
        </w:tc>
        <w:tc>
          <w:tcPr>
            <w:tcW w:w="352" w:type="pct"/>
            <w:tcBorders>
              <w:left w:val="nil"/>
              <w:bottom w:val="nil"/>
              <w:right w:val="nil"/>
            </w:tcBorders>
            <w:shd w:val="clear" w:color="auto" w:fill="auto"/>
            <w:noWrap/>
            <w:vAlign w:val="center"/>
          </w:tcPr>
          <w:p w14:paraId="47D72AFC" w14:textId="77777777" w:rsidR="005D00DA" w:rsidRPr="005D00DA" w:rsidRDefault="005D00DA" w:rsidP="00555DD2">
            <w:pPr>
              <w:spacing w:after="0" w:line="240" w:lineRule="auto"/>
              <w:jc w:val="right"/>
              <w:rPr>
                <w:rFonts w:ascii="Arial" w:hAnsi="Arial" w:cs="Arial"/>
                <w:bCs/>
                <w:color w:val="auto"/>
                <w:sz w:val="16"/>
                <w:szCs w:val="16"/>
              </w:rPr>
            </w:pPr>
            <w:r>
              <w:rPr>
                <w:rFonts w:ascii="Arial" w:hAnsi="Arial" w:cs="Arial"/>
                <w:bCs/>
                <w:color w:val="auto"/>
                <w:sz w:val="16"/>
                <w:szCs w:val="16"/>
              </w:rPr>
              <w:t>11</w:t>
            </w:r>
          </w:p>
        </w:tc>
        <w:tc>
          <w:tcPr>
            <w:tcW w:w="356" w:type="pct"/>
            <w:tcBorders>
              <w:left w:val="nil"/>
              <w:bottom w:val="nil"/>
              <w:right w:val="nil"/>
            </w:tcBorders>
            <w:shd w:val="clear" w:color="auto" w:fill="F2F2F2"/>
            <w:noWrap/>
            <w:vAlign w:val="center"/>
          </w:tcPr>
          <w:p w14:paraId="2498EBE7" w14:textId="77777777" w:rsidR="005D00DA" w:rsidRPr="005D00DA" w:rsidRDefault="005D00DA" w:rsidP="00555DD2">
            <w:pPr>
              <w:spacing w:after="0" w:line="240" w:lineRule="auto"/>
              <w:jc w:val="right"/>
              <w:rPr>
                <w:rFonts w:ascii="Arial" w:hAnsi="Arial" w:cs="Arial"/>
                <w:bCs/>
                <w:color w:val="auto"/>
                <w:sz w:val="16"/>
                <w:szCs w:val="16"/>
              </w:rPr>
            </w:pPr>
            <w:r>
              <w:rPr>
                <w:rFonts w:ascii="Arial" w:hAnsi="Arial" w:cs="Arial"/>
                <w:bCs/>
                <w:color w:val="auto"/>
                <w:sz w:val="16"/>
                <w:szCs w:val="16"/>
              </w:rPr>
              <w:t>4</w:t>
            </w:r>
          </w:p>
        </w:tc>
        <w:tc>
          <w:tcPr>
            <w:tcW w:w="367" w:type="pct"/>
            <w:tcBorders>
              <w:left w:val="nil"/>
              <w:bottom w:val="nil"/>
              <w:right w:val="nil"/>
            </w:tcBorders>
            <w:shd w:val="clear" w:color="auto" w:fill="auto"/>
            <w:noWrap/>
            <w:vAlign w:val="center"/>
          </w:tcPr>
          <w:p w14:paraId="199EB50B" w14:textId="77777777" w:rsidR="005D00DA" w:rsidRPr="005D00DA"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156</w:t>
            </w:r>
          </w:p>
        </w:tc>
        <w:tc>
          <w:tcPr>
            <w:tcW w:w="364" w:type="pct"/>
            <w:tcBorders>
              <w:left w:val="nil"/>
              <w:bottom w:val="nil"/>
              <w:right w:val="nil"/>
            </w:tcBorders>
            <w:shd w:val="clear" w:color="auto" w:fill="F2F2F2"/>
            <w:noWrap/>
            <w:vAlign w:val="center"/>
          </w:tcPr>
          <w:p w14:paraId="78941C58" w14:textId="77777777" w:rsidR="005D00DA" w:rsidRPr="005D00DA" w:rsidRDefault="005D00DA" w:rsidP="00555DD2">
            <w:pPr>
              <w:spacing w:after="0" w:line="240" w:lineRule="auto"/>
              <w:jc w:val="right"/>
              <w:rPr>
                <w:rFonts w:ascii="Arial" w:hAnsi="Arial" w:cs="Arial"/>
                <w:color w:val="auto"/>
                <w:sz w:val="16"/>
                <w:szCs w:val="16"/>
              </w:rPr>
            </w:pPr>
            <w:r>
              <w:rPr>
                <w:rFonts w:ascii="Arial" w:hAnsi="Arial" w:cs="Arial"/>
                <w:color w:val="auto"/>
                <w:sz w:val="16"/>
                <w:szCs w:val="16"/>
              </w:rPr>
              <w:t>19</w:t>
            </w:r>
          </w:p>
        </w:tc>
      </w:tr>
      <w:tr w:rsidR="005D00DA" w:rsidRPr="00D3721D" w14:paraId="139BBD7C" w14:textId="77777777" w:rsidTr="005D00DA">
        <w:trPr>
          <w:trHeight w:val="227"/>
        </w:trPr>
        <w:tc>
          <w:tcPr>
            <w:tcW w:w="741" w:type="pct"/>
            <w:tcBorders>
              <w:top w:val="nil"/>
              <w:left w:val="nil"/>
              <w:bottom w:val="nil"/>
              <w:right w:val="nil"/>
            </w:tcBorders>
            <w:shd w:val="clear" w:color="000000" w:fill="FFFFFF"/>
            <w:noWrap/>
            <w:vAlign w:val="center"/>
            <w:hideMark/>
          </w:tcPr>
          <w:p w14:paraId="3BD00238" w14:textId="77777777" w:rsidR="005D00DA" w:rsidRPr="00D3721D" w:rsidRDefault="005D00DA" w:rsidP="005D00DA">
            <w:pPr>
              <w:spacing w:after="0" w:line="240" w:lineRule="auto"/>
              <w:jc w:val="left"/>
              <w:rPr>
                <w:rFonts w:ascii="Arial" w:hAnsi="Arial" w:cs="Arial"/>
                <w:color w:val="auto"/>
                <w:sz w:val="16"/>
                <w:szCs w:val="16"/>
              </w:rPr>
            </w:pPr>
          </w:p>
        </w:tc>
        <w:tc>
          <w:tcPr>
            <w:tcW w:w="352" w:type="pct"/>
            <w:tcBorders>
              <w:top w:val="nil"/>
              <w:left w:val="nil"/>
              <w:bottom w:val="nil"/>
              <w:right w:val="nil"/>
            </w:tcBorders>
            <w:shd w:val="clear" w:color="auto" w:fill="auto"/>
            <w:noWrap/>
            <w:vAlign w:val="center"/>
            <w:hideMark/>
          </w:tcPr>
          <w:p w14:paraId="35F1FCE7" w14:textId="77777777" w:rsidR="005D00DA" w:rsidRPr="00D3721D" w:rsidRDefault="005D00DA" w:rsidP="00555DD2">
            <w:pPr>
              <w:spacing w:after="0" w:line="240" w:lineRule="auto"/>
              <w:jc w:val="right"/>
              <w:rPr>
                <w:rFonts w:ascii="Arial" w:hAnsi="Arial" w:cs="Arial"/>
                <w:color w:val="auto"/>
                <w:sz w:val="16"/>
                <w:szCs w:val="16"/>
              </w:rPr>
            </w:pPr>
          </w:p>
        </w:tc>
        <w:tc>
          <w:tcPr>
            <w:tcW w:w="353" w:type="pct"/>
            <w:tcBorders>
              <w:top w:val="nil"/>
              <w:left w:val="nil"/>
              <w:bottom w:val="nil"/>
              <w:right w:val="nil"/>
            </w:tcBorders>
            <w:shd w:val="clear" w:color="auto" w:fill="F2F2F2"/>
            <w:noWrap/>
            <w:vAlign w:val="center"/>
            <w:hideMark/>
          </w:tcPr>
          <w:p w14:paraId="1F800C9A" w14:textId="77777777" w:rsidR="005D00DA" w:rsidRPr="00D3721D" w:rsidRDefault="005D00DA" w:rsidP="00555DD2">
            <w:pPr>
              <w:spacing w:after="0" w:line="240" w:lineRule="auto"/>
              <w:jc w:val="right"/>
              <w:rPr>
                <w:rFonts w:ascii="Arial" w:hAnsi="Arial" w:cs="Arial"/>
                <w:color w:val="auto"/>
                <w:sz w:val="16"/>
                <w:szCs w:val="16"/>
              </w:rPr>
            </w:pPr>
          </w:p>
        </w:tc>
        <w:tc>
          <w:tcPr>
            <w:tcW w:w="352" w:type="pct"/>
            <w:tcBorders>
              <w:top w:val="nil"/>
              <w:left w:val="nil"/>
              <w:bottom w:val="nil"/>
              <w:right w:val="nil"/>
            </w:tcBorders>
            <w:shd w:val="clear" w:color="auto" w:fill="auto"/>
            <w:noWrap/>
            <w:vAlign w:val="center"/>
            <w:hideMark/>
          </w:tcPr>
          <w:p w14:paraId="0E702BE4" w14:textId="77777777" w:rsidR="005D00DA" w:rsidRPr="00D3721D" w:rsidRDefault="005D00DA" w:rsidP="00555DD2">
            <w:pPr>
              <w:spacing w:after="0" w:line="240" w:lineRule="auto"/>
              <w:jc w:val="right"/>
              <w:rPr>
                <w:rFonts w:ascii="Arial" w:hAnsi="Arial" w:cs="Arial"/>
                <w:color w:val="auto"/>
                <w:sz w:val="16"/>
                <w:szCs w:val="16"/>
              </w:rPr>
            </w:pPr>
          </w:p>
        </w:tc>
        <w:tc>
          <w:tcPr>
            <w:tcW w:w="353" w:type="pct"/>
            <w:tcBorders>
              <w:top w:val="nil"/>
              <w:left w:val="nil"/>
              <w:bottom w:val="nil"/>
              <w:right w:val="nil"/>
            </w:tcBorders>
            <w:shd w:val="clear" w:color="auto" w:fill="F2F2F2"/>
            <w:noWrap/>
            <w:vAlign w:val="center"/>
            <w:hideMark/>
          </w:tcPr>
          <w:p w14:paraId="0050894C" w14:textId="77777777" w:rsidR="005D00DA" w:rsidRPr="00D3721D" w:rsidRDefault="005D00DA" w:rsidP="00555DD2">
            <w:pPr>
              <w:spacing w:after="0" w:line="240" w:lineRule="auto"/>
              <w:jc w:val="right"/>
              <w:rPr>
                <w:rFonts w:ascii="Arial" w:hAnsi="Arial" w:cs="Arial"/>
                <w:color w:val="auto"/>
                <w:sz w:val="16"/>
                <w:szCs w:val="16"/>
              </w:rPr>
            </w:pPr>
          </w:p>
        </w:tc>
        <w:tc>
          <w:tcPr>
            <w:tcW w:w="352" w:type="pct"/>
            <w:tcBorders>
              <w:top w:val="nil"/>
              <w:left w:val="nil"/>
              <w:bottom w:val="nil"/>
              <w:right w:val="nil"/>
            </w:tcBorders>
            <w:shd w:val="clear" w:color="auto" w:fill="auto"/>
            <w:noWrap/>
            <w:vAlign w:val="center"/>
            <w:hideMark/>
          </w:tcPr>
          <w:p w14:paraId="2CAFD651" w14:textId="77777777" w:rsidR="005D00DA" w:rsidRPr="00D3721D" w:rsidRDefault="005D00DA" w:rsidP="00555DD2">
            <w:pPr>
              <w:spacing w:after="0" w:line="240" w:lineRule="auto"/>
              <w:jc w:val="right"/>
              <w:rPr>
                <w:rFonts w:ascii="Arial" w:hAnsi="Arial" w:cs="Arial"/>
                <w:color w:val="auto"/>
                <w:sz w:val="16"/>
                <w:szCs w:val="16"/>
              </w:rPr>
            </w:pPr>
          </w:p>
        </w:tc>
        <w:tc>
          <w:tcPr>
            <w:tcW w:w="353" w:type="pct"/>
            <w:tcBorders>
              <w:top w:val="nil"/>
              <w:left w:val="nil"/>
              <w:bottom w:val="nil"/>
              <w:right w:val="nil"/>
            </w:tcBorders>
            <w:shd w:val="clear" w:color="auto" w:fill="F2F2F2"/>
            <w:noWrap/>
            <w:vAlign w:val="center"/>
            <w:hideMark/>
          </w:tcPr>
          <w:p w14:paraId="70BDB39F" w14:textId="77777777" w:rsidR="005D00DA" w:rsidRPr="00D3721D" w:rsidRDefault="005D00DA" w:rsidP="00555DD2">
            <w:pPr>
              <w:spacing w:after="0" w:line="240" w:lineRule="auto"/>
              <w:jc w:val="right"/>
              <w:rPr>
                <w:rFonts w:ascii="Arial" w:hAnsi="Arial" w:cs="Arial"/>
                <w:color w:val="auto"/>
                <w:sz w:val="16"/>
                <w:szCs w:val="16"/>
              </w:rPr>
            </w:pPr>
          </w:p>
        </w:tc>
        <w:tc>
          <w:tcPr>
            <w:tcW w:w="352" w:type="pct"/>
            <w:tcBorders>
              <w:top w:val="nil"/>
              <w:left w:val="nil"/>
              <w:bottom w:val="nil"/>
              <w:right w:val="nil"/>
            </w:tcBorders>
            <w:shd w:val="clear" w:color="auto" w:fill="auto"/>
            <w:noWrap/>
            <w:vAlign w:val="center"/>
            <w:hideMark/>
          </w:tcPr>
          <w:p w14:paraId="38A0CCF4" w14:textId="77777777" w:rsidR="005D00DA" w:rsidRPr="00D3721D" w:rsidRDefault="005D00DA" w:rsidP="00555DD2">
            <w:pPr>
              <w:spacing w:after="0" w:line="240" w:lineRule="auto"/>
              <w:jc w:val="right"/>
              <w:rPr>
                <w:rFonts w:ascii="Arial" w:hAnsi="Arial" w:cs="Arial"/>
                <w:color w:val="auto"/>
                <w:sz w:val="16"/>
                <w:szCs w:val="16"/>
              </w:rPr>
            </w:pPr>
          </w:p>
        </w:tc>
        <w:tc>
          <w:tcPr>
            <w:tcW w:w="353" w:type="pct"/>
            <w:tcBorders>
              <w:top w:val="nil"/>
              <w:left w:val="nil"/>
              <w:bottom w:val="nil"/>
              <w:right w:val="nil"/>
            </w:tcBorders>
            <w:shd w:val="clear" w:color="auto" w:fill="F2F2F2"/>
            <w:noWrap/>
            <w:vAlign w:val="center"/>
            <w:hideMark/>
          </w:tcPr>
          <w:p w14:paraId="0BE37F97" w14:textId="77777777" w:rsidR="005D00DA" w:rsidRPr="00D3721D" w:rsidRDefault="005D00DA" w:rsidP="00555DD2">
            <w:pPr>
              <w:spacing w:after="0" w:line="240" w:lineRule="auto"/>
              <w:jc w:val="right"/>
              <w:rPr>
                <w:rFonts w:ascii="Arial" w:hAnsi="Arial" w:cs="Arial"/>
                <w:color w:val="auto"/>
                <w:sz w:val="16"/>
                <w:szCs w:val="16"/>
              </w:rPr>
            </w:pPr>
          </w:p>
        </w:tc>
        <w:tc>
          <w:tcPr>
            <w:tcW w:w="352" w:type="pct"/>
            <w:tcBorders>
              <w:top w:val="nil"/>
              <w:left w:val="nil"/>
              <w:bottom w:val="nil"/>
              <w:right w:val="nil"/>
            </w:tcBorders>
            <w:shd w:val="clear" w:color="auto" w:fill="auto"/>
            <w:noWrap/>
            <w:vAlign w:val="center"/>
            <w:hideMark/>
          </w:tcPr>
          <w:p w14:paraId="31A27A41" w14:textId="77777777" w:rsidR="005D00DA" w:rsidRPr="00D3721D" w:rsidRDefault="005D00DA" w:rsidP="00555DD2">
            <w:pPr>
              <w:spacing w:after="0" w:line="240" w:lineRule="auto"/>
              <w:jc w:val="right"/>
              <w:rPr>
                <w:rFonts w:ascii="Arial" w:hAnsi="Arial" w:cs="Arial"/>
                <w:color w:val="auto"/>
                <w:sz w:val="16"/>
                <w:szCs w:val="16"/>
              </w:rPr>
            </w:pPr>
          </w:p>
        </w:tc>
        <w:tc>
          <w:tcPr>
            <w:tcW w:w="356" w:type="pct"/>
            <w:tcBorders>
              <w:top w:val="nil"/>
              <w:left w:val="nil"/>
              <w:bottom w:val="nil"/>
              <w:right w:val="nil"/>
            </w:tcBorders>
            <w:shd w:val="clear" w:color="auto" w:fill="F2F2F2"/>
            <w:noWrap/>
            <w:vAlign w:val="center"/>
            <w:hideMark/>
          </w:tcPr>
          <w:p w14:paraId="4138E482" w14:textId="77777777" w:rsidR="005D00DA" w:rsidRPr="00D3721D" w:rsidRDefault="005D00DA" w:rsidP="00555DD2">
            <w:pPr>
              <w:spacing w:after="0" w:line="240" w:lineRule="auto"/>
              <w:jc w:val="right"/>
              <w:rPr>
                <w:rFonts w:ascii="Arial" w:hAnsi="Arial" w:cs="Arial"/>
                <w:color w:val="auto"/>
                <w:sz w:val="16"/>
                <w:szCs w:val="16"/>
              </w:rPr>
            </w:pPr>
          </w:p>
        </w:tc>
        <w:tc>
          <w:tcPr>
            <w:tcW w:w="367" w:type="pct"/>
            <w:tcBorders>
              <w:top w:val="nil"/>
              <w:left w:val="nil"/>
              <w:bottom w:val="nil"/>
              <w:right w:val="nil"/>
            </w:tcBorders>
            <w:shd w:val="clear" w:color="auto" w:fill="auto"/>
            <w:noWrap/>
            <w:vAlign w:val="center"/>
            <w:hideMark/>
          </w:tcPr>
          <w:p w14:paraId="3EA32159" w14:textId="77777777" w:rsidR="005D00DA" w:rsidRPr="00D3721D" w:rsidRDefault="005D00DA" w:rsidP="00555DD2">
            <w:pPr>
              <w:spacing w:after="0" w:line="240" w:lineRule="auto"/>
              <w:jc w:val="right"/>
              <w:rPr>
                <w:rFonts w:ascii="Arial" w:hAnsi="Arial" w:cs="Arial"/>
                <w:color w:val="auto"/>
                <w:sz w:val="16"/>
                <w:szCs w:val="16"/>
              </w:rPr>
            </w:pPr>
          </w:p>
        </w:tc>
        <w:tc>
          <w:tcPr>
            <w:tcW w:w="364" w:type="pct"/>
            <w:tcBorders>
              <w:top w:val="nil"/>
              <w:left w:val="nil"/>
              <w:bottom w:val="nil"/>
              <w:right w:val="nil"/>
            </w:tcBorders>
            <w:shd w:val="clear" w:color="auto" w:fill="F2F2F2"/>
            <w:noWrap/>
            <w:vAlign w:val="center"/>
            <w:hideMark/>
          </w:tcPr>
          <w:p w14:paraId="1343302C" w14:textId="77777777" w:rsidR="005D00DA" w:rsidRPr="00D3721D" w:rsidRDefault="005D00DA" w:rsidP="00555DD2">
            <w:pPr>
              <w:spacing w:after="0" w:line="240" w:lineRule="auto"/>
              <w:jc w:val="right"/>
              <w:rPr>
                <w:rFonts w:ascii="Arial" w:hAnsi="Arial" w:cs="Arial"/>
                <w:color w:val="auto"/>
                <w:sz w:val="16"/>
                <w:szCs w:val="16"/>
              </w:rPr>
            </w:pPr>
          </w:p>
        </w:tc>
      </w:tr>
      <w:tr w:rsidR="005D00DA" w:rsidRPr="00D3721D" w14:paraId="6A3ACB2B" w14:textId="77777777" w:rsidTr="005D00DA">
        <w:trPr>
          <w:trHeight w:val="227"/>
        </w:trPr>
        <w:tc>
          <w:tcPr>
            <w:tcW w:w="741" w:type="pct"/>
            <w:tcBorders>
              <w:top w:val="nil"/>
              <w:left w:val="nil"/>
              <w:bottom w:val="single" w:sz="4" w:space="0" w:color="000000"/>
              <w:right w:val="nil"/>
            </w:tcBorders>
            <w:shd w:val="clear" w:color="000000" w:fill="FFFFFF"/>
            <w:noWrap/>
            <w:vAlign w:val="center"/>
            <w:hideMark/>
          </w:tcPr>
          <w:p w14:paraId="58C10C0C" w14:textId="77777777" w:rsidR="005D00DA" w:rsidRPr="00D3721D" w:rsidRDefault="005D00DA" w:rsidP="00555DD2">
            <w:pPr>
              <w:spacing w:after="0" w:line="240" w:lineRule="auto"/>
              <w:jc w:val="left"/>
              <w:rPr>
                <w:rFonts w:ascii="Arial" w:hAnsi="Arial" w:cs="Arial"/>
                <w:color w:val="auto"/>
                <w:sz w:val="16"/>
                <w:szCs w:val="16"/>
              </w:rPr>
            </w:pPr>
            <w:r w:rsidRPr="00D3721D">
              <w:rPr>
                <w:rFonts w:ascii="Arial" w:hAnsi="Arial" w:cs="Arial"/>
                <w:b/>
                <w:bCs/>
                <w:color w:val="auto"/>
                <w:sz w:val="16"/>
                <w:szCs w:val="16"/>
              </w:rPr>
              <w:t xml:space="preserve"> Total considered </w:t>
            </w:r>
          </w:p>
        </w:tc>
        <w:tc>
          <w:tcPr>
            <w:tcW w:w="352" w:type="pct"/>
            <w:tcBorders>
              <w:top w:val="nil"/>
              <w:left w:val="nil"/>
              <w:bottom w:val="single" w:sz="4" w:space="0" w:color="000000"/>
              <w:right w:val="nil"/>
            </w:tcBorders>
            <w:shd w:val="clear" w:color="auto" w:fill="auto"/>
            <w:noWrap/>
            <w:vAlign w:val="center"/>
            <w:hideMark/>
          </w:tcPr>
          <w:p w14:paraId="00F80593"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13</w:t>
            </w:r>
          </w:p>
        </w:tc>
        <w:tc>
          <w:tcPr>
            <w:tcW w:w="353" w:type="pct"/>
            <w:tcBorders>
              <w:top w:val="nil"/>
              <w:left w:val="nil"/>
              <w:bottom w:val="single" w:sz="4" w:space="0" w:color="000000"/>
              <w:right w:val="nil"/>
            </w:tcBorders>
            <w:shd w:val="clear" w:color="auto" w:fill="F2F2F2"/>
            <w:noWrap/>
            <w:vAlign w:val="center"/>
          </w:tcPr>
          <w:p w14:paraId="45FA8A61"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17</w:t>
            </w:r>
          </w:p>
        </w:tc>
        <w:tc>
          <w:tcPr>
            <w:tcW w:w="352" w:type="pct"/>
            <w:tcBorders>
              <w:top w:val="nil"/>
              <w:left w:val="nil"/>
              <w:bottom w:val="single" w:sz="4" w:space="0" w:color="000000"/>
              <w:right w:val="nil"/>
            </w:tcBorders>
            <w:shd w:val="clear" w:color="auto" w:fill="auto"/>
            <w:noWrap/>
            <w:vAlign w:val="center"/>
          </w:tcPr>
          <w:p w14:paraId="379B8B00"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0</w:t>
            </w:r>
          </w:p>
        </w:tc>
        <w:tc>
          <w:tcPr>
            <w:tcW w:w="353" w:type="pct"/>
            <w:tcBorders>
              <w:top w:val="nil"/>
              <w:left w:val="nil"/>
              <w:bottom w:val="single" w:sz="4" w:space="0" w:color="000000"/>
              <w:right w:val="nil"/>
            </w:tcBorders>
            <w:shd w:val="clear" w:color="auto" w:fill="F2F2F2"/>
            <w:noWrap/>
            <w:vAlign w:val="center"/>
          </w:tcPr>
          <w:p w14:paraId="6530432F"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0</w:t>
            </w:r>
          </w:p>
        </w:tc>
        <w:tc>
          <w:tcPr>
            <w:tcW w:w="352" w:type="pct"/>
            <w:tcBorders>
              <w:top w:val="nil"/>
              <w:left w:val="nil"/>
              <w:bottom w:val="single" w:sz="4" w:space="0" w:color="000000"/>
              <w:right w:val="nil"/>
            </w:tcBorders>
            <w:shd w:val="clear" w:color="auto" w:fill="auto"/>
            <w:noWrap/>
            <w:vAlign w:val="center"/>
          </w:tcPr>
          <w:p w14:paraId="078E4728"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302</w:t>
            </w:r>
          </w:p>
        </w:tc>
        <w:tc>
          <w:tcPr>
            <w:tcW w:w="353" w:type="pct"/>
            <w:tcBorders>
              <w:top w:val="nil"/>
              <w:left w:val="nil"/>
              <w:bottom w:val="single" w:sz="4" w:space="0" w:color="000000"/>
              <w:right w:val="nil"/>
            </w:tcBorders>
            <w:shd w:val="clear" w:color="auto" w:fill="F2F2F2"/>
            <w:noWrap/>
            <w:vAlign w:val="center"/>
          </w:tcPr>
          <w:p w14:paraId="784C7E47"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211</w:t>
            </w:r>
          </w:p>
        </w:tc>
        <w:tc>
          <w:tcPr>
            <w:tcW w:w="352" w:type="pct"/>
            <w:tcBorders>
              <w:top w:val="nil"/>
              <w:left w:val="nil"/>
              <w:bottom w:val="single" w:sz="4" w:space="0" w:color="000000"/>
              <w:right w:val="nil"/>
            </w:tcBorders>
            <w:shd w:val="clear" w:color="auto" w:fill="auto"/>
            <w:noWrap/>
            <w:vAlign w:val="center"/>
          </w:tcPr>
          <w:p w14:paraId="29956534"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14</w:t>
            </w:r>
          </w:p>
        </w:tc>
        <w:tc>
          <w:tcPr>
            <w:tcW w:w="353" w:type="pct"/>
            <w:tcBorders>
              <w:top w:val="nil"/>
              <w:left w:val="nil"/>
              <w:bottom w:val="single" w:sz="4" w:space="0" w:color="000000"/>
              <w:right w:val="nil"/>
            </w:tcBorders>
            <w:shd w:val="clear" w:color="auto" w:fill="F2F2F2"/>
            <w:noWrap/>
            <w:vAlign w:val="center"/>
          </w:tcPr>
          <w:p w14:paraId="635835A9"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27</w:t>
            </w:r>
          </w:p>
        </w:tc>
        <w:tc>
          <w:tcPr>
            <w:tcW w:w="352" w:type="pct"/>
            <w:tcBorders>
              <w:top w:val="nil"/>
              <w:left w:val="nil"/>
              <w:bottom w:val="single" w:sz="4" w:space="0" w:color="000000"/>
              <w:right w:val="nil"/>
            </w:tcBorders>
            <w:shd w:val="clear" w:color="auto" w:fill="auto"/>
            <w:noWrap/>
            <w:vAlign w:val="center"/>
          </w:tcPr>
          <w:p w14:paraId="4A0F6FF5"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31</w:t>
            </w:r>
          </w:p>
        </w:tc>
        <w:tc>
          <w:tcPr>
            <w:tcW w:w="356" w:type="pct"/>
            <w:tcBorders>
              <w:top w:val="nil"/>
              <w:left w:val="nil"/>
              <w:bottom w:val="single" w:sz="4" w:space="0" w:color="000000"/>
              <w:right w:val="nil"/>
            </w:tcBorders>
            <w:shd w:val="clear" w:color="auto" w:fill="F2F2F2"/>
            <w:noWrap/>
            <w:vAlign w:val="center"/>
          </w:tcPr>
          <w:p w14:paraId="4D46E27E"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17</w:t>
            </w:r>
          </w:p>
        </w:tc>
        <w:tc>
          <w:tcPr>
            <w:tcW w:w="367" w:type="pct"/>
            <w:tcBorders>
              <w:top w:val="nil"/>
              <w:left w:val="nil"/>
              <w:bottom w:val="single" w:sz="4" w:space="0" w:color="auto"/>
              <w:right w:val="nil"/>
            </w:tcBorders>
            <w:shd w:val="clear" w:color="auto" w:fill="auto"/>
            <w:noWrap/>
            <w:vAlign w:val="center"/>
          </w:tcPr>
          <w:p w14:paraId="336BE978"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360</w:t>
            </w:r>
          </w:p>
        </w:tc>
        <w:tc>
          <w:tcPr>
            <w:tcW w:w="364" w:type="pct"/>
            <w:tcBorders>
              <w:top w:val="nil"/>
              <w:left w:val="nil"/>
              <w:bottom w:val="single" w:sz="4" w:space="0" w:color="auto"/>
              <w:right w:val="nil"/>
            </w:tcBorders>
            <w:shd w:val="clear" w:color="auto" w:fill="F2F2F2"/>
            <w:noWrap/>
            <w:vAlign w:val="center"/>
          </w:tcPr>
          <w:p w14:paraId="4DE8776F" w14:textId="77777777" w:rsidR="005D00DA" w:rsidRPr="00D3721D" w:rsidRDefault="005D00DA" w:rsidP="00555DD2">
            <w:pPr>
              <w:spacing w:after="0" w:line="240" w:lineRule="auto"/>
              <w:jc w:val="right"/>
              <w:rPr>
                <w:rFonts w:ascii="Arial" w:hAnsi="Arial" w:cs="Arial"/>
                <w:color w:val="auto"/>
                <w:sz w:val="16"/>
                <w:szCs w:val="16"/>
              </w:rPr>
            </w:pPr>
            <w:r>
              <w:rPr>
                <w:rFonts w:ascii="Arial" w:hAnsi="Arial" w:cs="Arial"/>
                <w:b/>
                <w:bCs/>
                <w:color w:val="auto"/>
                <w:sz w:val="16"/>
                <w:szCs w:val="16"/>
              </w:rPr>
              <w:t>272</w:t>
            </w:r>
          </w:p>
        </w:tc>
      </w:tr>
      <w:tr w:rsidR="005D00DA" w:rsidRPr="00D3721D" w14:paraId="772C1250" w14:textId="77777777" w:rsidTr="005D00DA">
        <w:trPr>
          <w:trHeight w:val="227"/>
        </w:trPr>
        <w:tc>
          <w:tcPr>
            <w:tcW w:w="741" w:type="pct"/>
            <w:tcBorders>
              <w:top w:val="nil"/>
              <w:left w:val="nil"/>
              <w:right w:val="nil"/>
            </w:tcBorders>
            <w:shd w:val="clear" w:color="000000" w:fill="FFFFFF"/>
            <w:noWrap/>
            <w:vAlign w:val="center"/>
          </w:tcPr>
          <w:p w14:paraId="6C911566" w14:textId="77777777" w:rsidR="005D00DA" w:rsidRPr="00D3721D" w:rsidRDefault="005D00DA" w:rsidP="00555DD2">
            <w:pPr>
              <w:spacing w:after="0" w:line="240" w:lineRule="auto"/>
              <w:jc w:val="left"/>
              <w:rPr>
                <w:rFonts w:ascii="Arial" w:hAnsi="Arial" w:cs="Arial"/>
                <w:b/>
                <w:bCs/>
                <w:color w:val="auto"/>
                <w:sz w:val="16"/>
                <w:szCs w:val="16"/>
              </w:rPr>
            </w:pPr>
          </w:p>
        </w:tc>
        <w:tc>
          <w:tcPr>
            <w:tcW w:w="352" w:type="pct"/>
            <w:tcBorders>
              <w:top w:val="nil"/>
              <w:left w:val="nil"/>
              <w:right w:val="nil"/>
            </w:tcBorders>
            <w:shd w:val="clear" w:color="auto" w:fill="auto"/>
            <w:noWrap/>
            <w:vAlign w:val="center"/>
          </w:tcPr>
          <w:p w14:paraId="14EECFA9" w14:textId="77777777" w:rsidR="005D00DA" w:rsidRPr="00D3721D" w:rsidRDefault="005D00DA" w:rsidP="00555DD2">
            <w:pPr>
              <w:spacing w:after="0" w:line="240" w:lineRule="auto"/>
              <w:jc w:val="right"/>
              <w:rPr>
                <w:rFonts w:ascii="Arial" w:hAnsi="Arial" w:cs="Arial"/>
                <w:b/>
                <w:bCs/>
                <w:color w:val="auto"/>
                <w:sz w:val="16"/>
                <w:szCs w:val="16"/>
              </w:rPr>
            </w:pPr>
          </w:p>
        </w:tc>
        <w:tc>
          <w:tcPr>
            <w:tcW w:w="353" w:type="pct"/>
            <w:tcBorders>
              <w:top w:val="nil"/>
              <w:left w:val="nil"/>
              <w:right w:val="nil"/>
            </w:tcBorders>
            <w:shd w:val="clear" w:color="auto" w:fill="auto"/>
            <w:noWrap/>
            <w:vAlign w:val="center"/>
          </w:tcPr>
          <w:p w14:paraId="28A14590" w14:textId="77777777" w:rsidR="005D00DA" w:rsidRPr="00D3721D" w:rsidRDefault="005D00DA" w:rsidP="00555DD2">
            <w:pPr>
              <w:spacing w:after="0" w:line="240" w:lineRule="auto"/>
              <w:jc w:val="right"/>
              <w:rPr>
                <w:rFonts w:ascii="Arial" w:hAnsi="Arial" w:cs="Arial"/>
                <w:b/>
                <w:bCs/>
                <w:color w:val="auto"/>
                <w:sz w:val="16"/>
                <w:szCs w:val="16"/>
              </w:rPr>
            </w:pPr>
          </w:p>
        </w:tc>
        <w:tc>
          <w:tcPr>
            <w:tcW w:w="352" w:type="pct"/>
            <w:tcBorders>
              <w:top w:val="nil"/>
              <w:left w:val="nil"/>
              <w:right w:val="nil"/>
            </w:tcBorders>
            <w:shd w:val="clear" w:color="auto" w:fill="auto"/>
            <w:noWrap/>
            <w:vAlign w:val="center"/>
          </w:tcPr>
          <w:p w14:paraId="4DF65D82" w14:textId="77777777" w:rsidR="005D00DA" w:rsidRPr="00D3721D" w:rsidRDefault="005D00DA" w:rsidP="00555DD2">
            <w:pPr>
              <w:spacing w:after="0" w:line="240" w:lineRule="auto"/>
              <w:jc w:val="right"/>
              <w:rPr>
                <w:rFonts w:ascii="Arial" w:hAnsi="Arial" w:cs="Arial"/>
                <w:b/>
                <w:bCs/>
                <w:color w:val="auto"/>
                <w:sz w:val="16"/>
                <w:szCs w:val="16"/>
              </w:rPr>
            </w:pPr>
          </w:p>
        </w:tc>
        <w:tc>
          <w:tcPr>
            <w:tcW w:w="353" w:type="pct"/>
            <w:tcBorders>
              <w:top w:val="nil"/>
              <w:left w:val="nil"/>
              <w:right w:val="nil"/>
            </w:tcBorders>
            <w:shd w:val="clear" w:color="auto" w:fill="auto"/>
            <w:noWrap/>
            <w:vAlign w:val="center"/>
          </w:tcPr>
          <w:p w14:paraId="7F6E26E7" w14:textId="77777777" w:rsidR="005D00DA" w:rsidRPr="00D3721D" w:rsidRDefault="005D00DA" w:rsidP="00555DD2">
            <w:pPr>
              <w:spacing w:after="0" w:line="240" w:lineRule="auto"/>
              <w:jc w:val="right"/>
              <w:rPr>
                <w:rFonts w:ascii="Arial" w:hAnsi="Arial" w:cs="Arial"/>
                <w:b/>
                <w:bCs/>
                <w:color w:val="auto"/>
                <w:sz w:val="16"/>
                <w:szCs w:val="16"/>
              </w:rPr>
            </w:pPr>
          </w:p>
        </w:tc>
        <w:tc>
          <w:tcPr>
            <w:tcW w:w="352" w:type="pct"/>
            <w:tcBorders>
              <w:top w:val="nil"/>
              <w:left w:val="nil"/>
              <w:right w:val="nil"/>
            </w:tcBorders>
            <w:shd w:val="clear" w:color="auto" w:fill="auto"/>
            <w:noWrap/>
            <w:vAlign w:val="center"/>
          </w:tcPr>
          <w:p w14:paraId="3FD77496" w14:textId="77777777" w:rsidR="005D00DA" w:rsidRPr="00D3721D" w:rsidRDefault="005D00DA" w:rsidP="00555DD2">
            <w:pPr>
              <w:spacing w:after="0" w:line="240" w:lineRule="auto"/>
              <w:jc w:val="right"/>
              <w:rPr>
                <w:rFonts w:ascii="Arial" w:hAnsi="Arial" w:cs="Arial"/>
                <w:b/>
                <w:bCs/>
                <w:color w:val="auto"/>
                <w:sz w:val="16"/>
                <w:szCs w:val="16"/>
              </w:rPr>
            </w:pPr>
          </w:p>
        </w:tc>
        <w:tc>
          <w:tcPr>
            <w:tcW w:w="353" w:type="pct"/>
            <w:tcBorders>
              <w:top w:val="nil"/>
              <w:left w:val="nil"/>
              <w:right w:val="nil"/>
            </w:tcBorders>
            <w:shd w:val="clear" w:color="auto" w:fill="auto"/>
            <w:noWrap/>
            <w:vAlign w:val="center"/>
          </w:tcPr>
          <w:p w14:paraId="47A08452" w14:textId="77777777" w:rsidR="005D00DA" w:rsidRPr="00D3721D" w:rsidRDefault="005D00DA" w:rsidP="00555DD2">
            <w:pPr>
              <w:spacing w:after="0" w:line="240" w:lineRule="auto"/>
              <w:jc w:val="right"/>
              <w:rPr>
                <w:rFonts w:ascii="Arial" w:hAnsi="Arial" w:cs="Arial"/>
                <w:b/>
                <w:bCs/>
                <w:color w:val="auto"/>
                <w:sz w:val="16"/>
                <w:szCs w:val="16"/>
              </w:rPr>
            </w:pPr>
          </w:p>
        </w:tc>
        <w:tc>
          <w:tcPr>
            <w:tcW w:w="352" w:type="pct"/>
            <w:tcBorders>
              <w:top w:val="nil"/>
              <w:left w:val="nil"/>
              <w:right w:val="nil"/>
            </w:tcBorders>
            <w:shd w:val="clear" w:color="auto" w:fill="auto"/>
            <w:noWrap/>
            <w:vAlign w:val="center"/>
          </w:tcPr>
          <w:p w14:paraId="740111DB" w14:textId="77777777" w:rsidR="005D00DA" w:rsidRPr="00D3721D" w:rsidRDefault="005D00DA" w:rsidP="00555DD2">
            <w:pPr>
              <w:spacing w:after="0" w:line="240" w:lineRule="auto"/>
              <w:jc w:val="right"/>
              <w:rPr>
                <w:rFonts w:ascii="Arial" w:hAnsi="Arial" w:cs="Arial"/>
                <w:b/>
                <w:bCs/>
                <w:color w:val="auto"/>
                <w:sz w:val="16"/>
                <w:szCs w:val="16"/>
              </w:rPr>
            </w:pPr>
          </w:p>
        </w:tc>
        <w:tc>
          <w:tcPr>
            <w:tcW w:w="353" w:type="pct"/>
            <w:tcBorders>
              <w:top w:val="nil"/>
              <w:left w:val="nil"/>
              <w:right w:val="nil"/>
            </w:tcBorders>
            <w:shd w:val="clear" w:color="auto" w:fill="auto"/>
            <w:noWrap/>
            <w:vAlign w:val="center"/>
          </w:tcPr>
          <w:p w14:paraId="6816F71E" w14:textId="77777777" w:rsidR="005D00DA" w:rsidRPr="00D3721D" w:rsidRDefault="005D00DA" w:rsidP="00555DD2">
            <w:pPr>
              <w:spacing w:after="0" w:line="240" w:lineRule="auto"/>
              <w:jc w:val="right"/>
              <w:rPr>
                <w:rFonts w:ascii="Arial" w:hAnsi="Arial" w:cs="Arial"/>
                <w:b/>
                <w:bCs/>
                <w:color w:val="auto"/>
                <w:sz w:val="16"/>
                <w:szCs w:val="16"/>
              </w:rPr>
            </w:pPr>
          </w:p>
        </w:tc>
        <w:tc>
          <w:tcPr>
            <w:tcW w:w="352" w:type="pct"/>
            <w:tcBorders>
              <w:top w:val="nil"/>
              <w:left w:val="nil"/>
              <w:right w:val="nil"/>
            </w:tcBorders>
            <w:shd w:val="clear" w:color="auto" w:fill="auto"/>
            <w:noWrap/>
            <w:vAlign w:val="center"/>
          </w:tcPr>
          <w:p w14:paraId="54131DC7" w14:textId="77777777" w:rsidR="005D00DA" w:rsidRPr="00D3721D" w:rsidRDefault="005D00DA" w:rsidP="00555DD2">
            <w:pPr>
              <w:spacing w:after="0" w:line="240" w:lineRule="auto"/>
              <w:jc w:val="right"/>
              <w:rPr>
                <w:rFonts w:ascii="Arial" w:hAnsi="Arial" w:cs="Arial"/>
                <w:b/>
                <w:bCs/>
                <w:color w:val="auto"/>
                <w:sz w:val="16"/>
                <w:szCs w:val="16"/>
              </w:rPr>
            </w:pPr>
          </w:p>
        </w:tc>
        <w:tc>
          <w:tcPr>
            <w:tcW w:w="356" w:type="pct"/>
            <w:tcBorders>
              <w:top w:val="nil"/>
              <w:left w:val="nil"/>
              <w:right w:val="nil"/>
            </w:tcBorders>
            <w:shd w:val="clear" w:color="auto" w:fill="auto"/>
            <w:noWrap/>
            <w:vAlign w:val="center"/>
          </w:tcPr>
          <w:p w14:paraId="7C6A3A00" w14:textId="77777777" w:rsidR="005D00DA" w:rsidRPr="00D3721D" w:rsidRDefault="005D00DA" w:rsidP="00555DD2">
            <w:pPr>
              <w:spacing w:after="0" w:line="240" w:lineRule="auto"/>
              <w:jc w:val="right"/>
              <w:rPr>
                <w:rFonts w:ascii="Arial" w:hAnsi="Arial" w:cs="Arial"/>
                <w:b/>
                <w:bCs/>
                <w:color w:val="auto"/>
                <w:sz w:val="16"/>
                <w:szCs w:val="16"/>
              </w:rPr>
            </w:pPr>
          </w:p>
        </w:tc>
        <w:tc>
          <w:tcPr>
            <w:tcW w:w="367" w:type="pct"/>
            <w:tcBorders>
              <w:top w:val="nil"/>
              <w:left w:val="nil"/>
              <w:right w:val="nil"/>
            </w:tcBorders>
            <w:shd w:val="clear" w:color="auto" w:fill="auto"/>
            <w:noWrap/>
            <w:vAlign w:val="center"/>
          </w:tcPr>
          <w:p w14:paraId="1240029F" w14:textId="77777777" w:rsidR="005D00DA" w:rsidRPr="00D3721D" w:rsidRDefault="005D00DA" w:rsidP="00555DD2">
            <w:pPr>
              <w:spacing w:after="0" w:line="240" w:lineRule="auto"/>
              <w:jc w:val="right"/>
              <w:rPr>
                <w:rFonts w:ascii="Arial" w:hAnsi="Arial" w:cs="Arial"/>
                <w:b/>
                <w:bCs/>
                <w:color w:val="auto"/>
                <w:sz w:val="16"/>
                <w:szCs w:val="16"/>
              </w:rPr>
            </w:pPr>
          </w:p>
        </w:tc>
        <w:tc>
          <w:tcPr>
            <w:tcW w:w="364" w:type="pct"/>
            <w:tcBorders>
              <w:top w:val="nil"/>
              <w:left w:val="nil"/>
              <w:right w:val="nil"/>
            </w:tcBorders>
            <w:shd w:val="clear" w:color="auto" w:fill="auto"/>
            <w:noWrap/>
            <w:vAlign w:val="center"/>
          </w:tcPr>
          <w:p w14:paraId="3CB1418A" w14:textId="77777777" w:rsidR="005D00DA" w:rsidRPr="00D3721D" w:rsidRDefault="005D00DA" w:rsidP="00555DD2">
            <w:pPr>
              <w:spacing w:after="0" w:line="240" w:lineRule="auto"/>
              <w:jc w:val="right"/>
              <w:rPr>
                <w:rFonts w:ascii="Arial" w:hAnsi="Arial" w:cs="Arial"/>
                <w:b/>
                <w:bCs/>
                <w:color w:val="auto"/>
                <w:sz w:val="16"/>
                <w:szCs w:val="16"/>
              </w:rPr>
            </w:pPr>
          </w:p>
        </w:tc>
      </w:tr>
    </w:tbl>
    <w:p w14:paraId="32B65C2A" w14:textId="77777777" w:rsidR="005D00DA" w:rsidRPr="005D00DA" w:rsidRDefault="005D00DA" w:rsidP="005D00DA">
      <w:pPr>
        <w:sectPr w:rsidR="005D00DA" w:rsidRPr="005D00DA" w:rsidSect="00FB0E75">
          <w:headerReference w:type="first" r:id="rId67"/>
          <w:footerReference w:type="first" r:id="rId68"/>
          <w:pgSz w:w="16838" w:h="11906" w:orient="landscape" w:code="9"/>
          <w:pgMar w:top="2098" w:right="2466" w:bottom="2098" w:left="2466" w:header="1899" w:footer="1899" w:gutter="0"/>
          <w:cols w:space="708"/>
          <w:titlePg/>
          <w:docGrid w:linePitch="360"/>
        </w:sectPr>
      </w:pPr>
    </w:p>
    <w:p w14:paraId="18FA98BE" w14:textId="77777777" w:rsidR="00264DAF" w:rsidRPr="0095370F" w:rsidRDefault="00264DAF" w:rsidP="0095370F">
      <w:pPr>
        <w:pStyle w:val="ChartorTableNote"/>
        <w:rPr>
          <w:b/>
          <w:bCs/>
        </w:rPr>
      </w:pPr>
      <w:r w:rsidRPr="0095370F">
        <w:rPr>
          <w:b/>
          <w:bCs/>
        </w:rPr>
        <w:t>Notes for Tables 3.1</w:t>
      </w:r>
      <w:r w:rsidR="001B57FA" w:rsidRPr="0095370F">
        <w:rPr>
          <w:b/>
          <w:bCs/>
        </w:rPr>
        <w:t>8</w:t>
      </w:r>
      <w:r w:rsidRPr="0095370F">
        <w:rPr>
          <w:b/>
          <w:bCs/>
        </w:rPr>
        <w:t xml:space="preserve"> and 3.1</w:t>
      </w:r>
      <w:r w:rsidR="001B57FA" w:rsidRPr="0095370F">
        <w:rPr>
          <w:b/>
          <w:bCs/>
        </w:rPr>
        <w:t>9</w:t>
      </w:r>
    </w:p>
    <w:p w14:paraId="60C27090" w14:textId="77777777" w:rsidR="00264DAF" w:rsidRDefault="00264DAF" w:rsidP="00264DAF">
      <w:pPr>
        <w:pStyle w:val="Caveat"/>
      </w:pPr>
      <w:r w:rsidRPr="00BF48CD">
        <w:t xml:space="preserve">Before republishing this data or comparing between years, thoroughly review the methodological and data caveats in Appendix B. </w:t>
      </w:r>
    </w:p>
    <w:p w14:paraId="1E651F5A" w14:textId="77777777" w:rsidR="00264DAF" w:rsidRPr="006D6210" w:rsidRDefault="00264DAF" w:rsidP="00FD5861">
      <w:pPr>
        <w:pStyle w:val="ChartandTableFootnoteAlpha"/>
        <w:numPr>
          <w:ilvl w:val="0"/>
          <w:numId w:val="53"/>
        </w:numPr>
      </w:pPr>
      <w:r w:rsidRPr="006D6210">
        <w:t>Comprises: Land exemption certificates, business exemption certificates, and tenements and mining, production or exploration entity certificates.</w:t>
      </w:r>
    </w:p>
    <w:p w14:paraId="28708DC6" w14:textId="77777777" w:rsidR="00264DAF" w:rsidRPr="006D6210" w:rsidRDefault="00264DAF" w:rsidP="00FD5861">
      <w:pPr>
        <w:pStyle w:val="ChartandTableFootnoteAlpha"/>
      </w:pPr>
      <w:r w:rsidRPr="006D6210">
        <w:t xml:space="preserve">Comprises: new dwelling exemption certificates and residential land exemption certificates. </w:t>
      </w:r>
    </w:p>
    <w:p w14:paraId="00FBA2C0" w14:textId="10A0F16F" w:rsidR="00264DAF" w:rsidRPr="006D6210" w:rsidRDefault="00264DAF" w:rsidP="00264DAF">
      <w:pPr>
        <w:pStyle w:val="ChartorTableNote"/>
        <w:rPr>
          <w:color w:val="auto"/>
          <w:sz w:val="18"/>
          <w:szCs w:val="18"/>
        </w:rPr>
      </w:pPr>
      <w:r w:rsidRPr="006D6210">
        <w:t>These tables only include variations relating to exemption certificates and no objection notifications, irrespective of if resulting from an application by a foreign person, the Treasurer</w:t>
      </w:r>
      <w:r w:rsidR="00BD4D19">
        <w:t>’</w:t>
      </w:r>
      <w:r w:rsidRPr="006D6210">
        <w:t>s init</w:t>
      </w:r>
      <w:r w:rsidR="00F234E0">
        <w:t>iative, or a compliance action.</w:t>
      </w:r>
    </w:p>
    <w:p w14:paraId="509F4D9B" w14:textId="77777777" w:rsidR="00264DAF" w:rsidRPr="006D6210" w:rsidRDefault="00264DAF" w:rsidP="00264DAF">
      <w:pPr>
        <w:pStyle w:val="ChartorTableNote"/>
        <w:rPr>
          <w:color w:val="auto"/>
          <w:sz w:val="18"/>
          <w:szCs w:val="18"/>
        </w:rPr>
      </w:pPr>
      <w:r w:rsidRPr="006D6210">
        <w:t>Variations are not attributed a value as applicable values have been attributed to the exemption certificate or no objection notification that is subject to the variation.</w:t>
      </w:r>
    </w:p>
    <w:p w14:paraId="0A711372" w14:textId="77777777" w:rsidR="00264DAF" w:rsidRPr="006D6210" w:rsidRDefault="00264DAF" w:rsidP="00264DAF">
      <w:pPr>
        <w:pStyle w:val="ChartorTableNote"/>
        <w:rPr>
          <w:color w:val="auto"/>
          <w:sz w:val="18"/>
          <w:szCs w:val="18"/>
        </w:rPr>
      </w:pPr>
      <w:r w:rsidRPr="006D6210">
        <w:t xml:space="preserve">Variations are reported in the financial year in which the variation is considered irrespective of when the original approval was given. </w:t>
      </w:r>
    </w:p>
    <w:p w14:paraId="2F03BD14" w14:textId="77777777" w:rsidR="00264DAF" w:rsidRPr="006D6210" w:rsidRDefault="00264DAF" w:rsidP="00264DAF">
      <w:pPr>
        <w:pStyle w:val="ChartorTableNote"/>
        <w:rPr>
          <w:color w:val="auto"/>
          <w:sz w:val="18"/>
          <w:szCs w:val="18"/>
        </w:rPr>
      </w:pPr>
      <w:r w:rsidRPr="006D6210">
        <w:t xml:space="preserve">Over time multiple variations could be made to a single approval. </w:t>
      </w:r>
    </w:p>
    <w:p w14:paraId="3D7978BD" w14:textId="77777777" w:rsidR="009E4F4E" w:rsidRDefault="009E4F4E">
      <w:pPr>
        <w:spacing w:after="0" w:line="240" w:lineRule="auto"/>
        <w:jc w:val="left"/>
        <w:rPr>
          <w:rFonts w:ascii="Calibri" w:hAnsi="Calibri" w:cs="Arial"/>
          <w:b/>
          <w:bCs/>
          <w:iCs/>
          <w:color w:val="653979"/>
          <w:sz w:val="28"/>
          <w:szCs w:val="28"/>
        </w:rPr>
      </w:pPr>
      <w:r>
        <w:br w:type="page"/>
      </w:r>
    </w:p>
    <w:p w14:paraId="7819C7A5" w14:textId="77777777" w:rsidR="00F969F9" w:rsidRPr="00CA046B" w:rsidRDefault="00F969F9" w:rsidP="00F01C22">
      <w:pPr>
        <w:pStyle w:val="Heading2"/>
      </w:pPr>
      <w:bookmarkStart w:id="167" w:name="_Toc63782935"/>
      <w:bookmarkStart w:id="168" w:name="_Toc75244064"/>
      <w:r w:rsidRPr="00CA046B">
        <w:t xml:space="preserve">Vacancy </w:t>
      </w:r>
      <w:r w:rsidR="00DF682E" w:rsidRPr="00CA046B">
        <w:t>f</w:t>
      </w:r>
      <w:r w:rsidRPr="00CA046B">
        <w:t>ees</w:t>
      </w:r>
      <w:bookmarkEnd w:id="142"/>
      <w:bookmarkEnd w:id="167"/>
      <w:bookmarkEnd w:id="168"/>
    </w:p>
    <w:p w14:paraId="100CEEBE" w14:textId="77777777" w:rsidR="00394455" w:rsidRDefault="00394455" w:rsidP="00820C89">
      <w:r>
        <w:t>In the 2017</w:t>
      </w:r>
      <w:r w:rsidR="00F26A86">
        <w:t>–</w:t>
      </w:r>
      <w:r>
        <w:t>18 Budget, the Government introduced a vacancy fee for houses left vacant by foreign investors for more than six</w:t>
      </w:r>
      <w:r w:rsidR="00065FB2">
        <w:t> </w:t>
      </w:r>
      <w:r>
        <w:t>months in a 12</w:t>
      </w:r>
      <w:r w:rsidR="00065FB2">
        <w:t> </w:t>
      </w:r>
      <w:r>
        <w:t xml:space="preserve">month period. The fee was </w:t>
      </w:r>
      <w:r w:rsidR="002F6157">
        <w:t xml:space="preserve">designed </w:t>
      </w:r>
      <w:r>
        <w:t xml:space="preserve">to encourage foreign investors to make their properties available for rent where they </w:t>
      </w:r>
      <w:r w:rsidR="002035BE">
        <w:t>were</w:t>
      </w:r>
      <w:r>
        <w:t xml:space="preserve"> not occupied as a residence</w:t>
      </w:r>
      <w:r w:rsidR="002F6157">
        <w:t>, thereby increasing</w:t>
      </w:r>
      <w:r>
        <w:t xml:space="preserve"> the number of properties available for Australians to live in. </w:t>
      </w:r>
    </w:p>
    <w:p w14:paraId="5B2FB4C8" w14:textId="77777777" w:rsidR="00394455" w:rsidRDefault="00394455" w:rsidP="00820C89">
      <w:r>
        <w:t xml:space="preserve">Foreign investors who </w:t>
      </w:r>
      <w:r w:rsidR="002035BE">
        <w:t>apply</w:t>
      </w:r>
      <w:r>
        <w:t xml:space="preserve"> for investment approval or propose to purchase in a development using a New Dwelling Exemption Certificate after 9</w:t>
      </w:r>
      <w:r w:rsidR="00065FB2">
        <w:t> May </w:t>
      </w:r>
      <w:r>
        <w:t>2017 are required to lodge an annual vacancy fee return at the end of each 12</w:t>
      </w:r>
      <w:r w:rsidR="00065FB2">
        <w:t> </w:t>
      </w:r>
      <w:r>
        <w:t>month period of ownership (referred to as the vacancy year). Foreign owners of dwellings that are not residentially occupied or made available on the rental market for more than 183</w:t>
      </w:r>
      <w:r w:rsidR="00065FB2">
        <w:t> </w:t>
      </w:r>
      <w:r>
        <w:t>days each</w:t>
      </w:r>
      <w:r w:rsidR="00065FB2">
        <w:t> </w:t>
      </w:r>
      <w:r>
        <w:t xml:space="preserve">year may be liable to pay a vacancy fee. </w:t>
      </w:r>
    </w:p>
    <w:p w14:paraId="50373A9E" w14:textId="77777777" w:rsidR="00394455" w:rsidRPr="002F6157" w:rsidRDefault="00394455" w:rsidP="00820C89">
      <w:r>
        <w:t xml:space="preserve">If a foreign owner does not lodge a vacancy fee return by the due date, the property may be deemed to be vacant and a vacancy fee liability may be raised regardless of the number of days the dwelling was residentially occupied during the vacancy year. </w:t>
      </w:r>
      <w:r w:rsidRPr="002F6157">
        <w:t xml:space="preserve">This is </w:t>
      </w:r>
      <w:r w:rsidRPr="00790EEF">
        <w:t>an annual lodg</w:t>
      </w:r>
      <w:r w:rsidR="002F6157" w:rsidRPr="00790EEF">
        <w:t>e</w:t>
      </w:r>
      <w:r w:rsidRPr="00790EEF">
        <w:t>ment obligation.</w:t>
      </w:r>
    </w:p>
    <w:p w14:paraId="71D090B1" w14:textId="63D53D1A" w:rsidR="002035BE" w:rsidRDefault="002035BE" w:rsidP="002035BE">
      <w:pPr>
        <w:rPr>
          <w:color w:val="auto"/>
        </w:rPr>
      </w:pPr>
      <w:r>
        <w:t>In 2019</w:t>
      </w:r>
      <w:r w:rsidR="00BD4D19">
        <w:noBreakHyphen/>
      </w:r>
      <w:r>
        <w:t>20, the ATO received 5,413</w:t>
      </w:r>
      <w:r w:rsidR="00065FB2">
        <w:t> </w:t>
      </w:r>
      <w:r>
        <w:t>vacancy fee returns</w:t>
      </w:r>
      <w:r w:rsidR="00050886">
        <w:t>, more than double the figure in 2018</w:t>
      </w:r>
      <w:r w:rsidR="00BD4D19">
        <w:noBreakHyphen/>
      </w:r>
      <w:r w:rsidR="00050886">
        <w:t>19 of 2,218</w:t>
      </w:r>
      <w:r>
        <w:t>. A further 109</w:t>
      </w:r>
      <w:r w:rsidR="00065FB2">
        <w:t> </w:t>
      </w:r>
      <w:r>
        <w:t>foreign owners who failed to lodge a return were deemed liable to pay a vacancy fee. The returns indicate a low vacancy rate of approximately 4.3</w:t>
      </w:r>
      <w:r w:rsidR="00065FB2">
        <w:t> per </w:t>
      </w:r>
      <w:r>
        <w:t>cent among properties subject to the vacancy fee measure. The vacancy rate is slightly</w:t>
      </w:r>
      <w:r w:rsidR="00065FB2">
        <w:t xml:space="preserve"> </w:t>
      </w:r>
      <w:r>
        <w:t>lower when compared to the 5.3</w:t>
      </w:r>
      <w:r w:rsidR="00065FB2">
        <w:t> per </w:t>
      </w:r>
      <w:r>
        <w:t xml:space="preserve">cent </w:t>
      </w:r>
      <w:r w:rsidR="00050886">
        <w:t xml:space="preserve">in </w:t>
      </w:r>
      <w:r>
        <w:t>2018</w:t>
      </w:r>
      <w:r w:rsidR="00F26A86">
        <w:t>–</w:t>
      </w:r>
      <w:r>
        <w:t xml:space="preserve">19. </w:t>
      </w:r>
    </w:p>
    <w:p w14:paraId="694BD993" w14:textId="77777777" w:rsidR="00394455" w:rsidRPr="00CA046B" w:rsidRDefault="00394455" w:rsidP="002035BE">
      <w:pPr>
        <w:pStyle w:val="TableMainHeading"/>
        <w:keepLines/>
        <w:rPr>
          <w:rStyle w:val="StyleBold"/>
        </w:rPr>
      </w:pPr>
      <w:bookmarkStart w:id="169" w:name="_Toc63798288"/>
      <w:bookmarkStart w:id="170" w:name="_Toc73984747"/>
      <w:r w:rsidRPr="00CA046B">
        <w:rPr>
          <w:rStyle w:val="StyleBold"/>
          <w:b/>
        </w:rPr>
        <w:t>Table 3.</w:t>
      </w:r>
      <w:r w:rsidR="001B57FA">
        <w:rPr>
          <w:rStyle w:val="StyleBold"/>
          <w:b/>
        </w:rPr>
        <w:t>20</w:t>
      </w:r>
      <w:r w:rsidRPr="00CA046B">
        <w:rPr>
          <w:rStyle w:val="StyleBold"/>
          <w:b/>
        </w:rPr>
        <w:t>: Vacancy fee statistics</w:t>
      </w:r>
      <w:r w:rsidR="006D3DD5">
        <w:rPr>
          <w:rStyle w:val="StyleBold"/>
          <w:b/>
        </w:rPr>
        <w:t>:</w:t>
      </w:r>
      <w:r w:rsidRPr="00CA046B">
        <w:rPr>
          <w:rStyle w:val="StyleBold"/>
          <w:b/>
        </w:rPr>
        <w:t xml:space="preserve"> 2018</w:t>
      </w:r>
      <w:r w:rsidR="00F26A86">
        <w:rPr>
          <w:rStyle w:val="StyleBold"/>
          <w:b/>
        </w:rPr>
        <w:t>–</w:t>
      </w:r>
      <w:r w:rsidRPr="00CA046B">
        <w:rPr>
          <w:rStyle w:val="StyleBold"/>
          <w:b/>
        </w:rPr>
        <w:t>19 to 2019</w:t>
      </w:r>
      <w:r w:rsidR="00F26A86">
        <w:rPr>
          <w:rStyle w:val="StyleBold"/>
          <w:b/>
        </w:rPr>
        <w:t>–</w:t>
      </w:r>
      <w:r w:rsidRPr="00CA046B">
        <w:rPr>
          <w:rStyle w:val="StyleBold"/>
          <w:b/>
        </w:rPr>
        <w:t>20</w:t>
      </w:r>
      <w:bookmarkEnd w:id="169"/>
      <w:bookmarkEnd w:id="170"/>
    </w:p>
    <w:tbl>
      <w:tblPr>
        <w:tblStyle w:val="Tablewithbord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17: Vacancy fee statistics – 1 July 2018 to 30 June 2019"/>
        <w:tblDescription w:val="A table showing the number of properties potentially subject to the vacancy fee. Of the 2,262 properties suject ot the vacancy fee requirements, 2,037 perperties were occupied for 183 days or more in 2018-19, 118 were occupies ofr less that 183 days, 63 were exempt from the provisions and 44 did not report, but were deemed to be subject to the vacancy fee provisions and required to pay the fee."/>
      </w:tblPr>
      <w:tblGrid>
        <w:gridCol w:w="3262"/>
        <w:gridCol w:w="2224"/>
        <w:gridCol w:w="2224"/>
      </w:tblGrid>
      <w:tr w:rsidR="00394455" w:rsidRPr="00CA046B" w14:paraId="52EED324" w14:textId="77777777" w:rsidTr="00581E71">
        <w:trPr>
          <w:trHeight w:val="227"/>
          <w:tblHeader/>
        </w:trPr>
        <w:tc>
          <w:tcPr>
            <w:tcW w:w="2116" w:type="pct"/>
            <w:tcBorders>
              <w:top w:val="single" w:sz="2" w:space="0" w:color="000000" w:themeColor="text1"/>
            </w:tcBorders>
            <w:vAlign w:val="center"/>
          </w:tcPr>
          <w:p w14:paraId="1DE6BF3C" w14:textId="77777777" w:rsidR="00394455" w:rsidRPr="00CA046B" w:rsidRDefault="00394455" w:rsidP="002035BE">
            <w:pPr>
              <w:keepNext/>
              <w:keepLines/>
              <w:spacing w:after="0" w:line="240" w:lineRule="auto"/>
              <w:jc w:val="left"/>
              <w:rPr>
                <w:rFonts w:cs="Arial"/>
                <w:sz w:val="16"/>
                <w:szCs w:val="16"/>
                <w:lang w:eastAsia="en-AU"/>
              </w:rPr>
            </w:pPr>
          </w:p>
        </w:tc>
        <w:tc>
          <w:tcPr>
            <w:tcW w:w="1442" w:type="pct"/>
            <w:tcBorders>
              <w:top w:val="single" w:sz="2" w:space="0" w:color="000000" w:themeColor="text1"/>
              <w:bottom w:val="single" w:sz="2" w:space="0" w:color="000000" w:themeColor="text1"/>
            </w:tcBorders>
            <w:vAlign w:val="center"/>
          </w:tcPr>
          <w:p w14:paraId="38432AAD" w14:textId="77777777" w:rsidR="00394455" w:rsidRPr="00CA046B" w:rsidRDefault="00394455" w:rsidP="002035BE">
            <w:pPr>
              <w:keepNext/>
              <w:keepLines/>
              <w:spacing w:after="0" w:line="240" w:lineRule="auto"/>
              <w:jc w:val="right"/>
              <w:rPr>
                <w:rFonts w:cs="Arial"/>
                <w:sz w:val="16"/>
                <w:szCs w:val="16"/>
                <w:lang w:eastAsia="en-AU"/>
              </w:rPr>
            </w:pPr>
            <w:r w:rsidRPr="00CA046B">
              <w:rPr>
                <w:rFonts w:ascii="Arial" w:hAnsi="Arial" w:cs="Arial"/>
                <w:color w:val="auto"/>
                <w:sz w:val="16"/>
                <w:szCs w:val="16"/>
              </w:rPr>
              <w:t>2018</w:t>
            </w:r>
            <w:r w:rsidR="00F26A86">
              <w:rPr>
                <w:rFonts w:ascii="Arial" w:hAnsi="Arial" w:cs="Arial"/>
                <w:color w:val="auto"/>
                <w:sz w:val="16"/>
                <w:szCs w:val="16"/>
              </w:rPr>
              <w:t>–</w:t>
            </w:r>
            <w:r w:rsidRPr="00CA046B">
              <w:rPr>
                <w:rFonts w:ascii="Arial" w:hAnsi="Arial" w:cs="Arial"/>
                <w:color w:val="auto"/>
                <w:sz w:val="16"/>
                <w:szCs w:val="16"/>
              </w:rPr>
              <w:t>19</w:t>
            </w:r>
          </w:p>
        </w:tc>
        <w:tc>
          <w:tcPr>
            <w:tcW w:w="1442" w:type="pct"/>
            <w:tcBorders>
              <w:top w:val="single" w:sz="2" w:space="0" w:color="000000" w:themeColor="text1"/>
              <w:bottom w:val="single" w:sz="2" w:space="0" w:color="000000" w:themeColor="text1"/>
            </w:tcBorders>
            <w:shd w:val="clear" w:color="auto" w:fill="F2F2F2" w:themeFill="background1" w:themeFillShade="F2"/>
            <w:vAlign w:val="center"/>
          </w:tcPr>
          <w:p w14:paraId="03C90C70"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2019</w:t>
            </w:r>
            <w:r w:rsidR="00F26A86">
              <w:rPr>
                <w:rFonts w:ascii="Arial" w:hAnsi="Arial" w:cs="Arial"/>
                <w:color w:val="auto"/>
                <w:sz w:val="16"/>
                <w:szCs w:val="16"/>
              </w:rPr>
              <w:t>–</w:t>
            </w:r>
            <w:r w:rsidRPr="00CA046B">
              <w:rPr>
                <w:rFonts w:ascii="Arial" w:hAnsi="Arial" w:cs="Arial"/>
                <w:color w:val="auto"/>
                <w:sz w:val="16"/>
                <w:szCs w:val="16"/>
              </w:rPr>
              <w:t>20</w:t>
            </w:r>
          </w:p>
        </w:tc>
      </w:tr>
      <w:tr w:rsidR="00394455" w:rsidRPr="00CA046B" w14:paraId="3C735144" w14:textId="77777777" w:rsidTr="00581E71">
        <w:trPr>
          <w:trHeight w:val="227"/>
        </w:trPr>
        <w:tc>
          <w:tcPr>
            <w:tcW w:w="2116" w:type="pct"/>
            <w:vAlign w:val="center"/>
          </w:tcPr>
          <w:p w14:paraId="2F26FD99" w14:textId="77777777" w:rsidR="00394455" w:rsidRPr="00CA046B" w:rsidRDefault="00394455" w:rsidP="002035BE">
            <w:pPr>
              <w:keepNext/>
              <w:keepLines/>
              <w:spacing w:after="0" w:line="240" w:lineRule="auto"/>
              <w:jc w:val="left"/>
              <w:rPr>
                <w:rFonts w:ascii="Arial" w:hAnsi="Arial" w:cs="Arial"/>
                <w:color w:val="auto"/>
                <w:sz w:val="16"/>
                <w:szCs w:val="16"/>
              </w:rPr>
            </w:pPr>
            <w:r w:rsidRPr="00CA046B">
              <w:rPr>
                <w:rFonts w:ascii="Arial" w:hAnsi="Arial" w:cs="Arial"/>
                <w:color w:val="auto"/>
                <w:sz w:val="16"/>
                <w:szCs w:val="16"/>
              </w:rPr>
              <w:t>Occupied 183 days or more</w:t>
            </w:r>
          </w:p>
        </w:tc>
        <w:tc>
          <w:tcPr>
            <w:tcW w:w="1442" w:type="pct"/>
            <w:tcBorders>
              <w:top w:val="single" w:sz="2" w:space="0" w:color="000000" w:themeColor="text1"/>
            </w:tcBorders>
            <w:vAlign w:val="center"/>
          </w:tcPr>
          <w:p w14:paraId="05DB912E"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2,037</w:t>
            </w:r>
          </w:p>
        </w:tc>
        <w:tc>
          <w:tcPr>
            <w:tcW w:w="1442" w:type="pct"/>
            <w:tcBorders>
              <w:top w:val="single" w:sz="2" w:space="0" w:color="000000" w:themeColor="text1"/>
            </w:tcBorders>
            <w:shd w:val="clear" w:color="auto" w:fill="F2F2F2" w:themeFill="background1" w:themeFillShade="F2"/>
            <w:vAlign w:val="center"/>
          </w:tcPr>
          <w:p w14:paraId="535D46D6"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5,077</w:t>
            </w:r>
          </w:p>
        </w:tc>
      </w:tr>
      <w:tr w:rsidR="00394455" w:rsidRPr="00CA046B" w14:paraId="78EE0261" w14:textId="77777777" w:rsidTr="00581E71">
        <w:trPr>
          <w:trHeight w:val="227"/>
        </w:trPr>
        <w:tc>
          <w:tcPr>
            <w:tcW w:w="2116" w:type="pct"/>
            <w:vAlign w:val="center"/>
          </w:tcPr>
          <w:p w14:paraId="2F016928" w14:textId="77777777" w:rsidR="00394455" w:rsidRPr="00CA046B" w:rsidRDefault="00394455" w:rsidP="002035BE">
            <w:pPr>
              <w:keepNext/>
              <w:keepLines/>
              <w:spacing w:after="0" w:line="240" w:lineRule="auto"/>
              <w:jc w:val="left"/>
              <w:rPr>
                <w:rFonts w:ascii="Arial" w:hAnsi="Arial" w:cs="Arial"/>
                <w:color w:val="auto"/>
                <w:sz w:val="16"/>
                <w:szCs w:val="16"/>
              </w:rPr>
            </w:pPr>
            <w:r w:rsidRPr="00CA046B">
              <w:rPr>
                <w:rFonts w:ascii="Arial" w:hAnsi="Arial" w:cs="Arial"/>
                <w:color w:val="auto"/>
                <w:sz w:val="16"/>
                <w:szCs w:val="16"/>
              </w:rPr>
              <w:t>Occupied fewer than 183 days</w:t>
            </w:r>
          </w:p>
        </w:tc>
        <w:tc>
          <w:tcPr>
            <w:tcW w:w="1442" w:type="pct"/>
            <w:vAlign w:val="center"/>
          </w:tcPr>
          <w:p w14:paraId="642BF9FF"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118</w:t>
            </w:r>
          </w:p>
        </w:tc>
        <w:tc>
          <w:tcPr>
            <w:tcW w:w="1442" w:type="pct"/>
            <w:shd w:val="clear" w:color="auto" w:fill="F2F2F2" w:themeFill="background1" w:themeFillShade="F2"/>
            <w:vAlign w:val="center"/>
          </w:tcPr>
          <w:p w14:paraId="06229D02"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231</w:t>
            </w:r>
          </w:p>
        </w:tc>
      </w:tr>
      <w:tr w:rsidR="00394455" w:rsidRPr="00CA046B" w14:paraId="53F79976" w14:textId="77777777" w:rsidTr="00581E71">
        <w:trPr>
          <w:trHeight w:val="227"/>
        </w:trPr>
        <w:tc>
          <w:tcPr>
            <w:tcW w:w="2116" w:type="pct"/>
            <w:tcBorders>
              <w:bottom w:val="single" w:sz="2" w:space="0" w:color="000000" w:themeColor="text1"/>
            </w:tcBorders>
            <w:vAlign w:val="center"/>
          </w:tcPr>
          <w:p w14:paraId="5DDE4D54" w14:textId="77777777" w:rsidR="00394455" w:rsidRPr="00CA046B" w:rsidRDefault="00394455" w:rsidP="002035BE">
            <w:pPr>
              <w:keepNext/>
              <w:keepLines/>
              <w:spacing w:after="0" w:line="240" w:lineRule="auto"/>
              <w:jc w:val="left"/>
              <w:rPr>
                <w:rFonts w:ascii="Arial" w:hAnsi="Arial" w:cs="Arial"/>
                <w:color w:val="auto"/>
                <w:sz w:val="16"/>
                <w:szCs w:val="16"/>
              </w:rPr>
            </w:pPr>
            <w:r w:rsidRPr="00CA046B">
              <w:rPr>
                <w:rFonts w:ascii="Arial" w:hAnsi="Arial" w:cs="Arial"/>
                <w:color w:val="auto"/>
                <w:sz w:val="16"/>
                <w:szCs w:val="16"/>
              </w:rPr>
              <w:t>Dwelling exempt</w:t>
            </w:r>
          </w:p>
        </w:tc>
        <w:tc>
          <w:tcPr>
            <w:tcW w:w="1442" w:type="pct"/>
            <w:tcBorders>
              <w:bottom w:val="single" w:sz="2" w:space="0" w:color="000000" w:themeColor="text1"/>
            </w:tcBorders>
            <w:vAlign w:val="center"/>
          </w:tcPr>
          <w:p w14:paraId="344986BA"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63</w:t>
            </w:r>
          </w:p>
        </w:tc>
        <w:tc>
          <w:tcPr>
            <w:tcW w:w="1442" w:type="pct"/>
            <w:tcBorders>
              <w:bottom w:val="single" w:sz="2" w:space="0" w:color="000000" w:themeColor="text1"/>
            </w:tcBorders>
            <w:shd w:val="clear" w:color="auto" w:fill="F2F2F2" w:themeFill="background1" w:themeFillShade="F2"/>
            <w:vAlign w:val="center"/>
          </w:tcPr>
          <w:p w14:paraId="03C2670A"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105</w:t>
            </w:r>
          </w:p>
        </w:tc>
      </w:tr>
      <w:tr w:rsidR="00394455" w:rsidRPr="00CA046B" w14:paraId="24A57EAE" w14:textId="77777777" w:rsidTr="00581E71">
        <w:trPr>
          <w:trHeight w:val="227"/>
        </w:trPr>
        <w:tc>
          <w:tcPr>
            <w:tcW w:w="2116" w:type="pct"/>
            <w:tcBorders>
              <w:top w:val="single" w:sz="2" w:space="0" w:color="000000" w:themeColor="text1"/>
            </w:tcBorders>
          </w:tcPr>
          <w:p w14:paraId="5CC731DC" w14:textId="77777777" w:rsidR="00394455" w:rsidRPr="00CA046B" w:rsidRDefault="00394455" w:rsidP="002035BE">
            <w:pPr>
              <w:keepNext/>
              <w:keepLines/>
              <w:spacing w:after="0" w:line="240" w:lineRule="auto"/>
              <w:jc w:val="left"/>
              <w:rPr>
                <w:rFonts w:ascii="Arial" w:hAnsi="Arial" w:cs="Arial"/>
                <w:color w:val="auto"/>
                <w:sz w:val="16"/>
                <w:szCs w:val="16"/>
              </w:rPr>
            </w:pPr>
            <w:r w:rsidRPr="00CA046B">
              <w:rPr>
                <w:rFonts w:ascii="Arial" w:hAnsi="Arial" w:cs="Arial"/>
                <w:color w:val="auto"/>
                <w:sz w:val="16"/>
                <w:szCs w:val="16"/>
              </w:rPr>
              <w:t>Subtotal declarations</w:t>
            </w:r>
          </w:p>
        </w:tc>
        <w:tc>
          <w:tcPr>
            <w:tcW w:w="1442" w:type="pct"/>
            <w:tcBorders>
              <w:top w:val="single" w:sz="2" w:space="0" w:color="000000" w:themeColor="text1"/>
            </w:tcBorders>
            <w:vAlign w:val="center"/>
          </w:tcPr>
          <w:p w14:paraId="60D0B7A3"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2,218</w:t>
            </w:r>
          </w:p>
        </w:tc>
        <w:tc>
          <w:tcPr>
            <w:tcW w:w="1442" w:type="pct"/>
            <w:tcBorders>
              <w:top w:val="single" w:sz="2" w:space="0" w:color="000000" w:themeColor="text1"/>
            </w:tcBorders>
            <w:shd w:val="clear" w:color="auto" w:fill="F2F2F2" w:themeFill="background1" w:themeFillShade="F2"/>
            <w:vAlign w:val="center"/>
          </w:tcPr>
          <w:p w14:paraId="4221C593"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5,413</w:t>
            </w:r>
          </w:p>
        </w:tc>
      </w:tr>
      <w:tr w:rsidR="00394455" w:rsidRPr="00CA046B" w14:paraId="1F6C0C71" w14:textId="77777777" w:rsidTr="00581E71">
        <w:trPr>
          <w:trHeight w:val="227"/>
        </w:trPr>
        <w:tc>
          <w:tcPr>
            <w:tcW w:w="2116" w:type="pct"/>
            <w:tcBorders>
              <w:bottom w:val="single" w:sz="2" w:space="0" w:color="000000" w:themeColor="text1"/>
            </w:tcBorders>
            <w:vAlign w:val="center"/>
          </w:tcPr>
          <w:p w14:paraId="7BF9B0B9" w14:textId="77777777" w:rsidR="00394455" w:rsidRPr="00CA046B" w:rsidRDefault="00394455" w:rsidP="002035BE">
            <w:pPr>
              <w:keepNext/>
              <w:keepLines/>
              <w:spacing w:after="0" w:line="240" w:lineRule="auto"/>
              <w:jc w:val="left"/>
              <w:rPr>
                <w:rFonts w:ascii="Arial" w:hAnsi="Arial" w:cs="Arial"/>
                <w:color w:val="auto"/>
                <w:sz w:val="16"/>
                <w:szCs w:val="16"/>
              </w:rPr>
            </w:pPr>
            <w:r w:rsidRPr="00CA046B">
              <w:rPr>
                <w:rFonts w:ascii="Arial" w:hAnsi="Arial" w:cs="Arial"/>
                <w:color w:val="auto"/>
                <w:sz w:val="16"/>
                <w:szCs w:val="16"/>
              </w:rPr>
              <w:t>Deemed unoccupied</w:t>
            </w:r>
          </w:p>
        </w:tc>
        <w:tc>
          <w:tcPr>
            <w:tcW w:w="1442" w:type="pct"/>
            <w:tcBorders>
              <w:bottom w:val="single" w:sz="2" w:space="0" w:color="000000" w:themeColor="text1"/>
            </w:tcBorders>
            <w:vAlign w:val="center"/>
          </w:tcPr>
          <w:p w14:paraId="34FDAF68"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44</w:t>
            </w:r>
          </w:p>
        </w:tc>
        <w:tc>
          <w:tcPr>
            <w:tcW w:w="1442" w:type="pct"/>
            <w:tcBorders>
              <w:bottom w:val="single" w:sz="2" w:space="0" w:color="000000" w:themeColor="text1"/>
            </w:tcBorders>
            <w:shd w:val="clear" w:color="auto" w:fill="F2F2F2" w:themeFill="background1" w:themeFillShade="F2"/>
            <w:vAlign w:val="center"/>
          </w:tcPr>
          <w:p w14:paraId="033EE88D"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color w:val="auto"/>
                <w:sz w:val="16"/>
                <w:szCs w:val="16"/>
              </w:rPr>
              <w:t>109</w:t>
            </w:r>
          </w:p>
        </w:tc>
      </w:tr>
      <w:tr w:rsidR="00394455" w:rsidRPr="00CA046B" w14:paraId="1F1E2F33" w14:textId="77777777" w:rsidTr="00581E71">
        <w:trPr>
          <w:trHeight w:val="227"/>
        </w:trPr>
        <w:tc>
          <w:tcPr>
            <w:tcW w:w="2116" w:type="pct"/>
            <w:tcBorders>
              <w:top w:val="single" w:sz="2" w:space="0" w:color="000000" w:themeColor="text1"/>
              <w:bottom w:val="single" w:sz="2" w:space="0" w:color="000000" w:themeColor="text1"/>
            </w:tcBorders>
            <w:vAlign w:val="center"/>
          </w:tcPr>
          <w:p w14:paraId="0F260CC5" w14:textId="77777777" w:rsidR="00394455" w:rsidRPr="00CA046B" w:rsidRDefault="00394455" w:rsidP="002035BE">
            <w:pPr>
              <w:keepNext/>
              <w:keepLines/>
              <w:spacing w:after="0" w:line="240" w:lineRule="auto"/>
              <w:jc w:val="left"/>
              <w:rPr>
                <w:rFonts w:ascii="Arial" w:hAnsi="Arial" w:cs="Arial"/>
                <w:b/>
                <w:color w:val="auto"/>
                <w:sz w:val="16"/>
                <w:szCs w:val="16"/>
              </w:rPr>
            </w:pPr>
            <w:r w:rsidRPr="00CA046B">
              <w:rPr>
                <w:rFonts w:ascii="Arial" w:hAnsi="Arial" w:cs="Arial"/>
                <w:b/>
                <w:color w:val="auto"/>
                <w:sz w:val="16"/>
                <w:szCs w:val="16"/>
              </w:rPr>
              <w:t>Total</w:t>
            </w:r>
          </w:p>
        </w:tc>
        <w:tc>
          <w:tcPr>
            <w:tcW w:w="1442" w:type="pct"/>
            <w:tcBorders>
              <w:top w:val="single" w:sz="2" w:space="0" w:color="000000" w:themeColor="text1"/>
              <w:bottom w:val="single" w:sz="2" w:space="0" w:color="000000" w:themeColor="text1"/>
            </w:tcBorders>
            <w:vAlign w:val="center"/>
          </w:tcPr>
          <w:p w14:paraId="41C49125" w14:textId="77777777" w:rsidR="00394455" w:rsidRPr="00CA046B" w:rsidRDefault="00394455" w:rsidP="002035BE">
            <w:pPr>
              <w:keepNext/>
              <w:keepLines/>
              <w:spacing w:after="0" w:line="240" w:lineRule="auto"/>
              <w:jc w:val="right"/>
              <w:rPr>
                <w:rFonts w:ascii="Arial" w:hAnsi="Arial" w:cs="Arial"/>
                <w:color w:val="auto"/>
                <w:sz w:val="16"/>
                <w:szCs w:val="16"/>
              </w:rPr>
            </w:pPr>
            <w:r w:rsidRPr="00CA046B">
              <w:rPr>
                <w:rFonts w:ascii="Arial" w:hAnsi="Arial" w:cs="Arial"/>
                <w:b/>
                <w:color w:val="auto"/>
                <w:sz w:val="16"/>
                <w:szCs w:val="16"/>
              </w:rPr>
              <w:t>2,262</w:t>
            </w:r>
          </w:p>
        </w:tc>
        <w:tc>
          <w:tcPr>
            <w:tcW w:w="1442" w:type="pct"/>
            <w:tcBorders>
              <w:top w:val="single" w:sz="2" w:space="0" w:color="000000" w:themeColor="text1"/>
              <w:bottom w:val="single" w:sz="2" w:space="0" w:color="000000" w:themeColor="text1"/>
            </w:tcBorders>
            <w:shd w:val="clear" w:color="auto" w:fill="F2F2F2" w:themeFill="background1" w:themeFillShade="F2"/>
            <w:vAlign w:val="center"/>
          </w:tcPr>
          <w:p w14:paraId="2D011F65" w14:textId="77777777" w:rsidR="00394455" w:rsidRPr="00CA046B" w:rsidRDefault="00394455" w:rsidP="002035BE">
            <w:pPr>
              <w:keepNext/>
              <w:keepLines/>
              <w:spacing w:after="0" w:line="240" w:lineRule="auto"/>
              <w:jc w:val="right"/>
              <w:rPr>
                <w:rFonts w:ascii="Arial" w:hAnsi="Arial" w:cs="Arial"/>
                <w:b/>
                <w:color w:val="auto"/>
                <w:sz w:val="16"/>
                <w:szCs w:val="16"/>
              </w:rPr>
            </w:pPr>
            <w:r w:rsidRPr="00CA046B">
              <w:rPr>
                <w:rFonts w:ascii="Arial" w:hAnsi="Arial" w:cs="Arial"/>
                <w:b/>
                <w:color w:val="auto"/>
                <w:sz w:val="16"/>
                <w:szCs w:val="16"/>
              </w:rPr>
              <w:t>5,522</w:t>
            </w:r>
          </w:p>
        </w:tc>
      </w:tr>
    </w:tbl>
    <w:p w14:paraId="64057245" w14:textId="77777777" w:rsidR="00722605" w:rsidRDefault="00722605" w:rsidP="00722605">
      <w:pPr>
        <w:pStyle w:val="ChartorTableNote"/>
      </w:pPr>
      <w:r w:rsidRPr="00BF48CD">
        <w:t xml:space="preserve">Before republishing this data or comparing between years, thoroughly review the methodological and data caveats in Appendix B. </w:t>
      </w:r>
    </w:p>
    <w:p w14:paraId="3FFDAA7E" w14:textId="77777777" w:rsidR="00394455" w:rsidRPr="00CA046B" w:rsidRDefault="00394455" w:rsidP="00394455">
      <w:pPr>
        <w:pStyle w:val="SingleParagraph"/>
      </w:pPr>
    </w:p>
    <w:p w14:paraId="01826D0F" w14:textId="3C1EA27D" w:rsidR="00394455" w:rsidRDefault="00394455" w:rsidP="00394455">
      <w:pPr>
        <w:spacing w:before="140" w:line="280" w:lineRule="atLeast"/>
        <w:rPr>
          <w:rFonts w:ascii="Calibri" w:eastAsiaTheme="minorHAnsi" w:hAnsi="Calibri" w:cs="Calibri"/>
          <w:sz w:val="22"/>
          <w:szCs w:val="22"/>
        </w:rPr>
      </w:pPr>
      <w:r w:rsidRPr="00CA046B">
        <w:t xml:space="preserve">The ATO conducts a number of </w:t>
      </w:r>
      <w:r w:rsidR="00BD4D19">
        <w:t>‘</w:t>
      </w:r>
      <w:r w:rsidRPr="00CA046B">
        <w:t>help and assist</w:t>
      </w:r>
      <w:r w:rsidR="00BD4D19">
        <w:t>’</w:t>
      </w:r>
      <w:r w:rsidRPr="00CA046B">
        <w:t xml:space="preserve"> pre</w:t>
      </w:r>
      <w:r w:rsidR="00BD4D19">
        <w:noBreakHyphen/>
      </w:r>
      <w:r w:rsidRPr="00CA046B">
        <w:t>lodg</w:t>
      </w:r>
      <w:r w:rsidR="002F6157">
        <w:t>e</w:t>
      </w:r>
      <w:r w:rsidRPr="00CA046B">
        <w:t>ment activities to assist foreign persons</w:t>
      </w:r>
      <w:r>
        <w:t xml:space="preserve"> to comply with their vacancy fee obligations. This includes email and phone contact, which prompts foreign persons to lodge their vacancy fee return and avoid being deemed liable to pay the fee regardless of whether a property has been occupied or left vacant. The ATO</w:t>
      </w:r>
      <w:r w:rsidR="00BD4D19">
        <w:t>’</w:t>
      </w:r>
      <w:r>
        <w:t xml:space="preserve">s approach is to assist a foreign person who has not lodged their return in the first year. However, if a foreign person fails to lodge in their second vacancy year, the foreign person may be deemed liable for the fee. This approach is reflected in the increase in </w:t>
      </w:r>
      <w:r w:rsidR="00BD4D19">
        <w:t>‘</w:t>
      </w:r>
      <w:r>
        <w:t>deemed occupied</w:t>
      </w:r>
      <w:r w:rsidR="00BD4D19">
        <w:t>’</w:t>
      </w:r>
      <w:r>
        <w:t xml:space="preserve"> in the 2019</w:t>
      </w:r>
      <w:r w:rsidR="00BD4D19">
        <w:noBreakHyphen/>
      </w:r>
      <w:r>
        <w:t>20 statistics.</w:t>
      </w:r>
    </w:p>
    <w:p w14:paraId="039E7E4B" w14:textId="77777777" w:rsidR="00A84283" w:rsidRPr="00CA046B" w:rsidRDefault="00A84283" w:rsidP="002C667B">
      <w:pPr>
        <w:pStyle w:val="Heading2"/>
        <w:rPr>
          <w:b w:val="0"/>
        </w:rPr>
      </w:pPr>
      <w:bookmarkStart w:id="171" w:name="_Toc32247805"/>
      <w:bookmarkStart w:id="172" w:name="_Toc63782936"/>
      <w:bookmarkStart w:id="173" w:name="_Toc75244065"/>
      <w:r w:rsidRPr="00CA046B">
        <w:t>Foreign investment fee collections</w:t>
      </w:r>
      <w:bookmarkEnd w:id="143"/>
      <w:bookmarkEnd w:id="144"/>
      <w:bookmarkEnd w:id="145"/>
      <w:bookmarkEnd w:id="171"/>
      <w:bookmarkEnd w:id="172"/>
      <w:bookmarkEnd w:id="173"/>
    </w:p>
    <w:p w14:paraId="725FAC4E" w14:textId="77777777" w:rsidR="00D23232" w:rsidRPr="00CA046B" w:rsidRDefault="00D23232" w:rsidP="002E2EFE">
      <w:r w:rsidRPr="00CA046B">
        <w:t>The ATO administers the vacancy fee, and is also responsible for collecting foreign investment application fees</w:t>
      </w:r>
      <w:r w:rsidR="001776D8" w:rsidRPr="00CA046B">
        <w:t>. In 20</w:t>
      </w:r>
      <w:r w:rsidR="00CA046B" w:rsidRPr="00CA046B">
        <w:t>20</w:t>
      </w:r>
      <w:r w:rsidR="001776D8" w:rsidRPr="00CA046B">
        <w:t xml:space="preserve">, the ATO </w:t>
      </w:r>
      <w:r w:rsidRPr="00CA046B">
        <w:t>report</w:t>
      </w:r>
      <w:r w:rsidR="001776D8" w:rsidRPr="00CA046B">
        <w:t>ed</w:t>
      </w:r>
      <w:r w:rsidRPr="00CA046B">
        <w:t xml:space="preserve"> in its Annual Report</w:t>
      </w:r>
      <w:r w:rsidR="001776D8" w:rsidRPr="00CA046B">
        <w:t xml:space="preserve"> that $94</w:t>
      </w:r>
      <w:r w:rsidR="00065FB2">
        <w:t> </w:t>
      </w:r>
      <w:r w:rsidR="001776D8" w:rsidRPr="00CA046B">
        <w:t>million in foreign investment fees were collected</w:t>
      </w:r>
      <w:r w:rsidRPr="00CA046B">
        <w:t xml:space="preserve">. </w:t>
      </w:r>
      <w:r w:rsidR="001776D8" w:rsidRPr="00CA046B">
        <w:t>As detailed in Ta</w:t>
      </w:r>
      <w:r w:rsidRPr="00CA046B">
        <w:t>ble</w:t>
      </w:r>
      <w:r w:rsidR="007F6719" w:rsidRPr="00CA046B">
        <w:t> </w:t>
      </w:r>
      <w:r w:rsidRPr="00CA046B">
        <w:t>3.</w:t>
      </w:r>
      <w:r w:rsidR="001B57FA">
        <w:t>2</w:t>
      </w:r>
      <w:r w:rsidRPr="00CA046B">
        <w:t>1</w:t>
      </w:r>
      <w:r w:rsidR="001776D8" w:rsidRPr="00CA046B">
        <w:t>, this figure includes $9</w:t>
      </w:r>
      <w:r w:rsidR="00CA046B" w:rsidRPr="00CA046B">
        <w:t>0.3</w:t>
      </w:r>
      <w:r w:rsidR="00065FB2">
        <w:t> </w:t>
      </w:r>
      <w:r w:rsidR="001776D8" w:rsidRPr="00CA046B">
        <w:t>million in application fees and $</w:t>
      </w:r>
      <w:r w:rsidR="00CA046B" w:rsidRPr="00CA046B">
        <w:t>3.7</w:t>
      </w:r>
      <w:r w:rsidR="00065FB2">
        <w:t> </w:t>
      </w:r>
      <w:r w:rsidR="001776D8" w:rsidRPr="00CA046B">
        <w:t>million in vacancy fees</w:t>
      </w:r>
      <w:r w:rsidRPr="00CA046B">
        <w:t xml:space="preserve">. </w:t>
      </w:r>
    </w:p>
    <w:p w14:paraId="5B62265A" w14:textId="77777777" w:rsidR="00A84283" w:rsidRPr="00CA046B" w:rsidRDefault="00CB0AC0" w:rsidP="002E2EFE">
      <w:r w:rsidRPr="00CA046B">
        <w:t>In 20</w:t>
      </w:r>
      <w:r w:rsidR="00CA046B" w:rsidRPr="00CA046B">
        <w:t>19</w:t>
      </w:r>
      <w:r w:rsidR="00F26A86">
        <w:t>–</w:t>
      </w:r>
      <w:r w:rsidR="00CA046B" w:rsidRPr="00CA046B">
        <w:t>20</w:t>
      </w:r>
      <w:r w:rsidR="00A84283" w:rsidRPr="00CA046B">
        <w:t>,</w:t>
      </w:r>
      <w:r w:rsidR="00DB7870" w:rsidRPr="00CA046B">
        <w:t xml:space="preserve"> application</w:t>
      </w:r>
      <w:r w:rsidR="00A84283" w:rsidRPr="00CA046B">
        <w:t xml:space="preserve"> fee collections were down on 201</w:t>
      </w:r>
      <w:r w:rsidR="00CA046B" w:rsidRPr="00CA046B">
        <w:t>8</w:t>
      </w:r>
      <w:r w:rsidR="00F26A86">
        <w:t>–</w:t>
      </w:r>
      <w:r w:rsidR="00DB7870" w:rsidRPr="00CA046B">
        <w:t>1</w:t>
      </w:r>
      <w:r w:rsidR="00CA046B" w:rsidRPr="00CA046B">
        <w:t>9</w:t>
      </w:r>
      <w:r w:rsidR="00A84283" w:rsidRPr="00CA046B">
        <w:t xml:space="preserve"> reflecting a decline in applications considered.</w:t>
      </w:r>
    </w:p>
    <w:p w14:paraId="5F662894" w14:textId="77777777" w:rsidR="00A84283" w:rsidRPr="00CA046B" w:rsidRDefault="00A84283" w:rsidP="001B3CF4">
      <w:pPr>
        <w:pStyle w:val="TableMainHeading"/>
      </w:pPr>
      <w:bookmarkStart w:id="174" w:name="_Toc32247779"/>
      <w:bookmarkStart w:id="175" w:name="_Toc63798289"/>
      <w:bookmarkStart w:id="176" w:name="_Toc73984748"/>
      <w:r w:rsidRPr="00CA046B">
        <w:t>Table 3.</w:t>
      </w:r>
      <w:r w:rsidR="001B57FA">
        <w:t>2</w:t>
      </w:r>
      <w:r w:rsidRPr="00CA046B">
        <w:t>1: Foreign investment fee collections: 201</w:t>
      </w:r>
      <w:r w:rsidR="00AB51EE" w:rsidRPr="00CA046B">
        <w:t>6</w:t>
      </w:r>
      <w:r w:rsidR="00F26A86">
        <w:t>–</w:t>
      </w:r>
      <w:r w:rsidR="00AB51EE" w:rsidRPr="00CA046B">
        <w:t>17</w:t>
      </w:r>
      <w:r w:rsidRPr="00CA046B">
        <w:t xml:space="preserve"> to 201</w:t>
      </w:r>
      <w:r w:rsidR="00722605">
        <w:t>9</w:t>
      </w:r>
      <w:r w:rsidR="00F26A86">
        <w:t>–</w:t>
      </w:r>
      <w:r w:rsidR="00722605">
        <w:t>20</w:t>
      </w:r>
      <w:bookmarkEnd w:id="174"/>
      <w:bookmarkEnd w:id="175"/>
      <w:bookmarkEnd w:id="176"/>
    </w:p>
    <w:tbl>
      <w:tblPr>
        <w:tblW w:w="4999" w:type="pct"/>
        <w:tblLook w:val="04A0" w:firstRow="1" w:lastRow="0" w:firstColumn="1" w:lastColumn="0" w:noHBand="0" w:noVBand="1"/>
      </w:tblPr>
      <w:tblGrid>
        <w:gridCol w:w="1601"/>
        <w:gridCol w:w="1528"/>
        <w:gridCol w:w="1528"/>
        <w:gridCol w:w="1528"/>
        <w:gridCol w:w="1523"/>
      </w:tblGrid>
      <w:tr w:rsidR="00CA046B" w:rsidRPr="00CA046B" w14:paraId="1B55C22C" w14:textId="77777777" w:rsidTr="00581E71">
        <w:trPr>
          <w:trHeight w:val="227"/>
        </w:trPr>
        <w:tc>
          <w:tcPr>
            <w:tcW w:w="1039" w:type="pct"/>
            <w:tcBorders>
              <w:top w:val="single" w:sz="2" w:space="0" w:color="000000" w:themeColor="text1"/>
              <w:left w:val="nil"/>
              <w:bottom w:val="nil"/>
              <w:right w:val="nil"/>
            </w:tcBorders>
            <w:shd w:val="clear" w:color="000000" w:fill="FFFFFF"/>
            <w:noWrap/>
            <w:vAlign w:val="center"/>
            <w:hideMark/>
          </w:tcPr>
          <w:p w14:paraId="6D2FA675" w14:textId="77777777" w:rsidR="00CA046B" w:rsidRPr="00CA046B" w:rsidRDefault="00CA046B" w:rsidP="00CA046B">
            <w:pPr>
              <w:keepNext/>
              <w:spacing w:after="0" w:line="240" w:lineRule="auto"/>
              <w:jc w:val="left"/>
              <w:rPr>
                <w:rFonts w:ascii="Calibri" w:hAnsi="Calibri" w:cs="Calibri"/>
                <w:sz w:val="22"/>
                <w:szCs w:val="22"/>
              </w:rPr>
            </w:pPr>
          </w:p>
        </w:tc>
        <w:tc>
          <w:tcPr>
            <w:tcW w:w="991" w:type="pct"/>
            <w:tcBorders>
              <w:top w:val="single" w:sz="2" w:space="0" w:color="000000" w:themeColor="text1"/>
              <w:left w:val="nil"/>
              <w:right w:val="nil"/>
            </w:tcBorders>
            <w:shd w:val="clear" w:color="000000" w:fill="FFFFFF"/>
            <w:noWrap/>
            <w:vAlign w:val="center"/>
            <w:hideMark/>
          </w:tcPr>
          <w:p w14:paraId="5811B789"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2016</w:t>
            </w:r>
            <w:r w:rsidR="00F26A86">
              <w:rPr>
                <w:rFonts w:ascii="Arial" w:hAnsi="Arial" w:cs="Arial"/>
                <w:color w:val="auto"/>
                <w:sz w:val="16"/>
                <w:szCs w:val="16"/>
              </w:rPr>
              <w:t>–</w:t>
            </w:r>
            <w:r w:rsidRPr="00CA046B">
              <w:rPr>
                <w:rFonts w:ascii="Arial" w:hAnsi="Arial" w:cs="Arial"/>
                <w:color w:val="auto"/>
                <w:sz w:val="16"/>
                <w:szCs w:val="16"/>
              </w:rPr>
              <w:t>17</w:t>
            </w:r>
          </w:p>
        </w:tc>
        <w:tc>
          <w:tcPr>
            <w:tcW w:w="991" w:type="pct"/>
            <w:tcBorders>
              <w:top w:val="single" w:sz="2" w:space="0" w:color="000000" w:themeColor="text1"/>
              <w:left w:val="nil"/>
              <w:right w:val="nil"/>
            </w:tcBorders>
            <w:shd w:val="clear" w:color="000000" w:fill="FFFFFF"/>
            <w:noWrap/>
            <w:vAlign w:val="center"/>
            <w:hideMark/>
          </w:tcPr>
          <w:p w14:paraId="3ABAE54D"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2017</w:t>
            </w:r>
            <w:r w:rsidR="00F26A86">
              <w:rPr>
                <w:rFonts w:ascii="Arial" w:hAnsi="Arial" w:cs="Arial"/>
                <w:color w:val="auto"/>
                <w:sz w:val="16"/>
                <w:szCs w:val="16"/>
              </w:rPr>
              <w:t>–</w:t>
            </w:r>
            <w:r w:rsidRPr="00CA046B">
              <w:rPr>
                <w:rFonts w:ascii="Arial" w:hAnsi="Arial" w:cs="Arial"/>
                <w:color w:val="auto"/>
                <w:sz w:val="16"/>
                <w:szCs w:val="16"/>
              </w:rPr>
              <w:t>18</w:t>
            </w:r>
          </w:p>
        </w:tc>
        <w:tc>
          <w:tcPr>
            <w:tcW w:w="991" w:type="pct"/>
            <w:tcBorders>
              <w:top w:val="single" w:sz="2" w:space="0" w:color="000000" w:themeColor="text1"/>
              <w:left w:val="nil"/>
              <w:right w:val="nil"/>
            </w:tcBorders>
            <w:shd w:val="clear" w:color="auto" w:fill="auto"/>
            <w:vAlign w:val="center"/>
          </w:tcPr>
          <w:p w14:paraId="2EFB8F58"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2018</w:t>
            </w:r>
            <w:r w:rsidR="00F26A86">
              <w:rPr>
                <w:rFonts w:ascii="Arial" w:hAnsi="Arial" w:cs="Arial"/>
                <w:color w:val="auto"/>
                <w:sz w:val="16"/>
                <w:szCs w:val="16"/>
              </w:rPr>
              <w:t>–</w:t>
            </w:r>
            <w:r w:rsidRPr="00CA046B">
              <w:rPr>
                <w:rFonts w:ascii="Arial" w:hAnsi="Arial" w:cs="Arial"/>
                <w:color w:val="auto"/>
                <w:sz w:val="16"/>
                <w:szCs w:val="16"/>
              </w:rPr>
              <w:t>19</w:t>
            </w:r>
          </w:p>
        </w:tc>
        <w:tc>
          <w:tcPr>
            <w:tcW w:w="988" w:type="pct"/>
            <w:tcBorders>
              <w:top w:val="single" w:sz="2" w:space="0" w:color="000000" w:themeColor="text1"/>
              <w:left w:val="nil"/>
              <w:right w:val="nil"/>
            </w:tcBorders>
            <w:shd w:val="clear" w:color="auto" w:fill="F2F2F2"/>
            <w:noWrap/>
            <w:vAlign w:val="center"/>
            <w:hideMark/>
          </w:tcPr>
          <w:p w14:paraId="03B6EAAE"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2019</w:t>
            </w:r>
            <w:r w:rsidR="00F26A86">
              <w:rPr>
                <w:rFonts w:ascii="Arial" w:hAnsi="Arial" w:cs="Arial"/>
                <w:color w:val="auto"/>
                <w:sz w:val="16"/>
                <w:szCs w:val="16"/>
              </w:rPr>
              <w:t>–</w:t>
            </w:r>
            <w:r w:rsidRPr="00CA046B">
              <w:rPr>
                <w:rFonts w:ascii="Arial" w:hAnsi="Arial" w:cs="Arial"/>
                <w:color w:val="auto"/>
                <w:sz w:val="16"/>
                <w:szCs w:val="16"/>
              </w:rPr>
              <w:t>20</w:t>
            </w:r>
          </w:p>
        </w:tc>
      </w:tr>
      <w:tr w:rsidR="00CA046B" w:rsidRPr="00CA046B" w14:paraId="39A553FF" w14:textId="77777777" w:rsidTr="00581E71">
        <w:trPr>
          <w:trHeight w:val="227"/>
        </w:trPr>
        <w:tc>
          <w:tcPr>
            <w:tcW w:w="1039" w:type="pct"/>
            <w:tcBorders>
              <w:top w:val="nil"/>
              <w:left w:val="nil"/>
              <w:bottom w:val="single" w:sz="2" w:space="0" w:color="000000" w:themeColor="text1"/>
              <w:right w:val="nil"/>
            </w:tcBorders>
            <w:shd w:val="clear" w:color="000000" w:fill="FFFFFF"/>
            <w:vAlign w:val="center"/>
            <w:hideMark/>
          </w:tcPr>
          <w:p w14:paraId="4406C4DC" w14:textId="77777777" w:rsidR="00CA046B" w:rsidRPr="00CA046B" w:rsidRDefault="00CA046B" w:rsidP="00CA046B">
            <w:pPr>
              <w:keepNext/>
              <w:spacing w:after="0" w:line="240" w:lineRule="auto"/>
              <w:jc w:val="left"/>
              <w:rPr>
                <w:rFonts w:ascii="Arial" w:hAnsi="Arial" w:cs="Arial"/>
                <w:color w:val="auto"/>
                <w:sz w:val="16"/>
                <w:szCs w:val="16"/>
              </w:rPr>
            </w:pPr>
            <w:r w:rsidRPr="00CA046B">
              <w:rPr>
                <w:rFonts w:ascii="Arial" w:hAnsi="Arial" w:cs="Arial"/>
                <w:color w:val="auto"/>
                <w:sz w:val="16"/>
                <w:szCs w:val="16"/>
              </w:rPr>
              <w:t>Fee Collections</w:t>
            </w:r>
          </w:p>
        </w:tc>
        <w:tc>
          <w:tcPr>
            <w:tcW w:w="991" w:type="pct"/>
            <w:tcBorders>
              <w:left w:val="nil"/>
              <w:bottom w:val="single" w:sz="2" w:space="0" w:color="000000" w:themeColor="text1"/>
              <w:right w:val="nil"/>
            </w:tcBorders>
            <w:shd w:val="clear" w:color="000000" w:fill="FFFFFF"/>
            <w:vAlign w:val="center"/>
            <w:hideMark/>
          </w:tcPr>
          <w:p w14:paraId="52BB1293"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$m</w:t>
            </w:r>
          </w:p>
        </w:tc>
        <w:tc>
          <w:tcPr>
            <w:tcW w:w="991" w:type="pct"/>
            <w:tcBorders>
              <w:left w:val="nil"/>
              <w:bottom w:val="single" w:sz="2" w:space="0" w:color="000000" w:themeColor="text1"/>
              <w:right w:val="nil"/>
            </w:tcBorders>
            <w:shd w:val="clear" w:color="000000" w:fill="FFFFFF"/>
            <w:vAlign w:val="center"/>
            <w:hideMark/>
          </w:tcPr>
          <w:p w14:paraId="6DC46565"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$m</w:t>
            </w:r>
          </w:p>
        </w:tc>
        <w:tc>
          <w:tcPr>
            <w:tcW w:w="991" w:type="pct"/>
            <w:tcBorders>
              <w:left w:val="nil"/>
              <w:bottom w:val="single" w:sz="2" w:space="0" w:color="000000" w:themeColor="text1"/>
              <w:right w:val="nil"/>
            </w:tcBorders>
            <w:shd w:val="clear" w:color="auto" w:fill="auto"/>
            <w:vAlign w:val="center"/>
          </w:tcPr>
          <w:p w14:paraId="2272C549"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$m</w:t>
            </w:r>
          </w:p>
        </w:tc>
        <w:tc>
          <w:tcPr>
            <w:tcW w:w="988" w:type="pct"/>
            <w:tcBorders>
              <w:left w:val="nil"/>
              <w:bottom w:val="single" w:sz="2" w:space="0" w:color="000000" w:themeColor="text1"/>
              <w:right w:val="nil"/>
            </w:tcBorders>
            <w:shd w:val="clear" w:color="auto" w:fill="F2F2F2"/>
            <w:vAlign w:val="center"/>
            <w:hideMark/>
          </w:tcPr>
          <w:p w14:paraId="28074315"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$m</w:t>
            </w:r>
          </w:p>
        </w:tc>
      </w:tr>
      <w:tr w:rsidR="00CA046B" w:rsidRPr="00CA046B" w14:paraId="51E534DE" w14:textId="77777777" w:rsidTr="00581E71">
        <w:trPr>
          <w:trHeight w:val="227"/>
        </w:trPr>
        <w:tc>
          <w:tcPr>
            <w:tcW w:w="1039" w:type="pct"/>
            <w:tcBorders>
              <w:top w:val="single" w:sz="2" w:space="0" w:color="000000" w:themeColor="text1"/>
              <w:left w:val="nil"/>
              <w:bottom w:val="nil"/>
              <w:right w:val="nil"/>
            </w:tcBorders>
            <w:shd w:val="clear" w:color="000000" w:fill="FFFFFF"/>
            <w:noWrap/>
            <w:vAlign w:val="center"/>
            <w:hideMark/>
          </w:tcPr>
          <w:p w14:paraId="16942F89" w14:textId="77777777" w:rsidR="00CA046B" w:rsidRPr="00CA046B" w:rsidRDefault="00CA046B" w:rsidP="00CA046B">
            <w:pPr>
              <w:keepNext/>
              <w:spacing w:after="0" w:line="240" w:lineRule="auto"/>
              <w:jc w:val="left"/>
              <w:rPr>
                <w:rFonts w:ascii="Arial" w:hAnsi="Arial" w:cs="Arial"/>
                <w:color w:val="auto"/>
                <w:sz w:val="16"/>
                <w:szCs w:val="16"/>
              </w:rPr>
            </w:pPr>
            <w:r w:rsidRPr="00CA046B">
              <w:rPr>
                <w:rFonts w:ascii="Arial" w:hAnsi="Arial" w:cs="Arial"/>
                <w:color w:val="auto"/>
                <w:sz w:val="16"/>
                <w:szCs w:val="16"/>
              </w:rPr>
              <w:t>Application Fees</w:t>
            </w:r>
          </w:p>
        </w:tc>
        <w:tc>
          <w:tcPr>
            <w:tcW w:w="991" w:type="pct"/>
            <w:tcBorders>
              <w:top w:val="single" w:sz="2" w:space="0" w:color="000000" w:themeColor="text1"/>
              <w:left w:val="nil"/>
              <w:bottom w:val="nil"/>
              <w:right w:val="nil"/>
            </w:tcBorders>
            <w:shd w:val="clear" w:color="000000" w:fill="FFFFFF"/>
            <w:vAlign w:val="center"/>
            <w:hideMark/>
          </w:tcPr>
          <w:p w14:paraId="4DF062B3"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134.0</w:t>
            </w:r>
          </w:p>
        </w:tc>
        <w:tc>
          <w:tcPr>
            <w:tcW w:w="991" w:type="pct"/>
            <w:tcBorders>
              <w:top w:val="single" w:sz="2" w:space="0" w:color="000000" w:themeColor="text1"/>
              <w:left w:val="nil"/>
              <w:bottom w:val="nil"/>
              <w:right w:val="nil"/>
            </w:tcBorders>
            <w:shd w:val="clear" w:color="000000" w:fill="FFFFFF"/>
            <w:vAlign w:val="center"/>
            <w:hideMark/>
          </w:tcPr>
          <w:p w14:paraId="1A075541"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114.0</w:t>
            </w:r>
          </w:p>
        </w:tc>
        <w:tc>
          <w:tcPr>
            <w:tcW w:w="991" w:type="pct"/>
            <w:tcBorders>
              <w:top w:val="single" w:sz="2" w:space="0" w:color="000000" w:themeColor="text1"/>
              <w:left w:val="nil"/>
              <w:bottom w:val="nil"/>
              <w:right w:val="nil"/>
            </w:tcBorders>
            <w:shd w:val="clear" w:color="auto" w:fill="auto"/>
            <w:vAlign w:val="center"/>
          </w:tcPr>
          <w:p w14:paraId="265E6B7E"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92.2</w:t>
            </w:r>
          </w:p>
        </w:tc>
        <w:tc>
          <w:tcPr>
            <w:tcW w:w="988" w:type="pct"/>
            <w:tcBorders>
              <w:top w:val="single" w:sz="2" w:space="0" w:color="000000" w:themeColor="text1"/>
              <w:left w:val="nil"/>
              <w:bottom w:val="nil"/>
              <w:right w:val="nil"/>
            </w:tcBorders>
            <w:shd w:val="clear" w:color="auto" w:fill="F2F2F2"/>
            <w:vAlign w:val="center"/>
            <w:hideMark/>
          </w:tcPr>
          <w:p w14:paraId="0F4E8230"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90.3</w:t>
            </w:r>
          </w:p>
        </w:tc>
      </w:tr>
      <w:tr w:rsidR="00CA046B" w:rsidRPr="00CA046B" w14:paraId="3AA31A5B" w14:textId="77777777" w:rsidTr="00581E71">
        <w:trPr>
          <w:trHeight w:val="227"/>
        </w:trPr>
        <w:tc>
          <w:tcPr>
            <w:tcW w:w="1039" w:type="pct"/>
            <w:tcBorders>
              <w:top w:val="nil"/>
              <w:left w:val="nil"/>
              <w:right w:val="nil"/>
            </w:tcBorders>
            <w:shd w:val="clear" w:color="000000" w:fill="FFFFFF"/>
            <w:noWrap/>
            <w:vAlign w:val="center"/>
            <w:hideMark/>
          </w:tcPr>
          <w:p w14:paraId="612A02C9" w14:textId="77777777" w:rsidR="00CA046B" w:rsidRPr="00CA046B" w:rsidRDefault="00CA046B" w:rsidP="00CA046B">
            <w:pPr>
              <w:keepNext/>
              <w:spacing w:after="0" w:line="240" w:lineRule="auto"/>
              <w:jc w:val="left"/>
              <w:rPr>
                <w:rFonts w:ascii="Arial" w:hAnsi="Arial" w:cs="Arial"/>
                <w:color w:val="auto"/>
                <w:sz w:val="16"/>
                <w:szCs w:val="16"/>
              </w:rPr>
            </w:pPr>
            <w:r w:rsidRPr="00CA046B">
              <w:rPr>
                <w:rFonts w:ascii="Arial" w:hAnsi="Arial" w:cs="Arial"/>
                <w:color w:val="auto"/>
                <w:sz w:val="16"/>
                <w:szCs w:val="16"/>
              </w:rPr>
              <w:t>Vacancy Fees</w:t>
            </w:r>
          </w:p>
        </w:tc>
        <w:tc>
          <w:tcPr>
            <w:tcW w:w="991" w:type="pct"/>
            <w:tcBorders>
              <w:top w:val="nil"/>
              <w:left w:val="nil"/>
              <w:bottom w:val="single" w:sz="2" w:space="0" w:color="000000" w:themeColor="text1"/>
              <w:right w:val="nil"/>
            </w:tcBorders>
            <w:shd w:val="clear" w:color="000000" w:fill="FFFFFF"/>
            <w:vAlign w:val="center"/>
            <w:hideMark/>
          </w:tcPr>
          <w:p w14:paraId="23B9C691"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 </w:t>
            </w:r>
          </w:p>
        </w:tc>
        <w:tc>
          <w:tcPr>
            <w:tcW w:w="991" w:type="pct"/>
            <w:tcBorders>
              <w:top w:val="nil"/>
              <w:left w:val="nil"/>
              <w:bottom w:val="single" w:sz="2" w:space="0" w:color="000000" w:themeColor="text1"/>
              <w:right w:val="nil"/>
            </w:tcBorders>
            <w:shd w:val="clear" w:color="000000" w:fill="FFFFFF"/>
            <w:vAlign w:val="center"/>
            <w:hideMark/>
          </w:tcPr>
          <w:p w14:paraId="29037195"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 </w:t>
            </w:r>
          </w:p>
        </w:tc>
        <w:tc>
          <w:tcPr>
            <w:tcW w:w="991" w:type="pct"/>
            <w:tcBorders>
              <w:top w:val="nil"/>
              <w:left w:val="nil"/>
              <w:bottom w:val="single" w:sz="2" w:space="0" w:color="000000" w:themeColor="text1"/>
              <w:right w:val="nil"/>
            </w:tcBorders>
            <w:shd w:val="clear" w:color="auto" w:fill="auto"/>
            <w:vAlign w:val="center"/>
          </w:tcPr>
          <w:p w14:paraId="042930DB"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1.8</w:t>
            </w:r>
          </w:p>
        </w:tc>
        <w:tc>
          <w:tcPr>
            <w:tcW w:w="988" w:type="pct"/>
            <w:tcBorders>
              <w:top w:val="nil"/>
              <w:left w:val="nil"/>
              <w:bottom w:val="single" w:sz="2" w:space="0" w:color="000000" w:themeColor="text1"/>
              <w:right w:val="nil"/>
            </w:tcBorders>
            <w:shd w:val="clear" w:color="auto" w:fill="F2F2F2"/>
            <w:vAlign w:val="center"/>
            <w:hideMark/>
          </w:tcPr>
          <w:p w14:paraId="3B43FF3A" w14:textId="77777777" w:rsidR="00CA046B" w:rsidRPr="00CA046B" w:rsidRDefault="00CA046B" w:rsidP="00CA046B">
            <w:pPr>
              <w:keepNext/>
              <w:spacing w:after="0" w:line="240" w:lineRule="auto"/>
              <w:jc w:val="right"/>
              <w:rPr>
                <w:rFonts w:ascii="Arial" w:hAnsi="Arial" w:cs="Arial"/>
                <w:color w:val="auto"/>
                <w:sz w:val="16"/>
                <w:szCs w:val="16"/>
              </w:rPr>
            </w:pPr>
            <w:r w:rsidRPr="00CA046B">
              <w:rPr>
                <w:rFonts w:ascii="Arial" w:hAnsi="Arial" w:cs="Arial"/>
                <w:color w:val="auto"/>
                <w:sz w:val="16"/>
                <w:szCs w:val="16"/>
              </w:rPr>
              <w:t>3.7</w:t>
            </w:r>
          </w:p>
        </w:tc>
      </w:tr>
      <w:tr w:rsidR="00CA046B" w:rsidRPr="00CA046B" w14:paraId="04F4EBC4" w14:textId="77777777" w:rsidTr="00581E71">
        <w:trPr>
          <w:trHeight w:val="227"/>
        </w:trPr>
        <w:tc>
          <w:tcPr>
            <w:tcW w:w="1039" w:type="pct"/>
            <w:tcBorders>
              <w:top w:val="nil"/>
              <w:left w:val="nil"/>
              <w:bottom w:val="single" w:sz="2" w:space="0" w:color="000000" w:themeColor="text1"/>
              <w:right w:val="nil"/>
            </w:tcBorders>
            <w:shd w:val="clear" w:color="000000" w:fill="FFFFFF"/>
            <w:noWrap/>
            <w:vAlign w:val="center"/>
            <w:hideMark/>
          </w:tcPr>
          <w:p w14:paraId="1E36D713" w14:textId="77777777" w:rsidR="00CA046B" w:rsidRPr="00CA046B" w:rsidRDefault="00CA046B" w:rsidP="00CA046B">
            <w:pPr>
              <w:keepNext/>
              <w:spacing w:after="0" w:line="240" w:lineRule="auto"/>
              <w:jc w:val="left"/>
              <w:rPr>
                <w:rFonts w:ascii="Arial" w:hAnsi="Arial" w:cs="Arial"/>
                <w:b/>
                <w:bCs/>
                <w:color w:val="auto"/>
                <w:sz w:val="16"/>
                <w:szCs w:val="16"/>
              </w:rPr>
            </w:pPr>
            <w:r w:rsidRPr="00CA046B">
              <w:rPr>
                <w:rFonts w:ascii="Arial" w:hAnsi="Arial" w:cs="Arial"/>
                <w:b/>
                <w:bCs/>
                <w:color w:val="auto"/>
                <w:sz w:val="16"/>
                <w:szCs w:val="16"/>
              </w:rPr>
              <w:t>Total</w:t>
            </w:r>
          </w:p>
        </w:tc>
        <w:tc>
          <w:tcPr>
            <w:tcW w:w="991" w:type="pct"/>
            <w:tcBorders>
              <w:top w:val="single" w:sz="2" w:space="0" w:color="000000" w:themeColor="text1"/>
              <w:left w:val="nil"/>
              <w:bottom w:val="single" w:sz="2" w:space="0" w:color="000000" w:themeColor="text1"/>
              <w:right w:val="nil"/>
            </w:tcBorders>
            <w:shd w:val="clear" w:color="000000" w:fill="FFFFFF"/>
            <w:vAlign w:val="center"/>
            <w:hideMark/>
          </w:tcPr>
          <w:p w14:paraId="38E5A85A" w14:textId="77777777" w:rsidR="00CA046B" w:rsidRPr="00CA046B" w:rsidRDefault="00CA046B" w:rsidP="00CA046B">
            <w:pPr>
              <w:keepNext/>
              <w:spacing w:after="0" w:line="240" w:lineRule="auto"/>
              <w:jc w:val="right"/>
              <w:rPr>
                <w:rFonts w:ascii="Arial" w:hAnsi="Arial" w:cs="Arial"/>
                <w:b/>
                <w:bCs/>
                <w:color w:val="auto"/>
                <w:sz w:val="16"/>
                <w:szCs w:val="16"/>
              </w:rPr>
            </w:pPr>
            <w:r w:rsidRPr="00CA046B">
              <w:rPr>
                <w:rFonts w:ascii="Arial" w:hAnsi="Arial" w:cs="Arial"/>
                <w:b/>
                <w:bCs/>
                <w:color w:val="auto"/>
                <w:sz w:val="16"/>
                <w:szCs w:val="16"/>
              </w:rPr>
              <w:t>134.0</w:t>
            </w:r>
          </w:p>
        </w:tc>
        <w:tc>
          <w:tcPr>
            <w:tcW w:w="991" w:type="pct"/>
            <w:tcBorders>
              <w:top w:val="single" w:sz="2" w:space="0" w:color="000000" w:themeColor="text1"/>
              <w:left w:val="nil"/>
              <w:bottom w:val="single" w:sz="2" w:space="0" w:color="000000" w:themeColor="text1"/>
              <w:right w:val="nil"/>
            </w:tcBorders>
            <w:shd w:val="clear" w:color="000000" w:fill="FFFFFF"/>
            <w:vAlign w:val="center"/>
            <w:hideMark/>
          </w:tcPr>
          <w:p w14:paraId="5D78643A" w14:textId="77777777" w:rsidR="00CA046B" w:rsidRPr="00CA046B" w:rsidRDefault="00CA046B" w:rsidP="00CA046B">
            <w:pPr>
              <w:keepNext/>
              <w:spacing w:after="0" w:line="240" w:lineRule="auto"/>
              <w:jc w:val="right"/>
              <w:rPr>
                <w:rFonts w:ascii="Arial" w:hAnsi="Arial" w:cs="Arial"/>
                <w:b/>
                <w:bCs/>
                <w:color w:val="auto"/>
                <w:sz w:val="16"/>
                <w:szCs w:val="16"/>
              </w:rPr>
            </w:pPr>
            <w:r w:rsidRPr="00CA046B">
              <w:rPr>
                <w:rFonts w:ascii="Arial" w:hAnsi="Arial" w:cs="Arial"/>
                <w:b/>
                <w:bCs/>
                <w:color w:val="auto"/>
                <w:sz w:val="16"/>
                <w:szCs w:val="16"/>
              </w:rPr>
              <w:t>114.0</w:t>
            </w:r>
          </w:p>
        </w:tc>
        <w:tc>
          <w:tcPr>
            <w:tcW w:w="991" w:type="pct"/>
            <w:tcBorders>
              <w:top w:val="single" w:sz="2" w:space="0" w:color="000000" w:themeColor="text1"/>
              <w:left w:val="nil"/>
              <w:bottom w:val="single" w:sz="2" w:space="0" w:color="000000" w:themeColor="text1"/>
              <w:right w:val="nil"/>
            </w:tcBorders>
            <w:shd w:val="clear" w:color="auto" w:fill="auto"/>
            <w:vAlign w:val="center"/>
          </w:tcPr>
          <w:p w14:paraId="6EA9F59C" w14:textId="77777777" w:rsidR="00CA046B" w:rsidRPr="00CA046B" w:rsidRDefault="00CA046B" w:rsidP="00CA046B">
            <w:pPr>
              <w:keepNext/>
              <w:spacing w:after="0" w:line="240" w:lineRule="auto"/>
              <w:jc w:val="right"/>
              <w:rPr>
                <w:rFonts w:ascii="Arial" w:hAnsi="Arial" w:cs="Arial"/>
                <w:b/>
                <w:bCs/>
                <w:color w:val="auto"/>
                <w:sz w:val="16"/>
                <w:szCs w:val="16"/>
              </w:rPr>
            </w:pPr>
            <w:r w:rsidRPr="00CA046B">
              <w:rPr>
                <w:rFonts w:ascii="Arial" w:hAnsi="Arial" w:cs="Arial"/>
                <w:b/>
                <w:bCs/>
                <w:color w:val="auto"/>
                <w:sz w:val="16"/>
                <w:szCs w:val="16"/>
              </w:rPr>
              <w:t>94.0</w:t>
            </w:r>
          </w:p>
        </w:tc>
        <w:tc>
          <w:tcPr>
            <w:tcW w:w="988" w:type="pct"/>
            <w:tcBorders>
              <w:top w:val="single" w:sz="2" w:space="0" w:color="000000" w:themeColor="text1"/>
              <w:left w:val="nil"/>
              <w:bottom w:val="single" w:sz="2" w:space="0" w:color="000000" w:themeColor="text1"/>
              <w:right w:val="nil"/>
            </w:tcBorders>
            <w:shd w:val="clear" w:color="auto" w:fill="F2F2F2"/>
            <w:vAlign w:val="center"/>
            <w:hideMark/>
          </w:tcPr>
          <w:p w14:paraId="09405B22" w14:textId="77777777" w:rsidR="00CA046B" w:rsidRPr="00CA046B" w:rsidRDefault="00CA046B" w:rsidP="00CA046B">
            <w:pPr>
              <w:keepNext/>
              <w:spacing w:after="0" w:line="240" w:lineRule="auto"/>
              <w:jc w:val="right"/>
              <w:rPr>
                <w:rFonts w:ascii="Arial" w:hAnsi="Arial" w:cs="Arial"/>
                <w:b/>
                <w:bCs/>
                <w:color w:val="auto"/>
                <w:sz w:val="16"/>
                <w:szCs w:val="16"/>
              </w:rPr>
            </w:pPr>
            <w:r w:rsidRPr="00CA046B">
              <w:rPr>
                <w:rFonts w:ascii="Arial" w:hAnsi="Arial" w:cs="Arial"/>
                <w:b/>
                <w:bCs/>
                <w:color w:val="auto"/>
                <w:sz w:val="16"/>
                <w:szCs w:val="16"/>
              </w:rPr>
              <w:t>94.0</w:t>
            </w:r>
          </w:p>
        </w:tc>
      </w:tr>
    </w:tbl>
    <w:p w14:paraId="43056B76" w14:textId="77777777" w:rsidR="00722605" w:rsidRDefault="00722605" w:rsidP="00722605">
      <w:pPr>
        <w:pStyle w:val="ChartorTableNote"/>
      </w:pPr>
      <w:r w:rsidRPr="00BF48CD">
        <w:t xml:space="preserve">Before republishing this data or comparing between years, thoroughly review the methodological and data caveats in Appendix B. </w:t>
      </w:r>
    </w:p>
    <w:p w14:paraId="41F85C9E" w14:textId="77777777" w:rsidR="00E57C53" w:rsidRDefault="00E57C53" w:rsidP="00E57C53"/>
    <w:p w14:paraId="69AE7243" w14:textId="77777777" w:rsidR="00966278" w:rsidRDefault="00966278" w:rsidP="00B57F28">
      <w:pPr>
        <w:pStyle w:val="Heading1"/>
        <w:sectPr w:rsidR="00966278" w:rsidSect="000B6F64">
          <w:headerReference w:type="first" r:id="rId69"/>
          <w:footerReference w:type="first" r:id="rId70"/>
          <w:pgSz w:w="11906" w:h="16838" w:code="9"/>
          <w:pgMar w:top="2466" w:right="2098" w:bottom="2466" w:left="2098" w:header="1899" w:footer="1899" w:gutter="0"/>
          <w:cols w:space="708"/>
          <w:titlePg/>
          <w:docGrid w:linePitch="360"/>
        </w:sectPr>
      </w:pPr>
      <w:bookmarkStart w:id="177" w:name="_Toc31296909"/>
      <w:bookmarkStart w:id="178" w:name="_Toc31636027"/>
      <w:bookmarkStart w:id="179" w:name="_Toc31642796"/>
    </w:p>
    <w:p w14:paraId="64626900" w14:textId="77777777" w:rsidR="0004056B" w:rsidRPr="00D60D30" w:rsidRDefault="0047072A" w:rsidP="007674AA">
      <w:pPr>
        <w:pStyle w:val="Heading1"/>
      </w:pPr>
      <w:bookmarkStart w:id="180" w:name="_Toc63782937"/>
      <w:bookmarkStart w:id="181" w:name="_Toc75244066"/>
      <w:bookmarkEnd w:id="177"/>
      <w:bookmarkEnd w:id="178"/>
      <w:bookmarkEnd w:id="179"/>
      <w:r>
        <w:rPr>
          <w:noProof/>
        </w:rPr>
        <w:drawing>
          <wp:anchor distT="0" distB="0" distL="114300" distR="114300" simplePos="0" relativeHeight="251656192" behindDoc="0" locked="0" layoutInCell="1" allowOverlap="1" wp14:anchorId="44D27784" wp14:editId="36AF9B74">
            <wp:simplePos x="0" y="0"/>
            <wp:positionH relativeFrom="margin">
              <wp:align>right</wp:align>
            </wp:positionH>
            <wp:positionV relativeFrom="paragraph">
              <wp:posOffset>-4469</wp:posOffset>
            </wp:positionV>
            <wp:extent cx="4895088" cy="2161032"/>
            <wp:effectExtent l="0" t="0" r="1270" b="0"/>
            <wp:wrapNone/>
            <wp:docPr id="15" name="Picture 15" descr="Chapter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pter header graphic"/>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95088" cy="2161032"/>
                    </a:xfrm>
                    <a:prstGeom prst="rect">
                      <a:avLst/>
                    </a:prstGeom>
                  </pic:spPr>
                </pic:pic>
              </a:graphicData>
            </a:graphic>
          </wp:anchor>
        </w:drawing>
      </w:r>
      <w:r w:rsidR="00EC2A92" w:rsidRPr="00D60D30">
        <w:t>Chapter Four: Compliance</w:t>
      </w:r>
      <w:bookmarkEnd w:id="180"/>
      <w:bookmarkEnd w:id="181"/>
    </w:p>
    <w:p w14:paraId="2E631E16" w14:textId="77777777" w:rsidR="00065FB2" w:rsidRDefault="00065FB2" w:rsidP="00065FB2">
      <w:bookmarkStart w:id="182" w:name="_Toc31296912"/>
      <w:bookmarkStart w:id="183" w:name="_Toc31636030"/>
      <w:bookmarkStart w:id="184" w:name="_Toc31642799"/>
      <w:bookmarkStart w:id="185" w:name="_Toc32247810"/>
    </w:p>
    <w:p w14:paraId="2B85F9DA" w14:textId="77777777" w:rsidR="00065FB2" w:rsidRDefault="00065FB2" w:rsidP="00065FB2"/>
    <w:p w14:paraId="4DCEDB17" w14:textId="77777777" w:rsidR="00065FB2" w:rsidRDefault="00065FB2" w:rsidP="00065FB2"/>
    <w:p w14:paraId="13B7D25B" w14:textId="77777777" w:rsidR="00065FB2" w:rsidRDefault="00065FB2" w:rsidP="00065FB2"/>
    <w:p w14:paraId="0E0DAE1A" w14:textId="77777777" w:rsidR="00065FB2" w:rsidRDefault="00065FB2" w:rsidP="00065FB2"/>
    <w:p w14:paraId="3DDCC209" w14:textId="77777777" w:rsidR="00065FB2" w:rsidRDefault="00065FB2" w:rsidP="00065FB2">
      <w:pPr>
        <w:spacing w:after="360"/>
      </w:pPr>
    </w:p>
    <w:p w14:paraId="590C9BA6" w14:textId="12F57E4B" w:rsidR="00E80E5F" w:rsidRPr="00BF2024" w:rsidRDefault="00E80E5F" w:rsidP="00E80E5F">
      <w:pPr>
        <w:spacing w:after="360"/>
      </w:pPr>
      <w:bookmarkStart w:id="186" w:name="_Hlk65666463"/>
      <w:r w:rsidRPr="00BF2024">
        <w:t xml:space="preserve">This chapter discusses </w:t>
      </w:r>
      <w:r>
        <w:t xml:space="preserve">the </w:t>
      </w:r>
      <w:r w:rsidRPr="00BF2024">
        <w:t>Treasury</w:t>
      </w:r>
      <w:r w:rsidR="00BD4D19">
        <w:t>’</w:t>
      </w:r>
      <w:r w:rsidRPr="00BF2024">
        <w:t>s</w:t>
      </w:r>
      <w:r>
        <w:t xml:space="preserve"> and the ATO</w:t>
      </w:r>
      <w:r w:rsidR="00BD4D19">
        <w:t>’</w:t>
      </w:r>
      <w:r>
        <w:t>s</w:t>
      </w:r>
      <w:r w:rsidRPr="00BF2024">
        <w:t xml:space="preserve"> approach to </w:t>
      </w:r>
      <w:bookmarkEnd w:id="186"/>
      <w:r w:rsidR="00D25D55">
        <w:t>ensure investors comply with their obligations under the Act</w:t>
      </w:r>
      <w:r w:rsidR="00D25D55" w:rsidDel="00D25D55">
        <w:t xml:space="preserve"> </w:t>
      </w:r>
      <w:r w:rsidRPr="00BF2024">
        <w:t xml:space="preserve">and provides an overview of compliance activities in </w:t>
      </w:r>
      <w:r>
        <w:t>2019</w:t>
      </w:r>
      <w:r w:rsidR="00BD4D19">
        <w:noBreakHyphen/>
      </w:r>
      <w:r>
        <w:t>20</w:t>
      </w:r>
      <w:r w:rsidRPr="00BF2024">
        <w:t xml:space="preserve">. </w:t>
      </w:r>
    </w:p>
    <w:p w14:paraId="53BC1AFA" w14:textId="77777777" w:rsidR="001639C7" w:rsidRPr="006D64A2" w:rsidRDefault="001639C7" w:rsidP="00820C89">
      <w:pPr>
        <w:pStyle w:val="Heading2"/>
      </w:pPr>
      <w:bookmarkStart w:id="187" w:name="_Toc63782938"/>
      <w:bookmarkStart w:id="188" w:name="_Toc75244067"/>
      <w:bookmarkStart w:id="189" w:name="_Toc31296910"/>
      <w:bookmarkStart w:id="190" w:name="_Toc31636028"/>
      <w:bookmarkStart w:id="191" w:name="_Toc31642797"/>
      <w:bookmarkStart w:id="192" w:name="_Toc32247807"/>
      <w:r w:rsidRPr="006D64A2">
        <w:t>Compliance approach</w:t>
      </w:r>
      <w:bookmarkEnd w:id="187"/>
      <w:bookmarkEnd w:id="188"/>
    </w:p>
    <w:p w14:paraId="7263C355" w14:textId="77777777" w:rsidR="001639C7" w:rsidRPr="00BF2024" w:rsidRDefault="001639C7" w:rsidP="00820C89">
      <w:r w:rsidRPr="00BF2024">
        <w:t xml:space="preserve">Compliance activities are fundamental to the integrity of the foreign investment framework. </w:t>
      </w:r>
    </w:p>
    <w:p w14:paraId="78497DE6" w14:textId="4E0537AE" w:rsidR="001639C7" w:rsidRPr="00406C1F" w:rsidRDefault="001639C7" w:rsidP="00820C89">
      <w:pPr>
        <w:rPr>
          <w:color w:val="auto"/>
        </w:rPr>
      </w:pPr>
      <w:r w:rsidRPr="00406C1F">
        <w:t xml:space="preserve">Treasury is responsible for compliance and enforcement activities for proposals within its areas of screening responsibility, including business, agricultural and commercial land foreign investment proposals. </w:t>
      </w:r>
      <w:r w:rsidRPr="00406C1F">
        <w:rPr>
          <w:color w:val="auto"/>
        </w:rPr>
        <w:t>The ATO is responsible for compliance and enforcement activities for proposals within its screening responsibility, including residential real estate</w:t>
      </w:r>
      <w:r>
        <w:rPr>
          <w:color w:val="auto"/>
        </w:rPr>
        <w:t xml:space="preserve"> and the vacancy fee,</w:t>
      </w:r>
      <w:r w:rsidRPr="00406C1F">
        <w:rPr>
          <w:color w:val="auto"/>
        </w:rPr>
        <w:t xml:space="preserve"> and some commercial land proposals. </w:t>
      </w:r>
      <w:r>
        <w:t xml:space="preserve">Treasury and the ATO </w:t>
      </w:r>
      <w:r w:rsidRPr="00406C1F">
        <w:t>ad</w:t>
      </w:r>
      <w:r>
        <w:t>opt a risk</w:t>
      </w:r>
      <w:r w:rsidR="00BD4D19">
        <w:noBreakHyphen/>
      </w:r>
      <w:r>
        <w:t>based approach to their compliance work and focus</w:t>
      </w:r>
      <w:r w:rsidRPr="00406C1F">
        <w:t xml:space="preserve"> efforts on areas of</w:t>
      </w:r>
      <w:r>
        <w:t xml:space="preserve"> greatest</w:t>
      </w:r>
      <w:r w:rsidRPr="00406C1F">
        <w:t xml:space="preserve"> risk to the national interest. </w:t>
      </w:r>
      <w:r>
        <w:t>They</w:t>
      </w:r>
      <w:r w:rsidRPr="00406C1F">
        <w:t xml:space="preserve"> aim to achieve a balance between providing assurance</w:t>
      </w:r>
      <w:r w:rsidRPr="00406C1F">
        <w:rPr>
          <w:color w:val="auto"/>
        </w:rPr>
        <w:t xml:space="preserve"> that investors are complying with their obligations </w:t>
      </w:r>
      <w:r w:rsidR="000B195E">
        <w:rPr>
          <w:color w:val="auto"/>
        </w:rPr>
        <w:t>and detecting and remedying non</w:t>
      </w:r>
      <w:r w:rsidR="00BD4D19">
        <w:rPr>
          <w:color w:val="auto"/>
        </w:rPr>
        <w:noBreakHyphen/>
      </w:r>
      <w:r w:rsidRPr="00406C1F">
        <w:rPr>
          <w:color w:val="auto"/>
        </w:rPr>
        <w:t xml:space="preserve">compliance, while encouraging and supporting foreign investors to do the right thing. </w:t>
      </w:r>
    </w:p>
    <w:p w14:paraId="366FE1A8" w14:textId="77777777" w:rsidR="001639C7" w:rsidRDefault="001639C7" w:rsidP="00820C89">
      <w:r w:rsidRPr="00BF2024">
        <w:t xml:space="preserve">Foreign investment compliance activities are also supported by specialist advice from other agencies as required. Agencies that support compliance work include </w:t>
      </w:r>
      <w:r>
        <w:t>the Department of Home </w:t>
      </w:r>
      <w:r w:rsidRPr="00BF2024">
        <w:t>Affairs, Department of Defence, Department of Health, Department of Foreign Affairs and Trade</w:t>
      </w:r>
      <w:r w:rsidRPr="003D4C78">
        <w:rPr>
          <w:color w:val="auto"/>
        </w:rPr>
        <w:t xml:space="preserve">, </w:t>
      </w:r>
      <w:r w:rsidR="003D4C78" w:rsidRPr="003D4C78">
        <w:rPr>
          <w:rFonts w:cs="Arial"/>
          <w:color w:val="auto"/>
          <w:shd w:val="clear" w:color="auto" w:fill="FFFFFF"/>
        </w:rPr>
        <w:t>Australian Transaction Reports and Analysis Centre</w:t>
      </w:r>
      <w:r w:rsidR="003D4C78" w:rsidRPr="003D4C78">
        <w:rPr>
          <w:color w:val="auto"/>
        </w:rPr>
        <w:t xml:space="preserve"> </w:t>
      </w:r>
      <w:r w:rsidR="003D4C78">
        <w:rPr>
          <w:color w:val="auto"/>
        </w:rPr>
        <w:t>(</w:t>
      </w:r>
      <w:r w:rsidRPr="003D4C78">
        <w:rPr>
          <w:color w:val="auto"/>
        </w:rPr>
        <w:t>AUSTRAC</w:t>
      </w:r>
      <w:r w:rsidR="003D4C78">
        <w:rPr>
          <w:color w:val="auto"/>
        </w:rPr>
        <w:t>)</w:t>
      </w:r>
      <w:r w:rsidRPr="003D4C78">
        <w:rPr>
          <w:color w:val="auto"/>
        </w:rPr>
        <w:t xml:space="preserve"> </w:t>
      </w:r>
      <w:r>
        <w:t>and Australian Federal Police</w:t>
      </w:r>
      <w:r w:rsidRPr="00BF2024">
        <w:t xml:space="preserve">. </w:t>
      </w:r>
    </w:p>
    <w:p w14:paraId="7D30C2AB" w14:textId="22FBABFC" w:rsidR="001639C7" w:rsidRPr="006D64A2" w:rsidRDefault="001639C7" w:rsidP="003B016E">
      <w:pPr>
        <w:pStyle w:val="Heading2"/>
        <w:tabs>
          <w:tab w:val="left" w:pos="5085"/>
        </w:tabs>
      </w:pPr>
      <w:bookmarkStart w:id="193" w:name="_Toc63782939"/>
      <w:bookmarkStart w:id="194" w:name="_Toc75244068"/>
      <w:r w:rsidRPr="006D64A2">
        <w:t>Treasury</w:t>
      </w:r>
      <w:r w:rsidR="00BD4D19">
        <w:t>’</w:t>
      </w:r>
      <w:r w:rsidRPr="006D64A2">
        <w:t>s compliance activities</w:t>
      </w:r>
      <w:bookmarkEnd w:id="193"/>
      <w:bookmarkEnd w:id="194"/>
    </w:p>
    <w:p w14:paraId="52A915C1" w14:textId="572C9016" w:rsidR="00903461" w:rsidRDefault="001639C7" w:rsidP="00820C89">
      <w:r>
        <w:t xml:space="preserve">In the reporting period, </w:t>
      </w:r>
      <w:r w:rsidRPr="00BF2024">
        <w:t>Treasury</w:t>
      </w:r>
      <w:r w:rsidR="00BD4D19">
        <w:t>’</w:t>
      </w:r>
      <w:r w:rsidRPr="00BF2024">
        <w:t xml:space="preserve">s compliance activities </w:t>
      </w:r>
      <w:r>
        <w:t xml:space="preserve">were </w:t>
      </w:r>
      <w:r w:rsidRPr="00BF2024">
        <w:t xml:space="preserve">framed </w:t>
      </w:r>
      <w:r>
        <w:t xml:space="preserve">according to </w:t>
      </w:r>
      <w:r w:rsidRPr="00BF2024">
        <w:t>the Foreign Investment Compliance Framework which was implemented in September</w:t>
      </w:r>
      <w:r>
        <w:t> </w:t>
      </w:r>
      <w:r w:rsidRPr="00BF2024">
        <w:t>2017. Broadly,</w:t>
      </w:r>
      <w:r>
        <w:t xml:space="preserve"> </w:t>
      </w:r>
      <w:r w:rsidRPr="00BF2024">
        <w:t>this covers</w:t>
      </w:r>
      <w:r>
        <w:t xml:space="preserve"> education, compliance assurance, enforcement, and market intelligence.</w:t>
      </w:r>
      <w:r w:rsidRPr="002A7A15">
        <w:t xml:space="preserve"> </w:t>
      </w:r>
      <w:r>
        <w:t>Compliance activities undertaken in the reporting period are outlined below.</w:t>
      </w:r>
    </w:p>
    <w:p w14:paraId="3BB45BDD" w14:textId="77777777" w:rsidR="001639C7" w:rsidRPr="00666DBB" w:rsidRDefault="001639C7" w:rsidP="00EE32CD">
      <w:pPr>
        <w:pStyle w:val="Heading2noTOC"/>
      </w:pPr>
      <w:bookmarkStart w:id="195" w:name="_Toc63782940"/>
      <w:r w:rsidRPr="00666DBB">
        <w:t>Education and promotion</w:t>
      </w:r>
      <w:bookmarkEnd w:id="195"/>
    </w:p>
    <w:p w14:paraId="11350375" w14:textId="77777777" w:rsidR="001639C7" w:rsidRPr="00666DBB" w:rsidRDefault="001639C7" w:rsidP="00820C89">
      <w:r w:rsidRPr="00BF2024">
        <w:t xml:space="preserve">Stakeholder engagement activities include educating foreign investors and their advisers on their compliance obligations. </w:t>
      </w:r>
      <w:r>
        <w:t>In</w:t>
      </w:r>
      <w:r w:rsidRPr="00BF2024">
        <w:t xml:space="preserve"> </w:t>
      </w:r>
      <w:r>
        <w:t>2019</w:t>
      </w:r>
      <w:r w:rsidR="00F26A86">
        <w:t>–</w:t>
      </w:r>
      <w:r>
        <w:t>20</w:t>
      </w:r>
      <w:r w:rsidRPr="00BF2024">
        <w:t xml:space="preserve">, stakeholder engagement activities undertaken by </w:t>
      </w:r>
      <w:r>
        <w:t xml:space="preserve">Treasury and the ATO </w:t>
      </w:r>
      <w:r w:rsidRPr="00BF2024">
        <w:t>included:</w:t>
      </w:r>
    </w:p>
    <w:p w14:paraId="39D24EA2" w14:textId="65673D22" w:rsidR="001639C7" w:rsidRDefault="001639C7" w:rsidP="00820C89">
      <w:pPr>
        <w:pStyle w:val="Bullet"/>
        <w:numPr>
          <w:ilvl w:val="0"/>
          <w:numId w:val="22"/>
        </w:numPr>
      </w:pPr>
      <w:r w:rsidRPr="00422444">
        <w:t>regular meetings with key stakeholders</w:t>
      </w:r>
      <w:r>
        <w:t xml:space="preserve">, including hosting </w:t>
      </w:r>
      <w:r w:rsidRPr="00422444">
        <w:t xml:space="preserve">the </w:t>
      </w:r>
      <w:r>
        <w:t>third</w:t>
      </w:r>
      <w:r w:rsidRPr="00422444">
        <w:t xml:space="preserve"> Cross</w:t>
      </w:r>
      <w:r w:rsidR="00BD4D19">
        <w:noBreakHyphen/>
      </w:r>
      <w:r w:rsidRPr="00422444">
        <w:t>Government Foreign Investment Compliance Forum</w:t>
      </w:r>
      <w:r>
        <w:t xml:space="preserve">; </w:t>
      </w:r>
    </w:p>
    <w:p w14:paraId="541F805B" w14:textId="77777777" w:rsidR="001639C7" w:rsidRPr="00B1276E" w:rsidRDefault="001639C7" w:rsidP="00820C89">
      <w:pPr>
        <w:pStyle w:val="Bullet"/>
        <w:numPr>
          <w:ilvl w:val="0"/>
          <w:numId w:val="22"/>
        </w:numPr>
      </w:pPr>
      <w:r w:rsidRPr="00422444">
        <w:t>engagement with professional service providers that are advising investors;</w:t>
      </w:r>
    </w:p>
    <w:p w14:paraId="578C054A" w14:textId="216754ED" w:rsidR="001639C7" w:rsidRPr="002D7033" w:rsidRDefault="001639C7" w:rsidP="00820C89">
      <w:pPr>
        <w:pStyle w:val="Bullet"/>
      </w:pPr>
      <w:r>
        <w:t xml:space="preserve">participation in </w:t>
      </w:r>
      <w:r w:rsidRPr="00B1276E">
        <w:t>industry forums and seminars</w:t>
      </w:r>
      <w:r>
        <w:t xml:space="preserve"> including hosting </w:t>
      </w:r>
      <w:r w:rsidRPr="00DE19A9">
        <w:t>Treasury</w:t>
      </w:r>
      <w:r w:rsidR="00BD4D19">
        <w:t>’</w:t>
      </w:r>
      <w:r w:rsidRPr="00DE19A9">
        <w:t>s</w:t>
      </w:r>
      <w:r>
        <w:t xml:space="preserve"> inaugural</w:t>
      </w:r>
      <w:r w:rsidRPr="00DE19A9">
        <w:t xml:space="preserve"> Foreign Investment Division</w:t>
      </w:r>
      <w:r>
        <w:t xml:space="preserve"> compliance forum for audit firms and auditors;</w:t>
      </w:r>
      <w:r w:rsidRPr="00DE19A9">
        <w:t xml:space="preserve"> </w:t>
      </w:r>
    </w:p>
    <w:p w14:paraId="31B3C6BE" w14:textId="77777777" w:rsidR="001639C7" w:rsidRPr="00422444" w:rsidRDefault="001639C7" w:rsidP="00820C89">
      <w:pPr>
        <w:pStyle w:val="Bullet"/>
      </w:pPr>
      <w:r w:rsidRPr="00422444">
        <w:t xml:space="preserve">developing and publishing guidance material on the </w:t>
      </w:r>
      <w:r w:rsidR="002F791C" w:rsidRPr="00A84283">
        <w:t>F</w:t>
      </w:r>
      <w:r w:rsidR="002F791C">
        <w:t xml:space="preserve">oreign Investment </w:t>
      </w:r>
      <w:r w:rsidR="002F791C" w:rsidRPr="00A84283">
        <w:t>R</w:t>
      </w:r>
      <w:r w:rsidR="002F791C">
        <w:t xml:space="preserve">eview </w:t>
      </w:r>
      <w:r w:rsidR="002F791C" w:rsidRPr="00A84283">
        <w:t>B</w:t>
      </w:r>
      <w:r w:rsidR="002F791C">
        <w:t>oard</w:t>
      </w:r>
      <w:r w:rsidRPr="00422444">
        <w:t xml:space="preserve"> and ATO websites to educate foreign investors and their advisers on their compliance obligations</w:t>
      </w:r>
      <w:r>
        <w:t>; and</w:t>
      </w:r>
    </w:p>
    <w:p w14:paraId="58DC3F36" w14:textId="77777777" w:rsidR="001639C7" w:rsidRDefault="001639C7" w:rsidP="00820C89">
      <w:pPr>
        <w:pStyle w:val="Bullet"/>
      </w:pPr>
      <w:r w:rsidRPr="00422444">
        <w:t xml:space="preserve">responding to written enquiries and phone calls to the </w:t>
      </w:r>
      <w:r w:rsidR="00F234E0">
        <w:t>foreign investment related</w:t>
      </w:r>
      <w:r w:rsidRPr="00422444">
        <w:t xml:space="preserve"> hotlines.</w:t>
      </w:r>
    </w:p>
    <w:p w14:paraId="1471F2CE" w14:textId="77777777" w:rsidR="001639C7" w:rsidRDefault="001639C7" w:rsidP="00820C89">
      <w:r w:rsidRPr="001367EF">
        <w:t>Better outcomes on compliance can be achieved if investors and their advisers understand their obligations. To that end, Treasury published two public facing guidance notes on independent audit conditions and requirements for fulfilling compliance reporting obligations</w:t>
      </w:r>
      <w:r>
        <w:t xml:space="preserve"> (</w:t>
      </w:r>
      <w:r w:rsidR="00F234E0">
        <w:t xml:space="preserve">prior </w:t>
      </w:r>
      <w:r w:rsidRPr="001367EF">
        <w:t>Guidance Note</w:t>
      </w:r>
      <w:r>
        <w:t>s</w:t>
      </w:r>
      <w:r w:rsidRPr="001367EF">
        <w:t xml:space="preserve"> 51</w:t>
      </w:r>
      <w:r>
        <w:rPr>
          <w:rStyle w:val="FootnoteReference"/>
        </w:rPr>
        <w:footnoteReference w:id="11"/>
      </w:r>
      <w:r w:rsidRPr="001367EF">
        <w:t xml:space="preserve"> and 52</w:t>
      </w:r>
      <w:r>
        <w:rPr>
          <w:rStyle w:val="FootnoteReference"/>
        </w:rPr>
        <w:footnoteReference w:id="12"/>
      </w:r>
      <w:r w:rsidR="00F234E0">
        <w:t>)</w:t>
      </w:r>
      <w:r w:rsidRPr="001367EF">
        <w:t xml:space="preserve">. These are issues </w:t>
      </w:r>
      <w:r>
        <w:t xml:space="preserve">on which </w:t>
      </w:r>
      <w:r w:rsidRPr="001367EF">
        <w:t xml:space="preserve">Treasury regularly </w:t>
      </w:r>
      <w:r>
        <w:t xml:space="preserve">engages </w:t>
      </w:r>
      <w:r w:rsidRPr="001367EF">
        <w:t xml:space="preserve">with investors. Public guidance </w:t>
      </w:r>
      <w:r>
        <w:t>provides standardised information that is accessible by all investors and their advisers and assists investors understand their obligations</w:t>
      </w:r>
      <w:r w:rsidR="002D001A">
        <w:t>.</w:t>
      </w:r>
    </w:p>
    <w:p w14:paraId="7A8BAC27" w14:textId="7568E3C7" w:rsidR="001639C7" w:rsidRDefault="001639C7" w:rsidP="00820C89">
      <w:r w:rsidRPr="00347B16">
        <w:t>The</w:t>
      </w:r>
      <w:r>
        <w:t xml:space="preserve"> </w:t>
      </w:r>
      <w:r w:rsidRPr="00347B16">
        <w:t>Cross</w:t>
      </w:r>
      <w:r w:rsidR="00BD4D19">
        <w:noBreakHyphen/>
      </w:r>
      <w:r w:rsidRPr="00347B16">
        <w:t xml:space="preserve">Government Foreign Investment Compliance Forum </w:t>
      </w:r>
      <w:r>
        <w:t xml:space="preserve">is hosted by the Foreign Investment Division </w:t>
      </w:r>
      <w:r w:rsidR="00F234E0">
        <w:t xml:space="preserve">in Treasury </w:t>
      </w:r>
      <w:r>
        <w:t xml:space="preserve">and is a forum in which </w:t>
      </w:r>
      <w:r w:rsidRPr="00347B16">
        <w:t xml:space="preserve">senior officials from agencies </w:t>
      </w:r>
      <w:r>
        <w:t xml:space="preserve">with an interest in investor </w:t>
      </w:r>
      <w:r w:rsidRPr="00347B16">
        <w:t xml:space="preserve">compliance </w:t>
      </w:r>
      <w:r>
        <w:t>with foreign investment obligations can</w:t>
      </w:r>
      <w:r w:rsidRPr="00347B16">
        <w:t xml:space="preserve"> have a strategic dialogue on compliance issues</w:t>
      </w:r>
      <w:r>
        <w:t xml:space="preserve"> and </w:t>
      </w:r>
      <w:r w:rsidRPr="00347B16">
        <w:t xml:space="preserve">support compliance work under </w:t>
      </w:r>
      <w:r w:rsidRPr="003C29AC">
        <w:t xml:space="preserve">the </w:t>
      </w:r>
      <w:r w:rsidR="002D001A" w:rsidRPr="003C29AC">
        <w:t>Act</w:t>
      </w:r>
      <w:r w:rsidR="002D001A" w:rsidRPr="003C29AC" w:rsidDel="003C29AC">
        <w:t xml:space="preserve">. </w:t>
      </w:r>
      <w:r>
        <w:t>T</w:t>
      </w:r>
      <w:r w:rsidRPr="00347B16">
        <w:t>he Forum also helps identify synergies with other regulatory frameworks and can help with cross jurisdictional issues.</w:t>
      </w:r>
    </w:p>
    <w:p w14:paraId="659E3E5C" w14:textId="77777777" w:rsidR="001639C7" w:rsidRDefault="001639C7" w:rsidP="00820C89">
      <w:pPr>
        <w:pStyle w:val="Bullet"/>
        <w:numPr>
          <w:ilvl w:val="0"/>
          <w:numId w:val="0"/>
        </w:numPr>
        <w:rPr>
          <w:highlight w:val="yellow"/>
        </w:rPr>
      </w:pPr>
      <w:r w:rsidRPr="00806377">
        <w:t xml:space="preserve">Since the announcement of </w:t>
      </w:r>
      <w:r>
        <w:t xml:space="preserve">the changes to the compliance provisions </w:t>
      </w:r>
      <w:r w:rsidR="00F234E0">
        <w:t>in</w:t>
      </w:r>
      <w:r>
        <w:t xml:space="preserve"> </w:t>
      </w:r>
      <w:r w:rsidRPr="003C29AC">
        <w:t>the Act</w:t>
      </w:r>
      <w:r w:rsidRPr="003C29AC" w:rsidDel="003C29AC">
        <w:t xml:space="preserve"> </w:t>
      </w:r>
      <w:r w:rsidR="000B195E">
        <w:t>in June </w:t>
      </w:r>
      <w:r w:rsidRPr="00806377">
        <w:t xml:space="preserve">2020, Treasury </w:t>
      </w:r>
      <w:r>
        <w:t xml:space="preserve">has been developing </w:t>
      </w:r>
      <w:r w:rsidRPr="00806377">
        <w:t>an education campaign for investors and their advisers</w:t>
      </w:r>
      <w:r>
        <w:t xml:space="preserve"> to ensure that from commencement of the reforms</w:t>
      </w:r>
      <w:r w:rsidR="00F234E0">
        <w:t xml:space="preserve"> on 1</w:t>
      </w:r>
      <w:r w:rsidR="000B195E">
        <w:t> January </w:t>
      </w:r>
      <w:r w:rsidR="00F234E0">
        <w:t>2021,</w:t>
      </w:r>
      <w:r>
        <w:t xml:space="preserve"> there is clarity on how the new compliance powers will be administered</w:t>
      </w:r>
      <w:r w:rsidRPr="00806377">
        <w:t xml:space="preserve">. </w:t>
      </w:r>
      <w:r>
        <w:t>N</w:t>
      </w:r>
      <w:r w:rsidRPr="00806377">
        <w:t xml:space="preserve">ew </w:t>
      </w:r>
      <w:r w:rsidRPr="004142CF">
        <w:t xml:space="preserve">guidance </w:t>
      </w:r>
      <w:r>
        <w:t xml:space="preserve">material to assist investors understand their compliance obligations was made available on the </w:t>
      </w:r>
      <w:r w:rsidR="002F791C" w:rsidRPr="00A84283">
        <w:t>F</w:t>
      </w:r>
      <w:r w:rsidR="002F791C">
        <w:t xml:space="preserve">oreign Investment </w:t>
      </w:r>
      <w:r w:rsidR="002F791C" w:rsidRPr="00A84283">
        <w:t>R</w:t>
      </w:r>
      <w:r w:rsidR="002F791C">
        <w:t xml:space="preserve">eview </w:t>
      </w:r>
      <w:r w:rsidR="002F791C" w:rsidRPr="00A84283">
        <w:t>B</w:t>
      </w:r>
      <w:r w:rsidR="002F791C">
        <w:t>oard</w:t>
      </w:r>
      <w:r w:rsidR="000B195E">
        <w:t xml:space="preserve"> website in December </w:t>
      </w:r>
      <w:r>
        <w:t>2020.</w:t>
      </w:r>
    </w:p>
    <w:p w14:paraId="02CB3661" w14:textId="0A3E9373" w:rsidR="001639C7" w:rsidRDefault="001639C7" w:rsidP="00820C89">
      <w:r w:rsidRPr="006D0C45">
        <w:t>Treasury</w:t>
      </w:r>
      <w:r w:rsidR="00BD4D19">
        <w:t>’</w:t>
      </w:r>
      <w:r w:rsidRPr="006D0C45">
        <w:t xml:space="preserve">s engagement </w:t>
      </w:r>
      <w:r w:rsidRPr="006D0C45">
        <w:rPr>
          <w:bCs/>
        </w:rPr>
        <w:t>within Government</w:t>
      </w:r>
      <w:r w:rsidR="0044138D">
        <w:rPr>
          <w:bCs/>
        </w:rPr>
        <w:t xml:space="preserve"> agency partners</w:t>
      </w:r>
      <w:r w:rsidRPr="006D0C45">
        <w:rPr>
          <w:bCs/>
        </w:rPr>
        <w:t xml:space="preserve"> </w:t>
      </w:r>
      <w:r w:rsidRPr="006D0C45">
        <w:t>is also of primary importance to ensure that the</w:t>
      </w:r>
      <w:r w:rsidR="0044138D">
        <w:t>ir</w:t>
      </w:r>
      <w:r w:rsidRPr="006D0C45">
        <w:t xml:space="preserve"> views are considered</w:t>
      </w:r>
      <w:r w:rsidR="003B54FC">
        <w:t xml:space="preserve">. This consideration is included </w:t>
      </w:r>
      <w:r w:rsidRPr="006D0C45">
        <w:t>not only in the context of an investor</w:t>
      </w:r>
      <w:r w:rsidR="00BD4D19">
        <w:t>’</w:t>
      </w:r>
      <w:r w:rsidRPr="006D0C45">
        <w:t xml:space="preserve">s application process, but </w:t>
      </w:r>
      <w:r w:rsidR="003B54FC">
        <w:t>it</w:t>
      </w:r>
      <w:r w:rsidR="003B54FC" w:rsidRPr="006D0C45">
        <w:t xml:space="preserve"> </w:t>
      </w:r>
      <w:r w:rsidRPr="006D0C45">
        <w:t>also carries through to the post</w:t>
      </w:r>
      <w:r w:rsidR="00BD4D19">
        <w:noBreakHyphen/>
      </w:r>
      <w:r w:rsidRPr="006D0C45">
        <w:t xml:space="preserve">acquisition compliance work when considering whether an investor has met their obligations under the conditions imposed as part of their </w:t>
      </w:r>
      <w:r w:rsidRPr="006D0C45">
        <w:rPr>
          <w:color w:val="auto"/>
        </w:rPr>
        <w:t>no objections notifications</w:t>
      </w:r>
      <w:r w:rsidRPr="006D0C45">
        <w:t>.</w:t>
      </w:r>
    </w:p>
    <w:p w14:paraId="48F1CA61" w14:textId="77777777" w:rsidR="001639C7" w:rsidRPr="006D64A2" w:rsidRDefault="001639C7" w:rsidP="00820C89">
      <w:pPr>
        <w:pStyle w:val="Heading3"/>
      </w:pPr>
      <w:r w:rsidRPr="006D64A2">
        <w:t xml:space="preserve">Compliance assurance </w:t>
      </w:r>
    </w:p>
    <w:p w14:paraId="7EEDCC58" w14:textId="77777777" w:rsidR="001639C7" w:rsidRPr="00406C1F" w:rsidRDefault="001639C7" w:rsidP="00820C89">
      <w:pPr>
        <w:pStyle w:val="Heading4"/>
      </w:pPr>
      <w:r>
        <w:t>Audit p</w:t>
      </w:r>
      <w:r w:rsidRPr="00406C1F">
        <w:t>rogram</w:t>
      </w:r>
    </w:p>
    <w:p w14:paraId="03C54C66" w14:textId="363D3FD3" w:rsidR="001639C7" w:rsidRDefault="001639C7" w:rsidP="00820C89">
      <w:pPr>
        <w:rPr>
          <w:color w:val="auto"/>
        </w:rPr>
      </w:pPr>
      <w:r w:rsidRPr="00406C1F">
        <w:t xml:space="preserve">The annual audit program </w:t>
      </w:r>
      <w:r>
        <w:t xml:space="preserve">was introduced </w:t>
      </w:r>
      <w:r w:rsidRPr="00406C1F">
        <w:t>in 2017. In undertaking complian</w:t>
      </w:r>
      <w:r>
        <w:t>ce audits, Treasury uses a risk</w:t>
      </w:r>
      <w:r w:rsidR="00BD4D19">
        <w:noBreakHyphen/>
      </w:r>
      <w:r w:rsidRPr="00406C1F">
        <w:t xml:space="preserve">based approach to </w:t>
      </w:r>
      <w:r w:rsidRPr="00406C1F">
        <w:rPr>
          <w:color w:val="auto"/>
        </w:rPr>
        <w:t>determin</w:t>
      </w:r>
      <w:r>
        <w:rPr>
          <w:color w:val="auto"/>
        </w:rPr>
        <w:t>e</w:t>
      </w:r>
      <w:r w:rsidRPr="00406C1F">
        <w:rPr>
          <w:color w:val="auto"/>
        </w:rPr>
        <w:t xml:space="preserve"> which transactions are subject to audit. This approach considers issues such as the nature of conditions imposed on an investment proposal, the impact of non</w:t>
      </w:r>
      <w:r w:rsidR="00BD4D19">
        <w:rPr>
          <w:color w:val="auto"/>
        </w:rPr>
        <w:noBreakHyphen/>
      </w:r>
      <w:r w:rsidRPr="00406C1F">
        <w:rPr>
          <w:color w:val="auto"/>
        </w:rPr>
        <w:t>compliance on the national interest and indicators of potential non</w:t>
      </w:r>
      <w:r w:rsidR="00BD4D19">
        <w:rPr>
          <w:color w:val="auto"/>
        </w:rPr>
        <w:noBreakHyphen/>
      </w:r>
      <w:r w:rsidRPr="00406C1F">
        <w:rPr>
          <w:color w:val="auto"/>
        </w:rPr>
        <w:t>compliance.</w:t>
      </w:r>
    </w:p>
    <w:p w14:paraId="4310A56B" w14:textId="18CD7758" w:rsidR="00A6560A" w:rsidRDefault="00A6560A" w:rsidP="00820C89">
      <w:pPr>
        <w:rPr>
          <w:color w:val="auto"/>
        </w:rPr>
      </w:pPr>
      <w:r w:rsidRPr="00A6560A">
        <w:rPr>
          <w:color w:val="auto"/>
        </w:rPr>
        <w:t>During 2019</w:t>
      </w:r>
      <w:r w:rsidR="00BD4D19">
        <w:rPr>
          <w:color w:val="auto"/>
        </w:rPr>
        <w:noBreakHyphen/>
      </w:r>
      <w:r w:rsidRPr="00A6560A">
        <w:rPr>
          <w:color w:val="auto"/>
        </w:rPr>
        <w:t xml:space="preserve">20, four audits were completed with an additional </w:t>
      </w:r>
      <w:r w:rsidR="001F34B6">
        <w:rPr>
          <w:color w:val="auto"/>
        </w:rPr>
        <w:t>five </w:t>
      </w:r>
      <w:r w:rsidRPr="00A6560A">
        <w:rPr>
          <w:color w:val="auto"/>
        </w:rPr>
        <w:t xml:space="preserve">audits </w:t>
      </w:r>
      <w:r w:rsidR="001F34B6">
        <w:rPr>
          <w:color w:val="auto"/>
        </w:rPr>
        <w:t>from the 2019</w:t>
      </w:r>
      <w:r w:rsidR="00BD4D19">
        <w:rPr>
          <w:color w:val="auto"/>
        </w:rPr>
        <w:noBreakHyphen/>
      </w:r>
      <w:r w:rsidR="001F34B6">
        <w:rPr>
          <w:color w:val="auto"/>
        </w:rPr>
        <w:t xml:space="preserve">20 audit program </w:t>
      </w:r>
      <w:r w:rsidRPr="00A6560A">
        <w:rPr>
          <w:color w:val="auto"/>
        </w:rPr>
        <w:t>underway as at 30</w:t>
      </w:r>
      <w:r w:rsidR="000B195E">
        <w:rPr>
          <w:color w:val="auto"/>
        </w:rPr>
        <w:t> June </w:t>
      </w:r>
      <w:r w:rsidRPr="00A6560A">
        <w:rPr>
          <w:color w:val="auto"/>
        </w:rPr>
        <w:t>2020</w:t>
      </w:r>
      <w:r w:rsidR="00973B8C">
        <w:rPr>
          <w:color w:val="auto"/>
        </w:rPr>
        <w:t>.</w:t>
      </w:r>
      <w:r w:rsidRPr="00A6560A">
        <w:rPr>
          <w:color w:val="auto"/>
        </w:rPr>
        <w:t xml:space="preserve"> The results of the audits at 30</w:t>
      </w:r>
      <w:r w:rsidR="000B195E">
        <w:rPr>
          <w:color w:val="auto"/>
        </w:rPr>
        <w:t> June </w:t>
      </w:r>
      <w:r w:rsidRPr="00A6560A">
        <w:rPr>
          <w:color w:val="auto"/>
        </w:rPr>
        <w:t>2020 found one instance of partial</w:t>
      </w:r>
      <w:r w:rsidR="00BD4D19">
        <w:rPr>
          <w:color w:val="auto"/>
        </w:rPr>
        <w:noBreakHyphen/>
      </w:r>
      <w:r w:rsidRPr="00A6560A">
        <w:rPr>
          <w:color w:val="auto"/>
        </w:rPr>
        <w:t>compliance amongst investors. In this instance, Treasury worked with the investor to put in place a remediation action plan.</w:t>
      </w:r>
    </w:p>
    <w:p w14:paraId="76B9CABE" w14:textId="77777777" w:rsidR="001639C7" w:rsidRPr="00406C1F" w:rsidRDefault="001639C7" w:rsidP="00820C89">
      <w:pPr>
        <w:pStyle w:val="Heading4"/>
      </w:pPr>
      <w:r w:rsidRPr="00406C1F">
        <w:t>Reviews</w:t>
      </w:r>
    </w:p>
    <w:p w14:paraId="352D1F23" w14:textId="02F25680" w:rsidR="001639C7" w:rsidRDefault="001639C7" w:rsidP="00820C89">
      <w:pPr>
        <w:rPr>
          <w:color w:val="auto"/>
        </w:rPr>
      </w:pPr>
      <w:r w:rsidRPr="00406C1F">
        <w:t>Treasury reviews instances of potential non</w:t>
      </w:r>
      <w:r w:rsidR="00BD4D19">
        <w:noBreakHyphen/>
      </w:r>
      <w:r w:rsidRPr="00406C1F">
        <w:t xml:space="preserve">compliance as part of its compliance assurance activities. Reviews are often triggered by information received from members of the public regarding suspected breaches of the </w:t>
      </w:r>
      <w:r>
        <w:t>Act</w:t>
      </w:r>
      <w:r w:rsidRPr="00406C1F">
        <w:t xml:space="preserve"> by investors. </w:t>
      </w:r>
      <w:r>
        <w:rPr>
          <w:color w:val="auto"/>
        </w:rPr>
        <w:t>In 2019</w:t>
      </w:r>
      <w:r w:rsidR="00BD4D19">
        <w:rPr>
          <w:color w:val="auto"/>
        </w:rPr>
        <w:noBreakHyphen/>
      </w:r>
      <w:r w:rsidRPr="00EC1D44">
        <w:rPr>
          <w:color w:val="auto"/>
        </w:rPr>
        <w:t>20, Treasury received 24 reports of potential non</w:t>
      </w:r>
      <w:r w:rsidR="00BD4D19">
        <w:rPr>
          <w:color w:val="auto"/>
        </w:rPr>
        <w:noBreakHyphen/>
      </w:r>
      <w:r w:rsidRPr="00EC1D44">
        <w:rPr>
          <w:color w:val="auto"/>
        </w:rPr>
        <w:t>compliance</w:t>
      </w:r>
      <w:r>
        <w:rPr>
          <w:color w:val="auto"/>
        </w:rPr>
        <w:t xml:space="preserve"> a</w:t>
      </w:r>
      <w:r w:rsidR="00FB5C75">
        <w:rPr>
          <w:color w:val="auto"/>
        </w:rPr>
        <w:t xml:space="preserve">s well as </w:t>
      </w:r>
      <w:r>
        <w:rPr>
          <w:color w:val="auto"/>
        </w:rPr>
        <w:t>finalis</w:t>
      </w:r>
      <w:r w:rsidR="003131AB">
        <w:rPr>
          <w:color w:val="auto"/>
        </w:rPr>
        <w:t>ed</w:t>
      </w:r>
      <w:r w:rsidR="00FB5C75">
        <w:rPr>
          <w:color w:val="auto"/>
        </w:rPr>
        <w:t xml:space="preserve"> a number of </w:t>
      </w:r>
      <w:r>
        <w:rPr>
          <w:color w:val="auto"/>
        </w:rPr>
        <w:t>reviews.</w:t>
      </w:r>
      <w:r w:rsidRPr="00EC1D44">
        <w:rPr>
          <w:color w:val="auto"/>
        </w:rPr>
        <w:t xml:space="preserve"> </w:t>
      </w:r>
    </w:p>
    <w:p w14:paraId="1F104FCB" w14:textId="77777777" w:rsidR="001639C7" w:rsidRPr="00406C1F" w:rsidRDefault="001639C7" w:rsidP="00820C89">
      <w:pPr>
        <w:pStyle w:val="Heading4"/>
      </w:pPr>
      <w:r>
        <w:t>Compliance m</w:t>
      </w:r>
      <w:r w:rsidRPr="00406C1F">
        <w:t xml:space="preserve">onitoring </w:t>
      </w:r>
    </w:p>
    <w:p w14:paraId="4FD1DC90" w14:textId="4F6F606D" w:rsidR="001639C7" w:rsidRDefault="001639C7" w:rsidP="00820C89">
      <w:pPr>
        <w:rPr>
          <w:color w:val="auto"/>
        </w:rPr>
      </w:pPr>
      <w:r w:rsidRPr="00406C1F">
        <w:t>Treasury</w:t>
      </w:r>
      <w:r w:rsidR="00BD4D19">
        <w:t>’</w:t>
      </w:r>
      <w:r w:rsidRPr="00406C1F">
        <w:t xml:space="preserve">s assurance activities also include ongoing monitoring of compliance. For example, investors are often requested to report on their compliance with conditions imposed as part of </w:t>
      </w:r>
      <w:r w:rsidRPr="00406C1F">
        <w:rPr>
          <w:color w:val="auto"/>
        </w:rPr>
        <w:t xml:space="preserve">no objections notifications. These reports provide Treasury with information regarding the level of compliance and provide information about how compliance activities could be targeted in the future. </w:t>
      </w:r>
      <w:r>
        <w:rPr>
          <w:color w:val="auto"/>
        </w:rPr>
        <w:t xml:space="preserve">The Treasury </w:t>
      </w:r>
      <w:r w:rsidRPr="00384038">
        <w:rPr>
          <w:color w:val="auto"/>
        </w:rPr>
        <w:t>ac</w:t>
      </w:r>
      <w:r>
        <w:rPr>
          <w:color w:val="auto"/>
        </w:rPr>
        <w:t xml:space="preserve">tively engages </w:t>
      </w:r>
      <w:r w:rsidRPr="00384038">
        <w:rPr>
          <w:color w:val="auto"/>
        </w:rPr>
        <w:t>with</w:t>
      </w:r>
      <w:r>
        <w:rPr>
          <w:color w:val="auto"/>
        </w:rPr>
        <w:t xml:space="preserve"> investors and their advis</w:t>
      </w:r>
      <w:r w:rsidR="00E84C8F">
        <w:rPr>
          <w:color w:val="auto"/>
        </w:rPr>
        <w:t>e</w:t>
      </w:r>
      <w:r>
        <w:rPr>
          <w:color w:val="auto"/>
        </w:rPr>
        <w:t xml:space="preserve">rs via compliance monitoring activities such as remediation action plans to bring them into compliance. </w:t>
      </w:r>
    </w:p>
    <w:p w14:paraId="41075488" w14:textId="77777777" w:rsidR="001639C7" w:rsidRPr="00E0263D" w:rsidRDefault="001639C7" w:rsidP="00820C89">
      <w:pPr>
        <w:rPr>
          <w:color w:val="auto"/>
        </w:rPr>
      </w:pPr>
      <w:r w:rsidRPr="001367EF">
        <w:rPr>
          <w:color w:val="auto"/>
        </w:rPr>
        <w:t>In addition to reviewing compliance reports</w:t>
      </w:r>
      <w:r>
        <w:rPr>
          <w:color w:val="auto"/>
        </w:rPr>
        <w:t xml:space="preserve"> received</w:t>
      </w:r>
      <w:r w:rsidRPr="001367EF">
        <w:rPr>
          <w:color w:val="auto"/>
        </w:rPr>
        <w:t xml:space="preserve"> from investors, Treasury also </w:t>
      </w:r>
      <w:r>
        <w:rPr>
          <w:color w:val="auto"/>
        </w:rPr>
        <w:t xml:space="preserve">actively </w:t>
      </w:r>
      <w:r w:rsidRPr="001367EF">
        <w:rPr>
          <w:color w:val="auto"/>
        </w:rPr>
        <w:t xml:space="preserve">conducts </w:t>
      </w:r>
      <w:r w:rsidRPr="00E0263D">
        <w:rPr>
          <w:color w:val="auto"/>
        </w:rPr>
        <w:t>its</w:t>
      </w:r>
      <w:r w:rsidRPr="001367EF">
        <w:rPr>
          <w:color w:val="auto"/>
        </w:rPr>
        <w:t xml:space="preserve"> own compliance reviews</w:t>
      </w:r>
      <w:r>
        <w:rPr>
          <w:color w:val="auto"/>
        </w:rPr>
        <w:t xml:space="preserve"> as part of regular monitoring efforts. The purpose of these reviews is to proactively (rather than reactively) monitor investor compliance with conditions. </w:t>
      </w:r>
    </w:p>
    <w:p w14:paraId="5142C58A" w14:textId="77777777" w:rsidR="001639C7" w:rsidRPr="006D64A2" w:rsidRDefault="001639C7" w:rsidP="00820C89">
      <w:pPr>
        <w:pStyle w:val="Heading3"/>
      </w:pPr>
      <w:r w:rsidRPr="006D64A2">
        <w:t xml:space="preserve">Enforcement </w:t>
      </w:r>
    </w:p>
    <w:p w14:paraId="09A11AB3" w14:textId="015D54DD" w:rsidR="001639C7" w:rsidRDefault="001639C7" w:rsidP="00820C89">
      <w:r w:rsidRPr="00BF2024">
        <w:t xml:space="preserve">The </w:t>
      </w:r>
      <w:r w:rsidRPr="003C29AC">
        <w:t>Act</w:t>
      </w:r>
      <w:r w:rsidRPr="00BF2024">
        <w:t xml:space="preserve"> provides a number of powers to enforce the foreign investment rules, including criminal and civil penalties for non</w:t>
      </w:r>
      <w:r w:rsidR="00BD4D19">
        <w:noBreakHyphen/>
      </w:r>
      <w:r w:rsidRPr="00BF2024">
        <w:t xml:space="preserve">compliance. Penalties may be applied for breaches of the </w:t>
      </w:r>
      <w:r w:rsidRPr="003C29AC">
        <w:t>Act</w:t>
      </w:r>
      <w:r w:rsidRPr="00BF2024">
        <w:t xml:space="preserve">, including where a foreign person fails to notify investments that fall within screening thresholds, or breaches a condition imposed on an investment. Penalties under the </w:t>
      </w:r>
      <w:r w:rsidRPr="003C29AC">
        <w:t xml:space="preserve">Act </w:t>
      </w:r>
      <w:r w:rsidRPr="00BF2024">
        <w:t>are designed to deter non</w:t>
      </w:r>
      <w:r w:rsidR="00BD4D19">
        <w:noBreakHyphen/>
      </w:r>
      <w:r w:rsidRPr="00BF2024">
        <w:t xml:space="preserve">compliance, support the integrity of the </w:t>
      </w:r>
      <w:r>
        <w:t xml:space="preserve">foreign investment </w:t>
      </w:r>
      <w:r w:rsidRPr="00BF2024">
        <w:t>framework, and ensure the national interest is safeguarded. In general, Treasury seek</w:t>
      </w:r>
      <w:r>
        <w:t>s</w:t>
      </w:r>
      <w:r w:rsidRPr="00BF2024">
        <w:t xml:space="preserve"> to work with foreign investors to achieve compliance in cases where non</w:t>
      </w:r>
      <w:r w:rsidR="00BD4D19">
        <w:noBreakHyphen/>
      </w:r>
      <w:r w:rsidRPr="00BF2024">
        <w:t>compliance is inadvertent</w:t>
      </w:r>
      <w:r w:rsidR="000156F1">
        <w:t>,</w:t>
      </w:r>
      <w:r w:rsidR="00526E53">
        <w:t xml:space="preserve"> </w:t>
      </w:r>
      <w:r w:rsidR="000156F1">
        <w:t>s</w:t>
      </w:r>
      <w:r w:rsidRPr="00BF2024">
        <w:t>elf</w:t>
      </w:r>
      <w:r w:rsidR="00BD4D19">
        <w:noBreakHyphen/>
      </w:r>
      <w:r w:rsidRPr="00BF2024">
        <w:t xml:space="preserve">reported by the foreign investor, the breach is </w:t>
      </w:r>
      <w:r w:rsidR="003B54FC">
        <w:t>usually</w:t>
      </w:r>
      <w:r w:rsidRPr="00BF2024">
        <w:t xml:space="preserve"> administrative, and the investor is willing to remediate the breach as quickly as possible. Treasury</w:t>
      </w:r>
      <w:r w:rsidR="00BD4D19">
        <w:t>’</w:t>
      </w:r>
      <w:r w:rsidRPr="00BF2024">
        <w:t>s focus continues to be on encouraging and assisting investors to comply</w:t>
      </w:r>
      <w:r>
        <w:t xml:space="preserve"> with their legal obligations</w:t>
      </w:r>
      <w:r w:rsidRPr="00BF2024">
        <w:t>.</w:t>
      </w:r>
    </w:p>
    <w:p w14:paraId="0489F729" w14:textId="77777777" w:rsidR="001639C7" w:rsidRDefault="001639C7" w:rsidP="00820C89">
      <w:r>
        <w:t>Compliance monitoring and e</w:t>
      </w:r>
      <w:r w:rsidRPr="0004537B">
        <w:t xml:space="preserve">nforcement </w:t>
      </w:r>
      <w:r>
        <w:t>tools were significantly</w:t>
      </w:r>
      <w:r w:rsidR="00903461">
        <w:t xml:space="preserve"> </w:t>
      </w:r>
      <w:r>
        <w:t xml:space="preserve">strengthened by changes to </w:t>
      </w:r>
      <w:r w:rsidRPr="0004537B">
        <w:t xml:space="preserve">the </w:t>
      </w:r>
      <w:r w:rsidRPr="003C29AC">
        <w:t>Act</w:t>
      </w:r>
      <w:r w:rsidRPr="0004537B">
        <w:t xml:space="preserve"> </w:t>
      </w:r>
      <w:r w:rsidR="000B195E">
        <w:t>which commenced on 1 January </w:t>
      </w:r>
      <w:r>
        <w:t>2021</w:t>
      </w:r>
      <w:r w:rsidRPr="0004537B">
        <w:t>.</w:t>
      </w:r>
      <w:r>
        <w:t xml:space="preserve"> Since the announcement of the reforms on 5</w:t>
      </w:r>
      <w:r w:rsidR="000B195E">
        <w:t> June </w:t>
      </w:r>
      <w:r>
        <w:t>2020, Treasury has develop</w:t>
      </w:r>
      <w:r w:rsidR="0050426B">
        <w:t>ed</w:t>
      </w:r>
      <w:r>
        <w:t xml:space="preserve"> operational policies and procedures to support the administration of the new compliance powers. </w:t>
      </w:r>
    </w:p>
    <w:p w14:paraId="3BDB80DD" w14:textId="77777777" w:rsidR="001639C7" w:rsidRPr="006D64A2" w:rsidRDefault="001639C7" w:rsidP="00820C89">
      <w:pPr>
        <w:pStyle w:val="Heading3"/>
      </w:pPr>
      <w:r w:rsidRPr="006D64A2">
        <w:t>Market intelligence</w:t>
      </w:r>
    </w:p>
    <w:p w14:paraId="6EEB7520" w14:textId="6E61DD07" w:rsidR="001639C7" w:rsidRDefault="001639C7" w:rsidP="00820C89">
      <w:r>
        <w:t xml:space="preserve">In the reporting period, </w:t>
      </w:r>
      <w:r w:rsidRPr="007E3BEC">
        <w:t>Treasury</w:t>
      </w:r>
      <w:r w:rsidR="00BD4D19">
        <w:t>’</w:t>
      </w:r>
      <w:r w:rsidRPr="007E3BEC">
        <w:t xml:space="preserve">s market intelligence activities </w:t>
      </w:r>
      <w:r>
        <w:t xml:space="preserve">were focussed </w:t>
      </w:r>
      <w:r w:rsidRPr="007E3BEC">
        <w:t>on making better use of data to improve monitoring of foreign investment compliance</w:t>
      </w:r>
      <w:r w:rsidR="006225EA">
        <w:t xml:space="preserve">. </w:t>
      </w:r>
      <w:r>
        <w:t>D</w:t>
      </w:r>
      <w:r w:rsidRPr="007E3BEC">
        <w:t>ata</w:t>
      </w:r>
      <w:r w:rsidR="00BD4D19">
        <w:noBreakHyphen/>
      </w:r>
      <w:r w:rsidRPr="007E3BEC">
        <w:t>driven surveillance activities were undertaken in connection with the</w:t>
      </w:r>
      <w:r w:rsidR="009C793D">
        <w:t xml:space="preserve"> zero dollar threshold</w:t>
      </w:r>
      <w:r>
        <w:t xml:space="preserve">. </w:t>
      </w:r>
      <w:r w:rsidRPr="007E3BEC">
        <w:t xml:space="preserve">These activities included the </w:t>
      </w:r>
      <w:r>
        <w:t>interrogation</w:t>
      </w:r>
      <w:r w:rsidRPr="007E3BEC">
        <w:t xml:space="preserve"> of </w:t>
      </w:r>
      <w:r>
        <w:t>six</w:t>
      </w:r>
      <w:r w:rsidRPr="007E3BEC">
        <w:t xml:space="preserve"> commercial databases and collaboration with other government ag</w:t>
      </w:r>
      <w:r>
        <w:t>encies to detect instances of non</w:t>
      </w:r>
      <w:r w:rsidR="00BD4D19">
        <w:noBreakHyphen/>
      </w:r>
      <w:r>
        <w:t>compliance with</w:t>
      </w:r>
      <w:r w:rsidR="00DE0ED5">
        <w:t xml:space="preserve"> the</w:t>
      </w:r>
      <w:r>
        <w:t xml:space="preserve"> </w:t>
      </w:r>
      <w:r w:rsidR="009C793D">
        <w:t xml:space="preserve">zero dollar thresholds </w:t>
      </w:r>
      <w:r>
        <w:t xml:space="preserve">requirements. </w:t>
      </w:r>
    </w:p>
    <w:p w14:paraId="59F93A78" w14:textId="53AD84E6" w:rsidR="001639C7" w:rsidRDefault="001639C7" w:rsidP="00820C89">
      <w:r>
        <w:t>To further facilitate market intelligence capabilities, Treasury worked with a number of government and non</w:t>
      </w:r>
      <w:r w:rsidR="00BD4D19">
        <w:noBreakHyphen/>
      </w:r>
      <w:r>
        <w:t xml:space="preserve">government agencies to secure ongoing access to </w:t>
      </w:r>
      <w:r w:rsidRPr="007E3BEC">
        <w:t>data sources</w:t>
      </w:r>
      <w:r w:rsidR="006225EA">
        <w:t xml:space="preserve">. </w:t>
      </w:r>
      <w:r w:rsidRPr="007E3BEC">
        <w:t xml:space="preserve">This will assist in </w:t>
      </w:r>
      <w:r>
        <w:t xml:space="preserve">undertaking </w:t>
      </w:r>
      <w:r w:rsidRPr="007E3BEC">
        <w:t>routine and ad hoc surveillance activities for both proactive and retrospective detection of non</w:t>
      </w:r>
      <w:r w:rsidR="00BD4D19">
        <w:noBreakHyphen/>
      </w:r>
      <w:r w:rsidRPr="007E3BEC">
        <w:t>compliance.</w:t>
      </w:r>
    </w:p>
    <w:p w14:paraId="4944F286" w14:textId="4EC70347" w:rsidR="00A84283" w:rsidRPr="00E80E5F" w:rsidRDefault="00422444" w:rsidP="00252E69">
      <w:pPr>
        <w:pStyle w:val="Heading2"/>
      </w:pPr>
      <w:bookmarkStart w:id="196" w:name="_Toc63782941"/>
      <w:bookmarkStart w:id="197" w:name="_Toc75244069"/>
      <w:bookmarkEnd w:id="189"/>
      <w:bookmarkEnd w:id="190"/>
      <w:bookmarkEnd w:id="191"/>
      <w:bookmarkEnd w:id="192"/>
      <w:r w:rsidRPr="00E80E5F">
        <w:t>ATO</w:t>
      </w:r>
      <w:r w:rsidR="00BD4D19">
        <w:t>’</w:t>
      </w:r>
      <w:r w:rsidRPr="00E80E5F">
        <w:t xml:space="preserve">s </w:t>
      </w:r>
      <w:r w:rsidR="0078527F" w:rsidRPr="00E80E5F">
        <w:t>r</w:t>
      </w:r>
      <w:r w:rsidR="00A84283" w:rsidRPr="00E80E5F">
        <w:t>esidential real estate compliance activities</w:t>
      </w:r>
      <w:bookmarkEnd w:id="182"/>
      <w:bookmarkEnd w:id="183"/>
      <w:bookmarkEnd w:id="184"/>
      <w:bookmarkEnd w:id="185"/>
      <w:bookmarkEnd w:id="196"/>
      <w:bookmarkEnd w:id="197"/>
    </w:p>
    <w:p w14:paraId="7518CBDA" w14:textId="2DE3D383" w:rsidR="00A84283" w:rsidRPr="005B12F2" w:rsidRDefault="00A84283" w:rsidP="00BC62E3">
      <w:pPr>
        <w:rPr>
          <w:color w:val="auto"/>
        </w:rPr>
      </w:pPr>
      <w:r w:rsidRPr="005B12F2">
        <w:t>Since December</w:t>
      </w:r>
      <w:r w:rsidR="00C276FE" w:rsidRPr="005B12F2">
        <w:t> </w:t>
      </w:r>
      <w:r w:rsidRPr="005B12F2">
        <w:t>2015, the ATO has been responsible for managing residential real estate applications and associated compliance work. In April</w:t>
      </w:r>
      <w:r w:rsidR="00C276FE" w:rsidRPr="005B12F2">
        <w:t> </w:t>
      </w:r>
      <w:r w:rsidRPr="005B12F2">
        <w:t>2017, the ATO assumed several additional responsibilities, including the screening of applications and compliance w</w:t>
      </w:r>
      <w:r w:rsidR="00DB7870" w:rsidRPr="005B12F2">
        <w:rPr>
          <w:color w:val="auto"/>
        </w:rPr>
        <w:t xml:space="preserve">ork for </w:t>
      </w:r>
      <w:r w:rsidRPr="005B12F2">
        <w:rPr>
          <w:color w:val="auto"/>
        </w:rPr>
        <w:t>non</w:t>
      </w:r>
      <w:r w:rsidR="00BD4D19">
        <w:rPr>
          <w:color w:val="auto"/>
        </w:rPr>
        <w:noBreakHyphen/>
      </w:r>
      <w:r w:rsidRPr="005B12F2">
        <w:rPr>
          <w:color w:val="auto"/>
        </w:rPr>
        <w:t>sensitive commercial real estate and corporate reorganisation</w:t>
      </w:r>
      <w:r w:rsidR="005D68FC">
        <w:rPr>
          <w:color w:val="auto"/>
        </w:rPr>
        <w:t>s</w:t>
      </w:r>
      <w:r w:rsidRPr="005B12F2">
        <w:rPr>
          <w:color w:val="auto"/>
        </w:rPr>
        <w:t>.</w:t>
      </w:r>
    </w:p>
    <w:p w14:paraId="53516DD8" w14:textId="77777777" w:rsidR="00A84283" w:rsidRPr="005B12F2" w:rsidRDefault="00A84283" w:rsidP="00BC62E3">
      <w:pPr>
        <w:rPr>
          <w:color w:val="auto"/>
        </w:rPr>
      </w:pPr>
      <w:r w:rsidRPr="005B12F2">
        <w:t>The data reported in this section is based on residential real estate compliance investigations undertaken by the ATO from 1</w:t>
      </w:r>
      <w:r w:rsidR="00C276FE" w:rsidRPr="005B12F2">
        <w:t> July 201</w:t>
      </w:r>
      <w:r w:rsidR="00903461">
        <w:t>9</w:t>
      </w:r>
      <w:r w:rsidR="00C276FE" w:rsidRPr="005B12F2">
        <w:t xml:space="preserve"> to 30 June </w:t>
      </w:r>
      <w:r w:rsidRPr="005B12F2">
        <w:t>20</w:t>
      </w:r>
      <w:r w:rsidR="00903461">
        <w:t>20</w:t>
      </w:r>
      <w:r w:rsidRPr="005B12F2">
        <w:t xml:space="preserve">. </w:t>
      </w:r>
    </w:p>
    <w:p w14:paraId="75EFD6D9" w14:textId="195605CB" w:rsidR="009068CD" w:rsidRPr="0075084D" w:rsidRDefault="00FE4769" w:rsidP="00F16FDC">
      <w:r w:rsidRPr="0075084D">
        <w:t>During</w:t>
      </w:r>
      <w:r w:rsidR="005D68FC">
        <w:t xml:space="preserve"> the period</w:t>
      </w:r>
      <w:r w:rsidRPr="0075084D">
        <w:t xml:space="preserve">, </w:t>
      </w:r>
      <w:r w:rsidR="005B12F2" w:rsidRPr="0075084D">
        <w:t>746</w:t>
      </w:r>
      <w:r w:rsidR="00F15251">
        <w:t> </w:t>
      </w:r>
      <w:r w:rsidRPr="0075084D">
        <w:t>cases were identified for investigation</w:t>
      </w:r>
      <w:r w:rsidR="0044138D">
        <w:t>,</w:t>
      </w:r>
      <w:r w:rsidRPr="0075084D">
        <w:t xml:space="preserve"> </w:t>
      </w:r>
      <w:r w:rsidR="00DB3C16" w:rsidRPr="0075084D">
        <w:t>down</w:t>
      </w:r>
      <w:r w:rsidRPr="0075084D">
        <w:t xml:space="preserve"> from 1,</w:t>
      </w:r>
      <w:r w:rsidR="005B12F2" w:rsidRPr="0075084D">
        <w:t>220</w:t>
      </w:r>
      <w:r w:rsidR="00F15251">
        <w:t> </w:t>
      </w:r>
      <w:r w:rsidRPr="0075084D">
        <w:t>cases in</w:t>
      </w:r>
      <w:r w:rsidR="00DB3C16" w:rsidRPr="0075084D">
        <w:t xml:space="preserve"> </w:t>
      </w:r>
      <w:r w:rsidRPr="0075084D">
        <w:t>201</w:t>
      </w:r>
      <w:r w:rsidR="005B12F2" w:rsidRPr="0075084D">
        <w:t>8</w:t>
      </w:r>
      <w:r w:rsidR="00BD4D19">
        <w:noBreakHyphen/>
      </w:r>
      <w:r w:rsidRPr="0075084D">
        <w:t>1</w:t>
      </w:r>
      <w:r w:rsidR="005B12F2" w:rsidRPr="0075084D">
        <w:t>9</w:t>
      </w:r>
      <w:r w:rsidRPr="0075084D">
        <w:t xml:space="preserve">. Of these, </w:t>
      </w:r>
      <w:r w:rsidR="0075084D" w:rsidRPr="0075084D">
        <w:t>620</w:t>
      </w:r>
      <w:r w:rsidR="00F15251">
        <w:t> </w:t>
      </w:r>
      <w:r w:rsidRPr="0075084D">
        <w:t>investigations were completed</w:t>
      </w:r>
      <w:r w:rsidR="0044138D">
        <w:t>, compared to</w:t>
      </w:r>
      <w:r w:rsidRPr="0075084D">
        <w:t xml:space="preserve"> 1,</w:t>
      </w:r>
      <w:r w:rsidR="0075084D" w:rsidRPr="0075084D">
        <w:t>068</w:t>
      </w:r>
      <w:r w:rsidRPr="0075084D">
        <w:t xml:space="preserve"> in 201</w:t>
      </w:r>
      <w:r w:rsidR="0075084D" w:rsidRPr="0075084D">
        <w:t>8</w:t>
      </w:r>
      <w:r w:rsidR="00BD4D19">
        <w:noBreakHyphen/>
      </w:r>
      <w:r w:rsidRPr="0075084D">
        <w:t>1</w:t>
      </w:r>
      <w:r w:rsidR="0075084D" w:rsidRPr="0075084D">
        <w:t>9</w:t>
      </w:r>
      <w:r w:rsidRPr="0075084D">
        <w:t xml:space="preserve">, which identified </w:t>
      </w:r>
      <w:r w:rsidR="0075084D" w:rsidRPr="0075084D">
        <w:t>259</w:t>
      </w:r>
      <w:r w:rsidR="00F15251">
        <w:t> </w:t>
      </w:r>
      <w:r w:rsidRPr="0075084D">
        <w:t>properties that were in breach of Australia</w:t>
      </w:r>
      <w:r w:rsidR="00BD4D19">
        <w:t>’</w:t>
      </w:r>
      <w:r w:rsidRPr="0075084D">
        <w:t>s foreign investment rules</w:t>
      </w:r>
      <w:r w:rsidR="009C793D">
        <w:t>,</w:t>
      </w:r>
      <w:r w:rsidRPr="0075084D">
        <w:t xml:space="preserve"> </w:t>
      </w:r>
      <w:r w:rsidR="0075084D" w:rsidRPr="0075084D">
        <w:t>down from 600 in 2018</w:t>
      </w:r>
      <w:r w:rsidR="00BD4D19">
        <w:noBreakHyphen/>
      </w:r>
      <w:r w:rsidR="0075084D" w:rsidRPr="0075084D">
        <w:t>19</w:t>
      </w:r>
      <w:r w:rsidR="00C276FE" w:rsidRPr="0075084D">
        <w:t xml:space="preserve"> (see </w:t>
      </w:r>
      <w:r w:rsidRPr="0075084D">
        <w:t>Table</w:t>
      </w:r>
      <w:r w:rsidR="00C276FE" w:rsidRPr="0075084D">
        <w:t> </w:t>
      </w:r>
      <w:r w:rsidRPr="0075084D">
        <w:t>4.</w:t>
      </w:r>
      <w:r w:rsidR="007323E2">
        <w:t>1</w:t>
      </w:r>
      <w:r w:rsidRPr="0075084D">
        <w:t xml:space="preserve">). </w:t>
      </w:r>
    </w:p>
    <w:p w14:paraId="0D124BCE" w14:textId="6812ABB1" w:rsidR="003505DE" w:rsidRPr="0075084D" w:rsidRDefault="003505DE" w:rsidP="006D0C45">
      <w:pPr>
        <w:pStyle w:val="TableMainHeading"/>
        <w:keepLines/>
      </w:pPr>
      <w:bookmarkStart w:id="198" w:name="_Toc32247780"/>
      <w:bookmarkStart w:id="199" w:name="_Toc63798291"/>
      <w:bookmarkStart w:id="200" w:name="_Toc73984749"/>
      <w:r w:rsidRPr="0075084D">
        <w:t>Table 4.</w:t>
      </w:r>
      <w:r w:rsidR="007323E2">
        <w:t>1</w:t>
      </w:r>
      <w:r w:rsidRPr="0075084D">
        <w:t>: Residential real estate compliance investigations</w:t>
      </w:r>
      <w:r w:rsidR="00D9112E" w:rsidRPr="0075084D">
        <w:t xml:space="preserve"> in 2017</w:t>
      </w:r>
      <w:r w:rsidR="000207A1">
        <w:t>–</w:t>
      </w:r>
      <w:r w:rsidR="00D9112E" w:rsidRPr="0075084D">
        <w:t xml:space="preserve">18 </w:t>
      </w:r>
      <w:r w:rsidR="00420DD4">
        <w:t>to</w:t>
      </w:r>
      <w:r w:rsidR="00D9112E" w:rsidRPr="0075084D">
        <w:t xml:space="preserve"> 201</w:t>
      </w:r>
      <w:r w:rsidR="00A81F3B" w:rsidRPr="0075084D">
        <w:t>9</w:t>
      </w:r>
      <w:r w:rsidR="000207A1">
        <w:t>–</w:t>
      </w:r>
      <w:r w:rsidR="00A81F3B" w:rsidRPr="0075084D">
        <w:t>20</w:t>
      </w:r>
      <w:bookmarkEnd w:id="198"/>
      <w:bookmarkEnd w:id="199"/>
      <w:bookmarkEnd w:id="200"/>
    </w:p>
    <w:tbl>
      <w:tblPr>
        <w:tblW w:w="5000" w:type="pct"/>
        <w:tblLook w:val="04A0" w:firstRow="1" w:lastRow="0" w:firstColumn="1" w:lastColumn="0" w:noHBand="0" w:noVBand="1"/>
      </w:tblPr>
      <w:tblGrid>
        <w:gridCol w:w="2514"/>
        <w:gridCol w:w="1732"/>
        <w:gridCol w:w="1732"/>
        <w:gridCol w:w="1732"/>
      </w:tblGrid>
      <w:tr w:rsidR="00A81F3B" w:rsidRPr="00A81F3B" w14:paraId="50593464" w14:textId="77777777" w:rsidTr="009F768E">
        <w:trPr>
          <w:trHeight w:val="227"/>
        </w:trPr>
        <w:tc>
          <w:tcPr>
            <w:tcW w:w="1630" w:type="pct"/>
            <w:tcBorders>
              <w:top w:val="single" w:sz="2" w:space="0" w:color="000000" w:themeColor="text1"/>
              <w:left w:val="nil"/>
              <w:bottom w:val="nil"/>
              <w:right w:val="nil"/>
            </w:tcBorders>
            <w:shd w:val="clear" w:color="auto" w:fill="auto"/>
            <w:noWrap/>
            <w:vAlign w:val="center"/>
            <w:hideMark/>
          </w:tcPr>
          <w:p w14:paraId="11F2D2D0" w14:textId="77777777" w:rsidR="00A81F3B" w:rsidRPr="00A81F3B" w:rsidRDefault="00A81F3B" w:rsidP="006D0C45">
            <w:pPr>
              <w:keepNext/>
              <w:keepLines/>
              <w:spacing w:after="0" w:line="240" w:lineRule="auto"/>
              <w:jc w:val="left"/>
              <w:rPr>
                <w:rFonts w:ascii="Arial" w:hAnsi="Arial" w:cs="Arial"/>
                <w:sz w:val="16"/>
                <w:szCs w:val="16"/>
              </w:rPr>
            </w:pPr>
          </w:p>
        </w:tc>
        <w:tc>
          <w:tcPr>
            <w:tcW w:w="1123" w:type="pct"/>
            <w:tcBorders>
              <w:top w:val="single" w:sz="2" w:space="0" w:color="000000" w:themeColor="text1"/>
              <w:left w:val="nil"/>
              <w:right w:val="nil"/>
            </w:tcBorders>
            <w:shd w:val="clear" w:color="000000" w:fill="FFFFFF"/>
            <w:noWrap/>
            <w:vAlign w:val="center"/>
            <w:hideMark/>
          </w:tcPr>
          <w:p w14:paraId="2B8E3926"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2017</w:t>
            </w:r>
            <w:r w:rsidR="000207A1">
              <w:rPr>
                <w:rFonts w:ascii="Arial" w:hAnsi="Arial" w:cs="Arial"/>
                <w:color w:val="auto"/>
                <w:sz w:val="16"/>
                <w:szCs w:val="16"/>
              </w:rPr>
              <w:t>–</w:t>
            </w:r>
            <w:r w:rsidRPr="00A81F3B">
              <w:rPr>
                <w:rFonts w:ascii="Arial" w:hAnsi="Arial" w:cs="Arial"/>
                <w:color w:val="auto"/>
                <w:sz w:val="16"/>
                <w:szCs w:val="16"/>
              </w:rPr>
              <w:t>18</w:t>
            </w:r>
          </w:p>
        </w:tc>
        <w:tc>
          <w:tcPr>
            <w:tcW w:w="1123" w:type="pct"/>
            <w:tcBorders>
              <w:top w:val="single" w:sz="2" w:space="0" w:color="000000" w:themeColor="text1"/>
              <w:left w:val="nil"/>
              <w:right w:val="nil"/>
            </w:tcBorders>
            <w:shd w:val="clear" w:color="auto" w:fill="auto"/>
            <w:noWrap/>
            <w:vAlign w:val="center"/>
            <w:hideMark/>
          </w:tcPr>
          <w:p w14:paraId="0A333A81"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2018</w:t>
            </w:r>
            <w:r w:rsidR="000207A1">
              <w:rPr>
                <w:rFonts w:ascii="Arial" w:hAnsi="Arial" w:cs="Arial"/>
                <w:color w:val="auto"/>
                <w:sz w:val="16"/>
                <w:szCs w:val="16"/>
              </w:rPr>
              <w:t>–</w:t>
            </w:r>
            <w:r w:rsidRPr="00A81F3B">
              <w:rPr>
                <w:rFonts w:ascii="Arial" w:hAnsi="Arial" w:cs="Arial"/>
                <w:color w:val="auto"/>
                <w:sz w:val="16"/>
                <w:szCs w:val="16"/>
              </w:rPr>
              <w:t>19</w:t>
            </w:r>
          </w:p>
        </w:tc>
        <w:tc>
          <w:tcPr>
            <w:tcW w:w="1123" w:type="pct"/>
            <w:tcBorders>
              <w:top w:val="single" w:sz="2" w:space="0" w:color="000000" w:themeColor="text1"/>
              <w:left w:val="nil"/>
              <w:right w:val="nil"/>
            </w:tcBorders>
            <w:shd w:val="clear" w:color="auto" w:fill="F2F2F2"/>
          </w:tcPr>
          <w:p w14:paraId="6A581637"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2019</w:t>
            </w:r>
            <w:r w:rsidR="000207A1">
              <w:rPr>
                <w:rFonts w:ascii="Arial" w:hAnsi="Arial" w:cs="Arial"/>
                <w:color w:val="auto"/>
                <w:sz w:val="16"/>
                <w:szCs w:val="16"/>
              </w:rPr>
              <w:t>–</w:t>
            </w:r>
            <w:r w:rsidRPr="00A81F3B">
              <w:rPr>
                <w:rFonts w:ascii="Arial" w:hAnsi="Arial" w:cs="Arial"/>
                <w:color w:val="auto"/>
                <w:sz w:val="16"/>
                <w:szCs w:val="16"/>
              </w:rPr>
              <w:t>20</w:t>
            </w:r>
          </w:p>
        </w:tc>
      </w:tr>
      <w:tr w:rsidR="00A81F3B" w:rsidRPr="00A81F3B" w14:paraId="3592023F" w14:textId="77777777" w:rsidTr="009F768E">
        <w:trPr>
          <w:trHeight w:val="227"/>
        </w:trPr>
        <w:tc>
          <w:tcPr>
            <w:tcW w:w="1630" w:type="pct"/>
            <w:tcBorders>
              <w:top w:val="nil"/>
              <w:left w:val="nil"/>
              <w:bottom w:val="single" w:sz="2" w:space="0" w:color="000000" w:themeColor="text1"/>
              <w:right w:val="nil"/>
            </w:tcBorders>
            <w:shd w:val="clear" w:color="000000" w:fill="FFFFFF"/>
            <w:noWrap/>
            <w:vAlign w:val="center"/>
            <w:hideMark/>
          </w:tcPr>
          <w:p w14:paraId="093BB633" w14:textId="77777777" w:rsidR="00A81F3B" w:rsidRPr="00A81F3B" w:rsidRDefault="00A81F3B" w:rsidP="006D0C45">
            <w:pPr>
              <w:keepNext/>
              <w:keepLines/>
              <w:spacing w:after="0" w:line="240" w:lineRule="auto"/>
              <w:jc w:val="left"/>
              <w:rPr>
                <w:rFonts w:ascii="Arial" w:hAnsi="Arial" w:cs="Arial"/>
                <w:color w:val="auto"/>
                <w:sz w:val="16"/>
                <w:szCs w:val="16"/>
              </w:rPr>
            </w:pPr>
            <w:r w:rsidRPr="00A81F3B">
              <w:rPr>
                <w:rFonts w:ascii="Arial" w:hAnsi="Arial" w:cs="Arial"/>
                <w:color w:val="auto"/>
                <w:sz w:val="16"/>
                <w:szCs w:val="16"/>
              </w:rPr>
              <w:t>Investigations</w:t>
            </w:r>
          </w:p>
        </w:tc>
        <w:tc>
          <w:tcPr>
            <w:tcW w:w="1123" w:type="pct"/>
            <w:tcBorders>
              <w:left w:val="nil"/>
              <w:bottom w:val="single" w:sz="2" w:space="0" w:color="000000" w:themeColor="text1"/>
              <w:right w:val="nil"/>
            </w:tcBorders>
            <w:shd w:val="clear" w:color="000000" w:fill="FFFFFF"/>
            <w:noWrap/>
            <w:vAlign w:val="center"/>
            <w:hideMark/>
          </w:tcPr>
          <w:p w14:paraId="52C97C25"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No.</w:t>
            </w:r>
          </w:p>
        </w:tc>
        <w:tc>
          <w:tcPr>
            <w:tcW w:w="1123" w:type="pct"/>
            <w:tcBorders>
              <w:left w:val="nil"/>
              <w:bottom w:val="single" w:sz="2" w:space="0" w:color="000000" w:themeColor="text1"/>
              <w:right w:val="nil"/>
            </w:tcBorders>
            <w:shd w:val="clear" w:color="auto" w:fill="auto"/>
            <w:noWrap/>
            <w:vAlign w:val="center"/>
            <w:hideMark/>
          </w:tcPr>
          <w:p w14:paraId="16AC8B6F"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No.</w:t>
            </w:r>
          </w:p>
        </w:tc>
        <w:tc>
          <w:tcPr>
            <w:tcW w:w="1123" w:type="pct"/>
            <w:tcBorders>
              <w:left w:val="nil"/>
              <w:bottom w:val="single" w:sz="2" w:space="0" w:color="000000" w:themeColor="text1"/>
              <w:right w:val="nil"/>
            </w:tcBorders>
            <w:shd w:val="clear" w:color="auto" w:fill="F2F2F2"/>
          </w:tcPr>
          <w:p w14:paraId="746DDBB1"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No.</w:t>
            </w:r>
          </w:p>
        </w:tc>
      </w:tr>
      <w:tr w:rsidR="00A81F3B" w:rsidRPr="00A81F3B" w14:paraId="7AAB1D36" w14:textId="77777777" w:rsidTr="009F768E">
        <w:trPr>
          <w:trHeight w:val="227"/>
        </w:trPr>
        <w:tc>
          <w:tcPr>
            <w:tcW w:w="1630" w:type="pct"/>
            <w:tcBorders>
              <w:top w:val="single" w:sz="2" w:space="0" w:color="000000" w:themeColor="text1"/>
              <w:left w:val="nil"/>
              <w:bottom w:val="nil"/>
              <w:right w:val="nil"/>
            </w:tcBorders>
            <w:shd w:val="clear" w:color="000000" w:fill="FFFFFF"/>
            <w:noWrap/>
            <w:vAlign w:val="center"/>
            <w:hideMark/>
          </w:tcPr>
          <w:p w14:paraId="3D6D08EC" w14:textId="77777777" w:rsidR="00A81F3B" w:rsidRPr="00A81F3B" w:rsidRDefault="00A81F3B" w:rsidP="006D0C45">
            <w:pPr>
              <w:keepNext/>
              <w:keepLines/>
              <w:spacing w:after="0" w:line="240" w:lineRule="auto"/>
              <w:jc w:val="left"/>
              <w:rPr>
                <w:rFonts w:ascii="Arial" w:hAnsi="Arial" w:cs="Arial"/>
                <w:color w:val="auto"/>
                <w:sz w:val="16"/>
                <w:szCs w:val="16"/>
              </w:rPr>
            </w:pPr>
            <w:r w:rsidRPr="00A81F3B">
              <w:rPr>
                <w:rFonts w:ascii="Arial" w:hAnsi="Arial" w:cs="Arial"/>
                <w:color w:val="auto"/>
                <w:sz w:val="16"/>
                <w:szCs w:val="16"/>
              </w:rPr>
              <w:t>Identified</w:t>
            </w:r>
          </w:p>
        </w:tc>
        <w:tc>
          <w:tcPr>
            <w:tcW w:w="1123" w:type="pct"/>
            <w:tcBorders>
              <w:top w:val="single" w:sz="2" w:space="0" w:color="000000" w:themeColor="text1"/>
              <w:left w:val="nil"/>
              <w:bottom w:val="nil"/>
              <w:right w:val="nil"/>
            </w:tcBorders>
            <w:shd w:val="clear" w:color="000000" w:fill="FFFFFF"/>
            <w:noWrap/>
            <w:vAlign w:val="center"/>
            <w:hideMark/>
          </w:tcPr>
          <w:p w14:paraId="1AFC1E01"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1710</w:t>
            </w:r>
          </w:p>
        </w:tc>
        <w:tc>
          <w:tcPr>
            <w:tcW w:w="1123" w:type="pct"/>
            <w:tcBorders>
              <w:top w:val="single" w:sz="2" w:space="0" w:color="000000" w:themeColor="text1"/>
              <w:left w:val="nil"/>
              <w:bottom w:val="nil"/>
              <w:right w:val="nil"/>
            </w:tcBorders>
            <w:shd w:val="clear" w:color="auto" w:fill="auto"/>
            <w:noWrap/>
            <w:vAlign w:val="center"/>
            <w:hideMark/>
          </w:tcPr>
          <w:p w14:paraId="5517BECA"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1220</w:t>
            </w:r>
          </w:p>
        </w:tc>
        <w:tc>
          <w:tcPr>
            <w:tcW w:w="1123" w:type="pct"/>
            <w:tcBorders>
              <w:top w:val="nil"/>
              <w:left w:val="nil"/>
              <w:bottom w:val="nil"/>
              <w:right w:val="nil"/>
            </w:tcBorders>
            <w:shd w:val="clear" w:color="auto" w:fill="F2F2F2"/>
            <w:vAlign w:val="center"/>
          </w:tcPr>
          <w:p w14:paraId="0AFF2E97"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746</w:t>
            </w:r>
          </w:p>
        </w:tc>
      </w:tr>
      <w:tr w:rsidR="00A81F3B" w:rsidRPr="00A81F3B" w14:paraId="6F536E86" w14:textId="77777777" w:rsidTr="009F768E">
        <w:trPr>
          <w:trHeight w:val="227"/>
        </w:trPr>
        <w:tc>
          <w:tcPr>
            <w:tcW w:w="1630" w:type="pct"/>
            <w:tcBorders>
              <w:top w:val="nil"/>
              <w:left w:val="nil"/>
              <w:right w:val="nil"/>
            </w:tcBorders>
            <w:shd w:val="clear" w:color="000000" w:fill="FFFFFF"/>
            <w:noWrap/>
            <w:vAlign w:val="center"/>
            <w:hideMark/>
          </w:tcPr>
          <w:p w14:paraId="118C8FF7" w14:textId="77777777" w:rsidR="00A81F3B" w:rsidRPr="00A81F3B" w:rsidRDefault="00A81F3B" w:rsidP="006D0C45">
            <w:pPr>
              <w:keepNext/>
              <w:keepLines/>
              <w:spacing w:after="0" w:line="240" w:lineRule="auto"/>
              <w:jc w:val="left"/>
              <w:rPr>
                <w:rFonts w:ascii="Arial" w:hAnsi="Arial" w:cs="Arial"/>
                <w:color w:val="auto"/>
                <w:sz w:val="16"/>
                <w:szCs w:val="16"/>
              </w:rPr>
            </w:pPr>
            <w:r w:rsidRPr="00A81F3B">
              <w:rPr>
                <w:rFonts w:ascii="Arial" w:hAnsi="Arial" w:cs="Arial"/>
                <w:color w:val="auto"/>
                <w:sz w:val="16"/>
                <w:szCs w:val="16"/>
              </w:rPr>
              <w:t>Completed</w:t>
            </w:r>
          </w:p>
        </w:tc>
        <w:tc>
          <w:tcPr>
            <w:tcW w:w="1123" w:type="pct"/>
            <w:tcBorders>
              <w:top w:val="nil"/>
              <w:left w:val="nil"/>
              <w:right w:val="nil"/>
            </w:tcBorders>
            <w:shd w:val="clear" w:color="000000" w:fill="FFFFFF"/>
            <w:noWrap/>
            <w:vAlign w:val="center"/>
            <w:hideMark/>
          </w:tcPr>
          <w:p w14:paraId="587BA735"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1404</w:t>
            </w:r>
          </w:p>
        </w:tc>
        <w:tc>
          <w:tcPr>
            <w:tcW w:w="1123" w:type="pct"/>
            <w:tcBorders>
              <w:top w:val="nil"/>
              <w:left w:val="nil"/>
              <w:right w:val="nil"/>
            </w:tcBorders>
            <w:shd w:val="clear" w:color="auto" w:fill="auto"/>
            <w:noWrap/>
            <w:vAlign w:val="center"/>
            <w:hideMark/>
          </w:tcPr>
          <w:p w14:paraId="1ACA8A1A"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1068</w:t>
            </w:r>
          </w:p>
        </w:tc>
        <w:tc>
          <w:tcPr>
            <w:tcW w:w="1123" w:type="pct"/>
            <w:tcBorders>
              <w:top w:val="nil"/>
              <w:left w:val="nil"/>
              <w:right w:val="nil"/>
            </w:tcBorders>
            <w:shd w:val="clear" w:color="auto" w:fill="F2F2F2"/>
            <w:vAlign w:val="center"/>
          </w:tcPr>
          <w:p w14:paraId="6720C5DC"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620</w:t>
            </w:r>
          </w:p>
        </w:tc>
      </w:tr>
      <w:tr w:rsidR="00A81F3B" w:rsidRPr="00BC2CDA" w14:paraId="25EC39CF" w14:textId="77777777" w:rsidTr="009F768E">
        <w:trPr>
          <w:trHeight w:val="227"/>
        </w:trPr>
        <w:tc>
          <w:tcPr>
            <w:tcW w:w="1630" w:type="pct"/>
            <w:tcBorders>
              <w:top w:val="nil"/>
              <w:left w:val="nil"/>
              <w:bottom w:val="single" w:sz="2" w:space="0" w:color="auto"/>
              <w:right w:val="nil"/>
            </w:tcBorders>
            <w:shd w:val="clear" w:color="000000" w:fill="FFFFFF"/>
            <w:noWrap/>
            <w:vAlign w:val="center"/>
            <w:hideMark/>
          </w:tcPr>
          <w:p w14:paraId="6EC3F034" w14:textId="77777777" w:rsidR="00A81F3B" w:rsidRPr="00A81F3B" w:rsidRDefault="00A81F3B" w:rsidP="006D0C45">
            <w:pPr>
              <w:keepNext/>
              <w:keepLines/>
              <w:spacing w:after="0" w:line="240" w:lineRule="auto"/>
              <w:jc w:val="left"/>
              <w:rPr>
                <w:rFonts w:ascii="Arial" w:hAnsi="Arial" w:cs="Arial"/>
                <w:color w:val="auto"/>
                <w:sz w:val="16"/>
                <w:szCs w:val="16"/>
              </w:rPr>
            </w:pPr>
            <w:r w:rsidRPr="00A81F3B">
              <w:rPr>
                <w:rFonts w:ascii="Arial" w:hAnsi="Arial" w:cs="Arial"/>
                <w:color w:val="auto"/>
                <w:sz w:val="16"/>
                <w:szCs w:val="16"/>
              </w:rPr>
              <w:t>Properties in breach</w:t>
            </w:r>
          </w:p>
        </w:tc>
        <w:tc>
          <w:tcPr>
            <w:tcW w:w="1123" w:type="pct"/>
            <w:tcBorders>
              <w:top w:val="nil"/>
              <w:left w:val="nil"/>
              <w:bottom w:val="single" w:sz="2" w:space="0" w:color="auto"/>
              <w:right w:val="nil"/>
            </w:tcBorders>
            <w:shd w:val="clear" w:color="000000" w:fill="FFFFFF"/>
            <w:noWrap/>
            <w:vAlign w:val="center"/>
            <w:hideMark/>
          </w:tcPr>
          <w:p w14:paraId="6DE2FFE3"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600</w:t>
            </w:r>
          </w:p>
        </w:tc>
        <w:tc>
          <w:tcPr>
            <w:tcW w:w="1123" w:type="pct"/>
            <w:tcBorders>
              <w:top w:val="nil"/>
              <w:left w:val="nil"/>
              <w:bottom w:val="single" w:sz="2" w:space="0" w:color="auto"/>
              <w:right w:val="nil"/>
            </w:tcBorders>
            <w:shd w:val="clear" w:color="auto" w:fill="auto"/>
            <w:noWrap/>
            <w:vAlign w:val="center"/>
            <w:hideMark/>
          </w:tcPr>
          <w:p w14:paraId="387F9131"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600</w:t>
            </w:r>
          </w:p>
        </w:tc>
        <w:tc>
          <w:tcPr>
            <w:tcW w:w="1123" w:type="pct"/>
            <w:tcBorders>
              <w:top w:val="nil"/>
              <w:left w:val="nil"/>
              <w:bottom w:val="single" w:sz="4" w:space="0" w:color="auto"/>
              <w:right w:val="nil"/>
            </w:tcBorders>
            <w:shd w:val="clear" w:color="auto" w:fill="F2F2F2"/>
            <w:vAlign w:val="center"/>
          </w:tcPr>
          <w:p w14:paraId="10F1C3AB" w14:textId="77777777" w:rsidR="00A81F3B" w:rsidRPr="00A81F3B" w:rsidRDefault="00A81F3B" w:rsidP="006D0C45">
            <w:pPr>
              <w:keepNext/>
              <w:keepLines/>
              <w:spacing w:after="0" w:line="240" w:lineRule="auto"/>
              <w:jc w:val="right"/>
              <w:rPr>
                <w:rFonts w:ascii="Arial" w:hAnsi="Arial" w:cs="Arial"/>
                <w:color w:val="auto"/>
                <w:sz w:val="16"/>
                <w:szCs w:val="16"/>
              </w:rPr>
            </w:pPr>
            <w:r w:rsidRPr="00A81F3B">
              <w:rPr>
                <w:rFonts w:ascii="Arial" w:hAnsi="Arial" w:cs="Arial"/>
                <w:color w:val="auto"/>
                <w:sz w:val="16"/>
                <w:szCs w:val="16"/>
              </w:rPr>
              <w:t>259</w:t>
            </w:r>
          </w:p>
        </w:tc>
      </w:tr>
    </w:tbl>
    <w:p w14:paraId="727286FF" w14:textId="77777777" w:rsidR="00722605" w:rsidRDefault="00722605" w:rsidP="00722605">
      <w:pPr>
        <w:pStyle w:val="ChartorTableNote"/>
      </w:pPr>
      <w:r w:rsidRPr="00BF48CD">
        <w:t xml:space="preserve">Before republishing this data or comparing between years, thoroughly review the methodological and data caveats in Appendix B. </w:t>
      </w:r>
    </w:p>
    <w:p w14:paraId="2EB1EBCF" w14:textId="77777777" w:rsidR="006D0C45" w:rsidRPr="006D0C45" w:rsidRDefault="006D0C45" w:rsidP="006C539E">
      <w:pPr>
        <w:pStyle w:val="SingleParagraph"/>
      </w:pPr>
    </w:p>
    <w:p w14:paraId="7AB031BF" w14:textId="77777777" w:rsidR="00A84283" w:rsidRPr="003103A7" w:rsidRDefault="00A84283" w:rsidP="00BC62E3">
      <w:pPr>
        <w:pStyle w:val="Heading4"/>
      </w:pPr>
      <w:r w:rsidRPr="003103A7">
        <w:t>Outcomes of residential property investigations</w:t>
      </w:r>
    </w:p>
    <w:p w14:paraId="54716C83" w14:textId="59A8DD0B" w:rsidR="005E6FCC" w:rsidRDefault="00E30F8D" w:rsidP="00F16FDC">
      <w:r>
        <w:t>In the reporting period, t</w:t>
      </w:r>
      <w:r w:rsidR="005E6FCC">
        <w:t xml:space="preserve">here was a reduction in compliance actions, largely due to the impact of </w:t>
      </w:r>
      <w:r w:rsidR="007A5574">
        <w:t xml:space="preserve">the </w:t>
      </w:r>
      <w:r w:rsidR="005E6FCC">
        <w:t>COVID</w:t>
      </w:r>
      <w:r w:rsidR="00BD4D19">
        <w:noBreakHyphen/>
      </w:r>
      <w:r w:rsidR="005E6FCC">
        <w:t xml:space="preserve">19 </w:t>
      </w:r>
      <w:r w:rsidR="007A5574">
        <w:t xml:space="preserve">pandemic </w:t>
      </w:r>
      <w:r w:rsidR="005E6FCC">
        <w:t>and some practical changes to how the ATO deal</w:t>
      </w:r>
      <w:r w:rsidR="005D68FC">
        <w:t>t</w:t>
      </w:r>
      <w:r w:rsidR="005E6FCC">
        <w:t xml:space="preserve"> with breaches relating to investors who are joint tenants. A</w:t>
      </w:r>
      <w:r>
        <w:t xml:space="preserve">s a result of </w:t>
      </w:r>
      <w:r w:rsidR="007A5574">
        <w:t xml:space="preserve">the </w:t>
      </w:r>
      <w:r>
        <w:t>COVID</w:t>
      </w:r>
      <w:r w:rsidR="00BD4D19">
        <w:noBreakHyphen/>
      </w:r>
      <w:r>
        <w:t>19</w:t>
      </w:r>
      <w:r w:rsidR="007A5574">
        <w:t xml:space="preserve"> pandemic</w:t>
      </w:r>
      <w:r>
        <w:t>, a</w:t>
      </w:r>
      <w:r w:rsidR="005E6FCC">
        <w:t xml:space="preserve"> temporary compliance strategy was implemented </w:t>
      </w:r>
      <w:r>
        <w:t xml:space="preserve">and compliance </w:t>
      </w:r>
      <w:r w:rsidR="005E6FCC">
        <w:t>cases on h</w:t>
      </w:r>
      <w:r w:rsidR="007A5574">
        <w:t>and were paused in March </w:t>
      </w:r>
      <w:r w:rsidR="005E6FCC">
        <w:t xml:space="preserve">2020. </w:t>
      </w:r>
      <w:r>
        <w:t xml:space="preserve">Investors </w:t>
      </w:r>
      <w:r w:rsidR="005E6FCC">
        <w:t>undergoing compliance action at the time were advised of options to bring</w:t>
      </w:r>
      <w:r>
        <w:t xml:space="preserve"> their</w:t>
      </w:r>
      <w:r w:rsidR="005E6FCC">
        <w:t xml:space="preserve"> behaviour into compliance and </w:t>
      </w:r>
      <w:r>
        <w:t xml:space="preserve">they were </w:t>
      </w:r>
      <w:r w:rsidR="005E6FCC">
        <w:t xml:space="preserve">put on notice that </w:t>
      </w:r>
      <w:r>
        <w:t xml:space="preserve">the ATO </w:t>
      </w:r>
      <w:r w:rsidR="005E6FCC">
        <w:t xml:space="preserve">may be in contact in the future to discuss their circumstances. Investigative work continued on the more serious compliance cases </w:t>
      </w:r>
      <w:r>
        <w:t>as did p</w:t>
      </w:r>
      <w:r w:rsidR="005E6FCC">
        <w:t>revention campaigns</w:t>
      </w:r>
      <w:r>
        <w:t>.</w:t>
      </w:r>
    </w:p>
    <w:p w14:paraId="1E5CCECF" w14:textId="01EAC881" w:rsidR="005E6FCC" w:rsidRDefault="00E30F8D" w:rsidP="00F16FDC">
      <w:r>
        <w:t>Many of t</w:t>
      </w:r>
      <w:r w:rsidR="005E6FCC">
        <w:t xml:space="preserve">he compliance staff </w:t>
      </w:r>
      <w:r>
        <w:t>who support the ATO</w:t>
      </w:r>
      <w:r w:rsidR="00BD4D19">
        <w:t>’</w:t>
      </w:r>
      <w:r>
        <w:t xml:space="preserve">s </w:t>
      </w:r>
      <w:r w:rsidR="005E6FCC">
        <w:t>audit program were redeployed to priority work as a result of the COVID</w:t>
      </w:r>
      <w:r w:rsidR="00BD4D19">
        <w:noBreakHyphen/>
      </w:r>
      <w:r w:rsidR="0057228F">
        <w:t>19</w:t>
      </w:r>
      <w:r w:rsidR="005E6FCC">
        <w:t xml:space="preserve"> response. This priority work included actioning </w:t>
      </w:r>
      <w:r w:rsidR="00F234E0">
        <w:t xml:space="preserve">the </w:t>
      </w:r>
      <w:r w:rsidR="00A36B2A">
        <w:t xml:space="preserve">increased number of </w:t>
      </w:r>
      <w:r w:rsidR="005E6FCC">
        <w:t xml:space="preserve">commercial </w:t>
      </w:r>
      <w:r w:rsidR="00A36B2A">
        <w:t xml:space="preserve">property </w:t>
      </w:r>
      <w:r w:rsidR="005E6FCC">
        <w:t xml:space="preserve">cases generated from the </w:t>
      </w:r>
      <w:r w:rsidR="00C215FF">
        <w:t>zero dollar threshold</w:t>
      </w:r>
      <w:r w:rsidR="00A36B2A">
        <w:t xml:space="preserve"> </w:t>
      </w:r>
      <w:r w:rsidR="005E6FCC">
        <w:t xml:space="preserve">changes. </w:t>
      </w:r>
    </w:p>
    <w:p w14:paraId="6976A048" w14:textId="119901FF" w:rsidR="005E6FCC" w:rsidRDefault="005E6FCC" w:rsidP="0004769B">
      <w:r>
        <w:t>Incidents</w:t>
      </w:r>
      <w:r w:rsidR="00F15251">
        <w:t xml:space="preserve"> of residential real estate non</w:t>
      </w:r>
      <w:r w:rsidR="00BD4D19">
        <w:noBreakHyphen/>
      </w:r>
      <w:r>
        <w:t>compliance are largely the result of investors being unaware of their obligations to obtain foreign investment approval. The ATO generally finds that had the investor sought approval, they would have been found eligible to hold the property. Educating investors and their intermediaries is ongoing to ensure awareness of their foreign investment obligations if they are investing in Australian residential real estate</w:t>
      </w:r>
      <w:r w:rsidR="0057228F">
        <w:t>.</w:t>
      </w:r>
    </w:p>
    <w:p w14:paraId="06EFD622" w14:textId="5D20FFD6" w:rsidR="00A84283" w:rsidRPr="003103A7" w:rsidRDefault="00A84283" w:rsidP="00A922DA">
      <w:pPr>
        <w:rPr>
          <w:b/>
          <w:color w:val="auto"/>
        </w:rPr>
      </w:pPr>
      <w:r w:rsidRPr="003103A7">
        <w:t xml:space="preserve">Outcomes of investigations </w:t>
      </w:r>
      <w:r w:rsidR="0057228F">
        <w:t>which</w:t>
      </w:r>
      <w:r w:rsidRPr="003103A7">
        <w:t xml:space="preserve"> identified breaches include</w:t>
      </w:r>
      <w:r w:rsidR="00DF682E" w:rsidRPr="003103A7">
        <w:t>d</w:t>
      </w:r>
      <w:r w:rsidRPr="003103A7">
        <w:t xml:space="preserve"> divestments, retrospective approvals</w:t>
      </w:r>
      <w:r w:rsidR="000B36A6" w:rsidRPr="003103A7">
        <w:t xml:space="preserve">, </w:t>
      </w:r>
      <w:r w:rsidRPr="003103A7">
        <w:t>variations of conditions</w:t>
      </w:r>
      <w:r w:rsidR="000B36A6" w:rsidRPr="003103A7">
        <w:t xml:space="preserve"> and raising a vacancy fee liability</w:t>
      </w:r>
      <w:r w:rsidRPr="003103A7">
        <w:t>.</w:t>
      </w:r>
      <w:r w:rsidR="008F1726" w:rsidRPr="003103A7">
        <w:t xml:space="preserve"> These outcomes are reported in Table</w:t>
      </w:r>
      <w:r w:rsidR="00F15251">
        <w:t> </w:t>
      </w:r>
      <w:r w:rsidR="008F1726" w:rsidRPr="003103A7">
        <w:t>4.</w:t>
      </w:r>
      <w:r w:rsidR="007323E2">
        <w:t>2</w:t>
      </w:r>
      <w:r w:rsidR="008F1726" w:rsidRPr="003103A7">
        <w:t>.</w:t>
      </w:r>
      <w:r w:rsidRPr="003103A7">
        <w:t xml:space="preserve"> In some circumstances an infringement notice may have also been applied. Infringement notice data is reported </w:t>
      </w:r>
      <w:r w:rsidR="00A36B2A">
        <w:t xml:space="preserve">in </w:t>
      </w:r>
      <w:r w:rsidRPr="003103A7">
        <w:t>Table</w:t>
      </w:r>
      <w:r w:rsidR="00C276FE" w:rsidRPr="003103A7">
        <w:t> </w:t>
      </w:r>
      <w:r w:rsidRPr="003103A7">
        <w:t>4.</w:t>
      </w:r>
      <w:r w:rsidR="008F1726" w:rsidRPr="003103A7">
        <w:t>5</w:t>
      </w:r>
      <w:r w:rsidRPr="003103A7">
        <w:t>.</w:t>
      </w:r>
    </w:p>
    <w:p w14:paraId="39F68003" w14:textId="4492DACC" w:rsidR="00A84283" w:rsidRPr="003103A7" w:rsidRDefault="00A84283" w:rsidP="00A922DA">
      <w:pPr>
        <w:rPr>
          <w:color w:val="auto"/>
        </w:rPr>
      </w:pPr>
      <w:r w:rsidRPr="003103A7">
        <w:t xml:space="preserve">As outlined in </w:t>
      </w:r>
      <w:r w:rsidR="006D0C45">
        <w:t>Table</w:t>
      </w:r>
      <w:r w:rsidR="00F15251">
        <w:t> </w:t>
      </w:r>
      <w:r w:rsidR="006D0C45">
        <w:t>4.</w:t>
      </w:r>
      <w:r w:rsidR="007323E2">
        <w:t>2</w:t>
      </w:r>
      <w:r w:rsidRPr="003103A7">
        <w:t>,</w:t>
      </w:r>
      <w:r w:rsidR="004A02F7" w:rsidRPr="003103A7">
        <w:t xml:space="preserve"> divestment (27.0 per cent),</w:t>
      </w:r>
      <w:r w:rsidRPr="003103A7">
        <w:t xml:space="preserve"> </w:t>
      </w:r>
      <w:r w:rsidR="004A02F7" w:rsidRPr="003103A7">
        <w:t>retrospective approval</w:t>
      </w:r>
      <w:r w:rsidR="002577AF">
        <w:t xml:space="preserve"> during </w:t>
      </w:r>
      <w:r w:rsidR="0048007F">
        <w:t>government</w:t>
      </w:r>
      <w:r w:rsidR="002577AF">
        <w:t xml:space="preserve"> consideration</w:t>
      </w:r>
      <w:r w:rsidR="004A02F7" w:rsidRPr="003103A7">
        <w:t xml:space="preserve"> (23.9 per cent) and </w:t>
      </w:r>
      <w:r w:rsidRPr="003103A7">
        <w:t>change of conditions (</w:t>
      </w:r>
      <w:r w:rsidR="004A02F7" w:rsidRPr="003103A7">
        <w:t>22.0</w:t>
      </w:r>
      <w:r w:rsidR="00C276FE" w:rsidRPr="003103A7">
        <w:t> per </w:t>
      </w:r>
      <w:r w:rsidRPr="003103A7">
        <w:t xml:space="preserve">cent) are the most </w:t>
      </w:r>
      <w:r w:rsidR="008F1726" w:rsidRPr="003103A7">
        <w:t>frequent</w:t>
      </w:r>
      <w:r w:rsidRPr="003103A7">
        <w:t xml:space="preserve"> outcomes. Compliance outcomes are influenced by the ATO</w:t>
      </w:r>
      <w:r w:rsidR="00BD4D19">
        <w:t>’</w:t>
      </w:r>
      <w:r w:rsidRPr="003103A7">
        <w:t>s compliance strategy and case select</w:t>
      </w:r>
      <w:r w:rsidR="00EB5DF2" w:rsidRPr="003103A7">
        <w:t>ion methodologies, which apply</w:t>
      </w:r>
      <w:r w:rsidRPr="003103A7">
        <w:t xml:space="preserve"> a risk</w:t>
      </w:r>
      <w:r w:rsidR="00BD4D19">
        <w:noBreakHyphen/>
      </w:r>
      <w:r w:rsidR="000F0D88" w:rsidRPr="003103A7">
        <w:t>based</w:t>
      </w:r>
      <w:r w:rsidRPr="003103A7">
        <w:t xml:space="preserve"> approach to encourage foreign investors to comply with the rules where their investment is in the national interest. In most circumstances an infringement notice, which imposes a financial penalty on a foreign person, was applied to breaches even if the application was subsequently given approval or conditions of approval changed. </w:t>
      </w:r>
    </w:p>
    <w:p w14:paraId="4099CCA1" w14:textId="15D8C118" w:rsidR="003505DE" w:rsidRPr="000E2BEC" w:rsidRDefault="003505DE" w:rsidP="00F04F0E">
      <w:pPr>
        <w:pStyle w:val="TableMainHeading"/>
        <w:keepLines/>
      </w:pPr>
      <w:bookmarkStart w:id="201" w:name="_Toc32247781"/>
      <w:bookmarkStart w:id="202" w:name="_Toc63798292"/>
      <w:bookmarkStart w:id="203" w:name="_Toc73984750"/>
      <w:r w:rsidRPr="000E2BEC">
        <w:t>Table 4.</w:t>
      </w:r>
      <w:r w:rsidR="007323E2">
        <w:t>2</w:t>
      </w:r>
      <w:r w:rsidRPr="000E2BEC">
        <w:t xml:space="preserve">: Outcomes of residential real estate investigations that identified breaches </w:t>
      </w:r>
      <w:r w:rsidR="00D9112E" w:rsidRPr="000E2BEC">
        <w:t>in 2017</w:t>
      </w:r>
      <w:r w:rsidR="000207A1">
        <w:t>–</w:t>
      </w:r>
      <w:r w:rsidR="00D9112E" w:rsidRPr="000E2BEC">
        <w:t xml:space="preserve">18 </w:t>
      </w:r>
      <w:r w:rsidR="00420DD4">
        <w:t>to</w:t>
      </w:r>
      <w:r w:rsidR="00D9112E" w:rsidRPr="000E2BEC">
        <w:t xml:space="preserve"> 201</w:t>
      </w:r>
      <w:r w:rsidR="000E2BEC" w:rsidRPr="000E2BEC">
        <w:t>9</w:t>
      </w:r>
      <w:r w:rsidR="000207A1">
        <w:t>–</w:t>
      </w:r>
      <w:r w:rsidR="000E2BEC" w:rsidRPr="000E2BEC">
        <w:t>20</w:t>
      </w:r>
      <w:bookmarkEnd w:id="201"/>
      <w:bookmarkEnd w:id="202"/>
      <w:bookmarkEnd w:id="203"/>
    </w:p>
    <w:tbl>
      <w:tblPr>
        <w:tblW w:w="5000" w:type="pct"/>
        <w:tblBorders>
          <w:top w:val="single" w:sz="2" w:space="0" w:color="000000" w:themeColor="text1"/>
          <w:bottom w:val="single" w:sz="2" w:space="0" w:color="000000" w:themeColor="text1"/>
        </w:tblBorders>
        <w:tblLook w:val="04A0" w:firstRow="1" w:lastRow="0" w:firstColumn="1" w:lastColumn="0" w:noHBand="0" w:noVBand="1"/>
      </w:tblPr>
      <w:tblGrid>
        <w:gridCol w:w="2004"/>
        <w:gridCol w:w="867"/>
        <w:gridCol w:w="1035"/>
        <w:gridCol w:w="867"/>
        <w:gridCol w:w="1035"/>
        <w:gridCol w:w="867"/>
        <w:gridCol w:w="1035"/>
      </w:tblGrid>
      <w:tr w:rsidR="000E2BEC" w:rsidRPr="000E2BEC" w14:paraId="346869B7" w14:textId="77777777" w:rsidTr="009F768E">
        <w:trPr>
          <w:trHeight w:val="227"/>
        </w:trPr>
        <w:tc>
          <w:tcPr>
            <w:tcW w:w="1300" w:type="pct"/>
            <w:shd w:val="clear" w:color="auto" w:fill="auto"/>
            <w:noWrap/>
            <w:vAlign w:val="center"/>
            <w:hideMark/>
          </w:tcPr>
          <w:p w14:paraId="674C18A6" w14:textId="77777777" w:rsidR="000E2BEC" w:rsidRPr="000E2BEC" w:rsidRDefault="000E2BEC" w:rsidP="009B5585">
            <w:pPr>
              <w:keepNext/>
              <w:spacing w:after="0" w:line="240" w:lineRule="auto"/>
              <w:jc w:val="left"/>
              <w:rPr>
                <w:rFonts w:ascii="Arial" w:hAnsi="Arial" w:cs="Arial"/>
                <w:sz w:val="16"/>
                <w:szCs w:val="16"/>
              </w:rPr>
            </w:pPr>
          </w:p>
        </w:tc>
        <w:tc>
          <w:tcPr>
            <w:tcW w:w="1233" w:type="pct"/>
            <w:gridSpan w:val="2"/>
            <w:tcBorders>
              <w:bottom w:val="nil"/>
            </w:tcBorders>
            <w:shd w:val="clear" w:color="auto" w:fill="auto"/>
            <w:vAlign w:val="center"/>
            <w:hideMark/>
          </w:tcPr>
          <w:p w14:paraId="6D5A822D" w14:textId="77777777" w:rsidR="000E2BEC" w:rsidRPr="000E2BEC" w:rsidRDefault="000E2BEC" w:rsidP="00790EEF">
            <w:pPr>
              <w:keepNext/>
              <w:spacing w:after="0" w:line="240" w:lineRule="auto"/>
              <w:jc w:val="center"/>
              <w:rPr>
                <w:rFonts w:ascii="Arial" w:hAnsi="Arial" w:cs="Arial"/>
                <w:sz w:val="16"/>
                <w:szCs w:val="16"/>
              </w:rPr>
            </w:pPr>
            <w:r w:rsidRPr="000E2BEC">
              <w:rPr>
                <w:rFonts w:ascii="Arial" w:hAnsi="Arial" w:cs="Arial"/>
                <w:sz w:val="16"/>
                <w:szCs w:val="16"/>
              </w:rPr>
              <w:t>2017</w:t>
            </w:r>
            <w:r w:rsidR="000207A1">
              <w:rPr>
                <w:rFonts w:ascii="Arial" w:hAnsi="Arial" w:cs="Arial"/>
                <w:sz w:val="16"/>
                <w:szCs w:val="16"/>
              </w:rPr>
              <w:t>–</w:t>
            </w:r>
            <w:r w:rsidRPr="000E2BEC">
              <w:rPr>
                <w:rFonts w:ascii="Arial" w:hAnsi="Arial" w:cs="Arial"/>
                <w:sz w:val="16"/>
                <w:szCs w:val="16"/>
              </w:rPr>
              <w:t>18</w:t>
            </w:r>
          </w:p>
        </w:tc>
        <w:tc>
          <w:tcPr>
            <w:tcW w:w="1233" w:type="pct"/>
            <w:gridSpan w:val="2"/>
            <w:tcBorders>
              <w:bottom w:val="nil"/>
            </w:tcBorders>
            <w:shd w:val="clear" w:color="auto" w:fill="auto"/>
            <w:vAlign w:val="center"/>
            <w:hideMark/>
          </w:tcPr>
          <w:p w14:paraId="4440EB70" w14:textId="77777777" w:rsidR="000E2BEC" w:rsidRPr="000E2BEC" w:rsidRDefault="000E2BEC" w:rsidP="00790EEF">
            <w:pPr>
              <w:keepNext/>
              <w:spacing w:after="0" w:line="240" w:lineRule="auto"/>
              <w:jc w:val="center"/>
              <w:rPr>
                <w:rFonts w:ascii="Arial" w:hAnsi="Arial" w:cs="Arial"/>
                <w:sz w:val="16"/>
                <w:szCs w:val="16"/>
              </w:rPr>
            </w:pPr>
            <w:r w:rsidRPr="000E2BEC">
              <w:rPr>
                <w:rFonts w:ascii="Arial" w:hAnsi="Arial" w:cs="Arial"/>
                <w:sz w:val="16"/>
                <w:szCs w:val="16"/>
              </w:rPr>
              <w:t>2018</w:t>
            </w:r>
            <w:r w:rsidR="000207A1">
              <w:rPr>
                <w:rFonts w:ascii="Arial" w:hAnsi="Arial" w:cs="Arial"/>
                <w:sz w:val="16"/>
                <w:szCs w:val="16"/>
              </w:rPr>
              <w:t>–</w:t>
            </w:r>
            <w:r w:rsidRPr="000E2BEC">
              <w:rPr>
                <w:rFonts w:ascii="Arial" w:hAnsi="Arial" w:cs="Arial"/>
                <w:sz w:val="16"/>
                <w:szCs w:val="16"/>
              </w:rPr>
              <w:t>19</w:t>
            </w:r>
          </w:p>
        </w:tc>
        <w:tc>
          <w:tcPr>
            <w:tcW w:w="1233" w:type="pct"/>
            <w:gridSpan w:val="2"/>
            <w:tcBorders>
              <w:bottom w:val="nil"/>
            </w:tcBorders>
            <w:shd w:val="clear" w:color="auto" w:fill="F2F2F2"/>
            <w:vAlign w:val="center"/>
          </w:tcPr>
          <w:p w14:paraId="09950188" w14:textId="77777777" w:rsidR="000E2BEC" w:rsidRPr="000E2BEC" w:rsidRDefault="000E2BEC" w:rsidP="00790EEF">
            <w:pPr>
              <w:keepNext/>
              <w:spacing w:after="0" w:line="240" w:lineRule="auto"/>
              <w:jc w:val="center"/>
              <w:rPr>
                <w:rFonts w:ascii="Arial" w:hAnsi="Arial" w:cs="Arial"/>
                <w:sz w:val="16"/>
                <w:szCs w:val="16"/>
              </w:rPr>
            </w:pPr>
            <w:r w:rsidRPr="000E2BEC">
              <w:rPr>
                <w:rFonts w:ascii="Arial" w:hAnsi="Arial" w:cs="Arial"/>
                <w:sz w:val="16"/>
                <w:szCs w:val="16"/>
              </w:rPr>
              <w:t>2019</w:t>
            </w:r>
            <w:r w:rsidR="000207A1">
              <w:rPr>
                <w:rFonts w:ascii="Arial" w:hAnsi="Arial" w:cs="Arial"/>
                <w:sz w:val="16"/>
                <w:szCs w:val="16"/>
              </w:rPr>
              <w:t>–</w:t>
            </w:r>
            <w:r w:rsidRPr="000E2BEC">
              <w:rPr>
                <w:rFonts w:ascii="Arial" w:hAnsi="Arial" w:cs="Arial"/>
                <w:sz w:val="16"/>
                <w:szCs w:val="16"/>
              </w:rPr>
              <w:t>20</w:t>
            </w:r>
          </w:p>
        </w:tc>
      </w:tr>
      <w:tr w:rsidR="000E2BEC" w:rsidRPr="000E2BEC" w14:paraId="58463807" w14:textId="77777777" w:rsidTr="009F768E">
        <w:trPr>
          <w:trHeight w:val="227"/>
        </w:trPr>
        <w:tc>
          <w:tcPr>
            <w:tcW w:w="1300" w:type="pct"/>
            <w:shd w:val="clear" w:color="auto" w:fill="auto"/>
            <w:vAlign w:val="center"/>
            <w:hideMark/>
          </w:tcPr>
          <w:p w14:paraId="24AC6ADF" w14:textId="77777777" w:rsidR="000E2BEC" w:rsidRPr="000E2BEC" w:rsidRDefault="000E2BEC" w:rsidP="004747BB">
            <w:pPr>
              <w:keepNext/>
              <w:spacing w:after="0" w:line="240" w:lineRule="auto"/>
              <w:jc w:val="left"/>
              <w:rPr>
                <w:rFonts w:ascii="Arial" w:hAnsi="Arial" w:cs="Arial"/>
                <w:sz w:val="16"/>
                <w:szCs w:val="16"/>
              </w:rPr>
            </w:pPr>
            <w:r w:rsidRPr="000E2BEC">
              <w:rPr>
                <w:rFonts w:ascii="Arial" w:hAnsi="Arial" w:cs="Arial"/>
                <w:sz w:val="16"/>
                <w:szCs w:val="16"/>
              </w:rPr>
              <w:t>Compliance outcome</w:t>
            </w:r>
          </w:p>
        </w:tc>
        <w:tc>
          <w:tcPr>
            <w:tcW w:w="562" w:type="pct"/>
            <w:tcBorders>
              <w:top w:val="nil"/>
              <w:bottom w:val="single" w:sz="2" w:space="0" w:color="000000" w:themeColor="text1"/>
            </w:tcBorders>
            <w:shd w:val="clear" w:color="auto" w:fill="auto"/>
            <w:vAlign w:val="center"/>
            <w:hideMark/>
          </w:tcPr>
          <w:p w14:paraId="058CBB3E" w14:textId="77777777" w:rsidR="000E2BEC" w:rsidRPr="000E2BEC" w:rsidRDefault="000E2BEC" w:rsidP="00BC62E3">
            <w:pPr>
              <w:keepNext/>
              <w:spacing w:after="0" w:line="240" w:lineRule="auto"/>
              <w:jc w:val="right"/>
              <w:rPr>
                <w:rFonts w:ascii="Arial" w:hAnsi="Arial" w:cs="Arial"/>
                <w:sz w:val="16"/>
                <w:szCs w:val="16"/>
              </w:rPr>
            </w:pPr>
            <w:r w:rsidRPr="000E2BEC">
              <w:rPr>
                <w:rFonts w:ascii="Arial" w:hAnsi="Arial" w:cs="Arial"/>
                <w:sz w:val="16"/>
                <w:szCs w:val="16"/>
              </w:rPr>
              <w:t>No.</w:t>
            </w:r>
          </w:p>
        </w:tc>
        <w:tc>
          <w:tcPr>
            <w:tcW w:w="671" w:type="pct"/>
            <w:tcBorders>
              <w:top w:val="nil"/>
              <w:bottom w:val="single" w:sz="2" w:space="0" w:color="000000" w:themeColor="text1"/>
            </w:tcBorders>
            <w:shd w:val="clear" w:color="auto" w:fill="auto"/>
            <w:vAlign w:val="center"/>
            <w:hideMark/>
          </w:tcPr>
          <w:p w14:paraId="02F7DEEB" w14:textId="77777777" w:rsidR="000E2BEC" w:rsidRPr="000E2BEC" w:rsidRDefault="000E2BEC" w:rsidP="006D5AAD">
            <w:pPr>
              <w:keepNext/>
              <w:spacing w:after="0" w:line="240" w:lineRule="auto"/>
              <w:jc w:val="right"/>
              <w:rPr>
                <w:rFonts w:ascii="Arial" w:hAnsi="Arial" w:cs="Arial"/>
                <w:sz w:val="16"/>
                <w:szCs w:val="16"/>
              </w:rPr>
            </w:pPr>
            <w:r w:rsidRPr="000E2BEC">
              <w:rPr>
                <w:rFonts w:ascii="Arial" w:hAnsi="Arial" w:cs="Arial"/>
                <w:sz w:val="16"/>
                <w:szCs w:val="16"/>
              </w:rPr>
              <w:t>Percentage</w:t>
            </w:r>
          </w:p>
        </w:tc>
        <w:tc>
          <w:tcPr>
            <w:tcW w:w="562" w:type="pct"/>
            <w:tcBorders>
              <w:top w:val="nil"/>
              <w:bottom w:val="single" w:sz="2" w:space="0" w:color="000000" w:themeColor="text1"/>
            </w:tcBorders>
            <w:vAlign w:val="center"/>
          </w:tcPr>
          <w:p w14:paraId="7A2F82FB"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No.</w:t>
            </w:r>
          </w:p>
        </w:tc>
        <w:tc>
          <w:tcPr>
            <w:tcW w:w="671" w:type="pct"/>
            <w:tcBorders>
              <w:top w:val="nil"/>
              <w:bottom w:val="single" w:sz="2" w:space="0" w:color="000000" w:themeColor="text1"/>
            </w:tcBorders>
            <w:vAlign w:val="center"/>
          </w:tcPr>
          <w:p w14:paraId="0BC0DE6F"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Percentage</w:t>
            </w:r>
          </w:p>
        </w:tc>
        <w:tc>
          <w:tcPr>
            <w:tcW w:w="562" w:type="pct"/>
            <w:tcBorders>
              <w:top w:val="nil"/>
              <w:bottom w:val="single" w:sz="2" w:space="0" w:color="000000" w:themeColor="text1"/>
            </w:tcBorders>
            <w:shd w:val="clear" w:color="auto" w:fill="F2F2F2"/>
            <w:vAlign w:val="center"/>
            <w:hideMark/>
          </w:tcPr>
          <w:p w14:paraId="01220D7D" w14:textId="77777777" w:rsidR="000E2BEC" w:rsidRPr="000E2BEC" w:rsidRDefault="000E2BEC" w:rsidP="0004769B">
            <w:pPr>
              <w:keepNext/>
              <w:spacing w:after="0" w:line="240" w:lineRule="auto"/>
              <w:jc w:val="right"/>
              <w:rPr>
                <w:rFonts w:ascii="Arial" w:hAnsi="Arial" w:cs="Arial"/>
                <w:sz w:val="16"/>
                <w:szCs w:val="16"/>
              </w:rPr>
            </w:pPr>
            <w:r w:rsidRPr="000E2BEC">
              <w:rPr>
                <w:rFonts w:ascii="Arial" w:hAnsi="Arial" w:cs="Arial"/>
                <w:sz w:val="16"/>
                <w:szCs w:val="16"/>
              </w:rPr>
              <w:t>No.</w:t>
            </w:r>
          </w:p>
        </w:tc>
        <w:tc>
          <w:tcPr>
            <w:tcW w:w="671" w:type="pct"/>
            <w:tcBorders>
              <w:top w:val="nil"/>
              <w:bottom w:val="single" w:sz="2" w:space="0" w:color="000000" w:themeColor="text1"/>
            </w:tcBorders>
            <w:shd w:val="clear" w:color="auto" w:fill="F2F2F2"/>
            <w:vAlign w:val="center"/>
            <w:hideMark/>
          </w:tcPr>
          <w:p w14:paraId="126C1AA0" w14:textId="77777777" w:rsidR="000E2BEC" w:rsidRPr="000E2BEC" w:rsidRDefault="000E2BEC" w:rsidP="00A922DA">
            <w:pPr>
              <w:keepNext/>
              <w:spacing w:after="0" w:line="240" w:lineRule="auto"/>
              <w:jc w:val="right"/>
              <w:rPr>
                <w:rFonts w:ascii="Arial" w:hAnsi="Arial" w:cs="Arial"/>
                <w:sz w:val="16"/>
                <w:szCs w:val="16"/>
              </w:rPr>
            </w:pPr>
            <w:r w:rsidRPr="000E2BEC">
              <w:rPr>
                <w:rFonts w:ascii="Arial" w:hAnsi="Arial" w:cs="Arial"/>
                <w:sz w:val="16"/>
                <w:szCs w:val="16"/>
              </w:rPr>
              <w:t>Percentage</w:t>
            </w:r>
          </w:p>
        </w:tc>
      </w:tr>
      <w:tr w:rsidR="000E2BEC" w:rsidRPr="000E2BEC" w14:paraId="53EE2DA2" w14:textId="77777777" w:rsidTr="009F768E">
        <w:trPr>
          <w:trHeight w:val="227"/>
        </w:trPr>
        <w:tc>
          <w:tcPr>
            <w:tcW w:w="1300" w:type="pct"/>
            <w:shd w:val="clear" w:color="auto" w:fill="auto"/>
            <w:vAlign w:val="center"/>
            <w:hideMark/>
          </w:tcPr>
          <w:p w14:paraId="18E049F6" w14:textId="77777777" w:rsidR="000E2BEC" w:rsidRPr="000E2BEC" w:rsidRDefault="000E2BEC" w:rsidP="004747BB">
            <w:pPr>
              <w:keepNext/>
              <w:spacing w:after="0" w:line="240" w:lineRule="auto"/>
              <w:jc w:val="left"/>
              <w:rPr>
                <w:rFonts w:ascii="Arial" w:hAnsi="Arial" w:cs="Arial"/>
                <w:sz w:val="16"/>
                <w:szCs w:val="16"/>
              </w:rPr>
            </w:pPr>
            <w:r w:rsidRPr="000E2BEC">
              <w:rPr>
                <w:rFonts w:ascii="Arial" w:hAnsi="Arial" w:cs="Arial"/>
                <w:sz w:val="16"/>
                <w:szCs w:val="16"/>
              </w:rPr>
              <w:t>Divestment (a)</w:t>
            </w:r>
          </w:p>
        </w:tc>
        <w:tc>
          <w:tcPr>
            <w:tcW w:w="562" w:type="pct"/>
            <w:tcBorders>
              <w:top w:val="single" w:sz="2" w:space="0" w:color="000000" w:themeColor="text1"/>
            </w:tcBorders>
            <w:shd w:val="clear" w:color="auto" w:fill="auto"/>
            <w:vAlign w:val="center"/>
            <w:hideMark/>
          </w:tcPr>
          <w:p w14:paraId="6F822341" w14:textId="77777777" w:rsidR="000E2BEC" w:rsidRPr="000E2BEC" w:rsidRDefault="000E2BEC" w:rsidP="00BC62E3">
            <w:pPr>
              <w:keepNext/>
              <w:spacing w:after="0" w:line="240" w:lineRule="auto"/>
              <w:jc w:val="right"/>
              <w:rPr>
                <w:rFonts w:ascii="Arial" w:hAnsi="Arial" w:cs="Arial"/>
                <w:sz w:val="16"/>
                <w:szCs w:val="16"/>
              </w:rPr>
            </w:pPr>
            <w:r w:rsidRPr="000E2BEC">
              <w:rPr>
                <w:rFonts w:ascii="Arial" w:hAnsi="Arial" w:cs="Arial"/>
                <w:sz w:val="16"/>
                <w:szCs w:val="16"/>
              </w:rPr>
              <w:t>131</w:t>
            </w:r>
          </w:p>
        </w:tc>
        <w:tc>
          <w:tcPr>
            <w:tcW w:w="671" w:type="pct"/>
            <w:tcBorders>
              <w:top w:val="single" w:sz="2" w:space="0" w:color="000000" w:themeColor="text1"/>
            </w:tcBorders>
            <w:shd w:val="clear" w:color="auto" w:fill="auto"/>
            <w:vAlign w:val="center"/>
            <w:hideMark/>
          </w:tcPr>
          <w:p w14:paraId="6E8F59FD" w14:textId="77777777" w:rsidR="000E2BEC" w:rsidRPr="000E2BEC" w:rsidRDefault="000E2BEC" w:rsidP="006D5AAD">
            <w:pPr>
              <w:keepNext/>
              <w:spacing w:after="0" w:line="240" w:lineRule="auto"/>
              <w:jc w:val="right"/>
              <w:rPr>
                <w:rFonts w:ascii="Arial" w:hAnsi="Arial" w:cs="Arial"/>
                <w:sz w:val="16"/>
                <w:szCs w:val="16"/>
              </w:rPr>
            </w:pPr>
            <w:r w:rsidRPr="000E2BEC">
              <w:rPr>
                <w:rFonts w:ascii="Arial" w:hAnsi="Arial" w:cs="Arial"/>
                <w:sz w:val="16"/>
                <w:szCs w:val="16"/>
              </w:rPr>
              <w:t>21.8</w:t>
            </w:r>
          </w:p>
        </w:tc>
        <w:tc>
          <w:tcPr>
            <w:tcW w:w="562" w:type="pct"/>
            <w:tcBorders>
              <w:top w:val="single" w:sz="2" w:space="0" w:color="000000" w:themeColor="text1"/>
            </w:tcBorders>
            <w:vAlign w:val="center"/>
          </w:tcPr>
          <w:p w14:paraId="0C7C35FA"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83</w:t>
            </w:r>
          </w:p>
        </w:tc>
        <w:tc>
          <w:tcPr>
            <w:tcW w:w="671" w:type="pct"/>
            <w:tcBorders>
              <w:top w:val="single" w:sz="2" w:space="0" w:color="000000" w:themeColor="text1"/>
            </w:tcBorders>
            <w:vAlign w:val="center"/>
          </w:tcPr>
          <w:p w14:paraId="142F5D10"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13.8</w:t>
            </w:r>
          </w:p>
        </w:tc>
        <w:tc>
          <w:tcPr>
            <w:tcW w:w="562" w:type="pct"/>
            <w:tcBorders>
              <w:top w:val="nil"/>
              <w:left w:val="nil"/>
              <w:bottom w:val="nil"/>
              <w:right w:val="nil"/>
            </w:tcBorders>
            <w:shd w:val="clear" w:color="auto" w:fill="F2F2F2"/>
            <w:vAlign w:val="center"/>
            <w:hideMark/>
          </w:tcPr>
          <w:p w14:paraId="7811ECDA" w14:textId="77777777" w:rsidR="000E2BEC" w:rsidRPr="000E2BEC" w:rsidRDefault="000E2BEC" w:rsidP="0004769B">
            <w:pPr>
              <w:keepNext/>
              <w:spacing w:after="0" w:line="240" w:lineRule="auto"/>
              <w:jc w:val="right"/>
              <w:rPr>
                <w:rFonts w:ascii="Arial" w:hAnsi="Arial" w:cs="Arial"/>
                <w:sz w:val="16"/>
                <w:szCs w:val="16"/>
              </w:rPr>
            </w:pPr>
            <w:r w:rsidRPr="000E2BEC">
              <w:rPr>
                <w:rFonts w:ascii="Arial" w:hAnsi="Arial" w:cs="Arial"/>
                <w:sz w:val="16"/>
                <w:szCs w:val="16"/>
              </w:rPr>
              <w:t>70</w:t>
            </w:r>
          </w:p>
        </w:tc>
        <w:tc>
          <w:tcPr>
            <w:tcW w:w="671" w:type="pct"/>
            <w:tcBorders>
              <w:top w:val="nil"/>
              <w:left w:val="nil"/>
              <w:bottom w:val="nil"/>
              <w:right w:val="nil"/>
            </w:tcBorders>
            <w:shd w:val="clear" w:color="auto" w:fill="F2F2F2"/>
            <w:vAlign w:val="center"/>
            <w:hideMark/>
          </w:tcPr>
          <w:p w14:paraId="62B85051" w14:textId="77777777" w:rsidR="000E2BEC" w:rsidRPr="000E2BEC" w:rsidRDefault="000E2BEC" w:rsidP="00A922DA">
            <w:pPr>
              <w:keepNext/>
              <w:spacing w:after="0" w:line="240" w:lineRule="auto"/>
              <w:jc w:val="right"/>
              <w:rPr>
                <w:rFonts w:ascii="Arial" w:hAnsi="Arial" w:cs="Arial"/>
                <w:sz w:val="16"/>
                <w:szCs w:val="16"/>
              </w:rPr>
            </w:pPr>
            <w:r w:rsidRPr="000E2BEC">
              <w:rPr>
                <w:rFonts w:ascii="Arial" w:hAnsi="Arial" w:cs="Arial"/>
                <w:sz w:val="16"/>
                <w:szCs w:val="16"/>
              </w:rPr>
              <w:t>27.0</w:t>
            </w:r>
          </w:p>
        </w:tc>
      </w:tr>
      <w:tr w:rsidR="000E2BEC" w:rsidRPr="000E2BEC" w14:paraId="4FC087C2" w14:textId="77777777" w:rsidTr="009F768E">
        <w:trPr>
          <w:trHeight w:val="227"/>
        </w:trPr>
        <w:tc>
          <w:tcPr>
            <w:tcW w:w="1300" w:type="pct"/>
            <w:shd w:val="clear" w:color="auto" w:fill="auto"/>
            <w:vAlign w:val="center"/>
            <w:hideMark/>
          </w:tcPr>
          <w:p w14:paraId="73598381" w14:textId="77777777" w:rsidR="000E2BEC" w:rsidRPr="000E2BEC" w:rsidRDefault="000E2BEC" w:rsidP="004747BB">
            <w:pPr>
              <w:keepNext/>
              <w:spacing w:after="0" w:line="240" w:lineRule="auto"/>
              <w:jc w:val="left"/>
              <w:rPr>
                <w:rFonts w:ascii="Arial" w:hAnsi="Arial" w:cs="Arial"/>
                <w:sz w:val="16"/>
                <w:szCs w:val="16"/>
              </w:rPr>
            </w:pPr>
            <w:r w:rsidRPr="000E2BEC">
              <w:rPr>
                <w:rFonts w:ascii="Arial" w:hAnsi="Arial" w:cs="Arial"/>
                <w:sz w:val="16"/>
                <w:szCs w:val="16"/>
              </w:rPr>
              <w:t>Retrospective approval (b)</w:t>
            </w:r>
          </w:p>
        </w:tc>
        <w:tc>
          <w:tcPr>
            <w:tcW w:w="562" w:type="pct"/>
            <w:shd w:val="clear" w:color="auto" w:fill="auto"/>
            <w:vAlign w:val="center"/>
            <w:hideMark/>
          </w:tcPr>
          <w:p w14:paraId="4C16DC08" w14:textId="77777777" w:rsidR="000E2BEC" w:rsidRPr="000E2BEC" w:rsidRDefault="000E2BEC" w:rsidP="00BC62E3">
            <w:pPr>
              <w:keepNext/>
              <w:spacing w:after="0" w:line="240" w:lineRule="auto"/>
              <w:jc w:val="right"/>
              <w:rPr>
                <w:rFonts w:ascii="Arial" w:hAnsi="Arial" w:cs="Arial"/>
                <w:sz w:val="16"/>
                <w:szCs w:val="16"/>
              </w:rPr>
            </w:pPr>
            <w:r w:rsidRPr="000E2BEC">
              <w:rPr>
                <w:rFonts w:ascii="Arial" w:hAnsi="Arial" w:cs="Arial"/>
                <w:sz w:val="16"/>
                <w:szCs w:val="16"/>
              </w:rPr>
              <w:t>102</w:t>
            </w:r>
          </w:p>
        </w:tc>
        <w:tc>
          <w:tcPr>
            <w:tcW w:w="671" w:type="pct"/>
            <w:shd w:val="clear" w:color="auto" w:fill="auto"/>
            <w:vAlign w:val="center"/>
            <w:hideMark/>
          </w:tcPr>
          <w:p w14:paraId="2403F59A" w14:textId="77777777" w:rsidR="000E2BEC" w:rsidRPr="000E2BEC" w:rsidRDefault="000E2BEC" w:rsidP="006D5AAD">
            <w:pPr>
              <w:keepNext/>
              <w:spacing w:after="0" w:line="240" w:lineRule="auto"/>
              <w:jc w:val="right"/>
              <w:rPr>
                <w:rFonts w:ascii="Arial" w:hAnsi="Arial" w:cs="Arial"/>
                <w:sz w:val="16"/>
                <w:szCs w:val="16"/>
              </w:rPr>
            </w:pPr>
            <w:r w:rsidRPr="000E2BEC">
              <w:rPr>
                <w:rFonts w:ascii="Arial" w:hAnsi="Arial" w:cs="Arial"/>
                <w:sz w:val="16"/>
                <w:szCs w:val="16"/>
              </w:rPr>
              <w:t>17.0</w:t>
            </w:r>
          </w:p>
        </w:tc>
        <w:tc>
          <w:tcPr>
            <w:tcW w:w="562" w:type="pct"/>
            <w:vAlign w:val="center"/>
          </w:tcPr>
          <w:p w14:paraId="46F1CE7D"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79</w:t>
            </w:r>
          </w:p>
        </w:tc>
        <w:tc>
          <w:tcPr>
            <w:tcW w:w="671" w:type="pct"/>
            <w:vAlign w:val="center"/>
          </w:tcPr>
          <w:p w14:paraId="458B7E6E"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13.2</w:t>
            </w:r>
          </w:p>
        </w:tc>
        <w:tc>
          <w:tcPr>
            <w:tcW w:w="562" w:type="pct"/>
            <w:tcBorders>
              <w:top w:val="nil"/>
              <w:left w:val="nil"/>
              <w:bottom w:val="nil"/>
              <w:right w:val="nil"/>
            </w:tcBorders>
            <w:shd w:val="clear" w:color="auto" w:fill="F2F2F2"/>
            <w:vAlign w:val="center"/>
            <w:hideMark/>
          </w:tcPr>
          <w:p w14:paraId="137E26D1" w14:textId="77777777" w:rsidR="000E2BEC" w:rsidRPr="000E2BEC" w:rsidRDefault="000E2BEC" w:rsidP="0004769B">
            <w:pPr>
              <w:keepNext/>
              <w:spacing w:after="0" w:line="240" w:lineRule="auto"/>
              <w:jc w:val="right"/>
              <w:rPr>
                <w:rFonts w:ascii="Arial" w:hAnsi="Arial" w:cs="Arial"/>
                <w:sz w:val="16"/>
                <w:szCs w:val="16"/>
              </w:rPr>
            </w:pPr>
            <w:r w:rsidRPr="000E2BEC">
              <w:rPr>
                <w:rFonts w:ascii="Arial" w:hAnsi="Arial" w:cs="Arial"/>
                <w:sz w:val="16"/>
                <w:szCs w:val="16"/>
              </w:rPr>
              <w:t>49</w:t>
            </w:r>
          </w:p>
        </w:tc>
        <w:tc>
          <w:tcPr>
            <w:tcW w:w="671" w:type="pct"/>
            <w:tcBorders>
              <w:top w:val="nil"/>
              <w:left w:val="nil"/>
              <w:bottom w:val="nil"/>
              <w:right w:val="nil"/>
            </w:tcBorders>
            <w:shd w:val="clear" w:color="auto" w:fill="F2F2F2"/>
            <w:vAlign w:val="center"/>
            <w:hideMark/>
          </w:tcPr>
          <w:p w14:paraId="69A3E622" w14:textId="77777777" w:rsidR="000E2BEC" w:rsidRPr="000E2BEC" w:rsidRDefault="000E2BEC" w:rsidP="00A922DA">
            <w:pPr>
              <w:keepNext/>
              <w:spacing w:after="0" w:line="240" w:lineRule="auto"/>
              <w:jc w:val="right"/>
              <w:rPr>
                <w:rFonts w:ascii="Arial" w:hAnsi="Arial" w:cs="Arial"/>
                <w:sz w:val="16"/>
                <w:szCs w:val="16"/>
              </w:rPr>
            </w:pPr>
            <w:r w:rsidRPr="000E2BEC">
              <w:rPr>
                <w:rFonts w:ascii="Arial" w:hAnsi="Arial" w:cs="Arial"/>
                <w:sz w:val="16"/>
                <w:szCs w:val="16"/>
              </w:rPr>
              <w:t>18.9</w:t>
            </w:r>
          </w:p>
        </w:tc>
      </w:tr>
      <w:tr w:rsidR="000E2BEC" w:rsidRPr="000E2BEC" w14:paraId="1EF464D3" w14:textId="77777777" w:rsidTr="009F768E">
        <w:trPr>
          <w:trHeight w:val="227"/>
        </w:trPr>
        <w:tc>
          <w:tcPr>
            <w:tcW w:w="1300" w:type="pct"/>
            <w:shd w:val="clear" w:color="auto" w:fill="auto"/>
            <w:vAlign w:val="center"/>
            <w:hideMark/>
          </w:tcPr>
          <w:p w14:paraId="2824FC6A" w14:textId="77777777" w:rsidR="000E2BEC" w:rsidRPr="000E2BEC" w:rsidRDefault="000E2BEC" w:rsidP="004747BB">
            <w:pPr>
              <w:keepNext/>
              <w:spacing w:after="0" w:line="240" w:lineRule="auto"/>
              <w:jc w:val="left"/>
              <w:rPr>
                <w:rFonts w:ascii="Arial" w:hAnsi="Arial" w:cs="Arial"/>
                <w:sz w:val="16"/>
                <w:szCs w:val="16"/>
              </w:rPr>
            </w:pPr>
            <w:r w:rsidRPr="000E2BEC">
              <w:rPr>
                <w:rFonts w:ascii="Arial" w:hAnsi="Arial" w:cs="Arial"/>
                <w:sz w:val="16"/>
                <w:szCs w:val="16"/>
              </w:rPr>
              <w:t>Change of conditions (c)</w:t>
            </w:r>
          </w:p>
        </w:tc>
        <w:tc>
          <w:tcPr>
            <w:tcW w:w="562" w:type="pct"/>
            <w:shd w:val="clear" w:color="auto" w:fill="auto"/>
            <w:vAlign w:val="center"/>
            <w:hideMark/>
          </w:tcPr>
          <w:p w14:paraId="2DF4274E" w14:textId="77777777" w:rsidR="000E2BEC" w:rsidRPr="000E2BEC" w:rsidRDefault="000E2BEC" w:rsidP="00BC62E3">
            <w:pPr>
              <w:keepNext/>
              <w:spacing w:after="0" w:line="240" w:lineRule="auto"/>
              <w:jc w:val="right"/>
              <w:rPr>
                <w:rFonts w:ascii="Arial" w:hAnsi="Arial" w:cs="Arial"/>
                <w:sz w:val="16"/>
                <w:szCs w:val="16"/>
              </w:rPr>
            </w:pPr>
            <w:r w:rsidRPr="000E2BEC">
              <w:rPr>
                <w:rFonts w:ascii="Arial" w:hAnsi="Arial" w:cs="Arial"/>
                <w:sz w:val="16"/>
                <w:szCs w:val="16"/>
              </w:rPr>
              <w:t>177</w:t>
            </w:r>
          </w:p>
        </w:tc>
        <w:tc>
          <w:tcPr>
            <w:tcW w:w="671" w:type="pct"/>
            <w:shd w:val="clear" w:color="auto" w:fill="auto"/>
            <w:vAlign w:val="center"/>
            <w:hideMark/>
          </w:tcPr>
          <w:p w14:paraId="0A94A90A" w14:textId="77777777" w:rsidR="000E2BEC" w:rsidRPr="000E2BEC" w:rsidRDefault="000E2BEC" w:rsidP="006D5AAD">
            <w:pPr>
              <w:keepNext/>
              <w:spacing w:after="0" w:line="240" w:lineRule="auto"/>
              <w:jc w:val="right"/>
              <w:rPr>
                <w:rFonts w:ascii="Arial" w:hAnsi="Arial" w:cs="Arial"/>
                <w:sz w:val="16"/>
                <w:szCs w:val="16"/>
              </w:rPr>
            </w:pPr>
            <w:r w:rsidRPr="000E2BEC">
              <w:rPr>
                <w:rFonts w:ascii="Arial" w:hAnsi="Arial" w:cs="Arial"/>
                <w:sz w:val="16"/>
                <w:szCs w:val="16"/>
              </w:rPr>
              <w:t>29.5</w:t>
            </w:r>
          </w:p>
        </w:tc>
        <w:tc>
          <w:tcPr>
            <w:tcW w:w="562" w:type="pct"/>
            <w:vAlign w:val="center"/>
          </w:tcPr>
          <w:p w14:paraId="0425A5F9"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220</w:t>
            </w:r>
          </w:p>
        </w:tc>
        <w:tc>
          <w:tcPr>
            <w:tcW w:w="671" w:type="pct"/>
            <w:vAlign w:val="center"/>
          </w:tcPr>
          <w:p w14:paraId="335D03EB"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36.7</w:t>
            </w:r>
          </w:p>
        </w:tc>
        <w:tc>
          <w:tcPr>
            <w:tcW w:w="562" w:type="pct"/>
            <w:tcBorders>
              <w:top w:val="nil"/>
              <w:left w:val="nil"/>
              <w:bottom w:val="nil"/>
              <w:right w:val="nil"/>
            </w:tcBorders>
            <w:shd w:val="clear" w:color="auto" w:fill="F2F2F2"/>
            <w:vAlign w:val="center"/>
            <w:hideMark/>
          </w:tcPr>
          <w:p w14:paraId="126C2CA2" w14:textId="77777777" w:rsidR="000E2BEC" w:rsidRPr="000E2BEC" w:rsidRDefault="000E2BEC" w:rsidP="0004769B">
            <w:pPr>
              <w:keepNext/>
              <w:spacing w:after="0" w:line="240" w:lineRule="auto"/>
              <w:jc w:val="right"/>
              <w:rPr>
                <w:rFonts w:ascii="Arial" w:hAnsi="Arial" w:cs="Arial"/>
                <w:sz w:val="16"/>
                <w:szCs w:val="16"/>
              </w:rPr>
            </w:pPr>
            <w:r w:rsidRPr="000E2BEC">
              <w:rPr>
                <w:rFonts w:ascii="Arial" w:hAnsi="Arial" w:cs="Arial"/>
                <w:sz w:val="16"/>
                <w:szCs w:val="16"/>
              </w:rPr>
              <w:t>57</w:t>
            </w:r>
          </w:p>
        </w:tc>
        <w:tc>
          <w:tcPr>
            <w:tcW w:w="671" w:type="pct"/>
            <w:tcBorders>
              <w:top w:val="nil"/>
              <w:left w:val="nil"/>
              <w:bottom w:val="nil"/>
              <w:right w:val="nil"/>
            </w:tcBorders>
            <w:shd w:val="clear" w:color="auto" w:fill="F2F2F2"/>
            <w:vAlign w:val="center"/>
            <w:hideMark/>
          </w:tcPr>
          <w:p w14:paraId="5AF909A8" w14:textId="77777777" w:rsidR="000E2BEC" w:rsidRPr="000E2BEC" w:rsidRDefault="000E2BEC" w:rsidP="00A922DA">
            <w:pPr>
              <w:keepNext/>
              <w:spacing w:after="0" w:line="240" w:lineRule="auto"/>
              <w:jc w:val="right"/>
              <w:rPr>
                <w:rFonts w:ascii="Arial" w:hAnsi="Arial" w:cs="Arial"/>
                <w:sz w:val="16"/>
                <w:szCs w:val="16"/>
              </w:rPr>
            </w:pPr>
            <w:r w:rsidRPr="000E2BEC">
              <w:rPr>
                <w:rFonts w:ascii="Arial" w:hAnsi="Arial" w:cs="Arial"/>
                <w:sz w:val="16"/>
                <w:szCs w:val="16"/>
              </w:rPr>
              <w:t>22.0</w:t>
            </w:r>
          </w:p>
        </w:tc>
      </w:tr>
      <w:tr w:rsidR="000E2BEC" w:rsidRPr="000E2BEC" w14:paraId="18108E5A" w14:textId="77777777" w:rsidTr="009F768E">
        <w:trPr>
          <w:trHeight w:val="227"/>
        </w:trPr>
        <w:tc>
          <w:tcPr>
            <w:tcW w:w="1300" w:type="pct"/>
            <w:shd w:val="clear" w:color="auto" w:fill="auto"/>
            <w:vAlign w:val="center"/>
            <w:hideMark/>
          </w:tcPr>
          <w:p w14:paraId="20CCB09F" w14:textId="77777777" w:rsidR="000E2BEC" w:rsidRPr="000E2BEC" w:rsidRDefault="000E2BEC" w:rsidP="0048007F">
            <w:pPr>
              <w:keepNext/>
              <w:spacing w:after="0" w:line="240" w:lineRule="auto"/>
              <w:jc w:val="left"/>
              <w:rPr>
                <w:rFonts w:ascii="Arial" w:hAnsi="Arial" w:cs="Arial"/>
                <w:sz w:val="16"/>
                <w:szCs w:val="16"/>
              </w:rPr>
            </w:pPr>
            <w:r w:rsidRPr="000E2BEC">
              <w:rPr>
                <w:rFonts w:ascii="Arial" w:hAnsi="Arial" w:cs="Arial"/>
                <w:sz w:val="16"/>
                <w:szCs w:val="16"/>
              </w:rPr>
              <w:t xml:space="preserve">Retrospective approval during </w:t>
            </w:r>
            <w:r w:rsidR="0048007F">
              <w:rPr>
                <w:rFonts w:ascii="Arial" w:hAnsi="Arial" w:cs="Arial"/>
                <w:sz w:val="16"/>
                <w:szCs w:val="16"/>
              </w:rPr>
              <w:t>government</w:t>
            </w:r>
            <w:r w:rsidRPr="000E2BEC">
              <w:rPr>
                <w:rFonts w:ascii="Arial" w:hAnsi="Arial" w:cs="Arial"/>
                <w:sz w:val="16"/>
                <w:szCs w:val="16"/>
              </w:rPr>
              <w:t xml:space="preserve"> consideration (d)</w:t>
            </w:r>
          </w:p>
        </w:tc>
        <w:tc>
          <w:tcPr>
            <w:tcW w:w="562" w:type="pct"/>
            <w:shd w:val="clear" w:color="auto" w:fill="auto"/>
            <w:vAlign w:val="center"/>
            <w:hideMark/>
          </w:tcPr>
          <w:p w14:paraId="67A07F8D" w14:textId="77777777" w:rsidR="000E2BEC" w:rsidRPr="000E2BEC" w:rsidRDefault="000E2BEC" w:rsidP="00BC62E3">
            <w:pPr>
              <w:keepNext/>
              <w:spacing w:after="0" w:line="240" w:lineRule="auto"/>
              <w:jc w:val="right"/>
              <w:rPr>
                <w:rFonts w:ascii="Arial" w:hAnsi="Arial" w:cs="Arial"/>
                <w:sz w:val="16"/>
                <w:szCs w:val="16"/>
              </w:rPr>
            </w:pPr>
            <w:r w:rsidRPr="000E2BEC">
              <w:rPr>
                <w:rFonts w:ascii="Arial" w:hAnsi="Arial" w:cs="Arial"/>
                <w:sz w:val="16"/>
                <w:szCs w:val="16"/>
              </w:rPr>
              <w:t>190</w:t>
            </w:r>
          </w:p>
        </w:tc>
        <w:tc>
          <w:tcPr>
            <w:tcW w:w="671" w:type="pct"/>
            <w:shd w:val="clear" w:color="auto" w:fill="auto"/>
            <w:vAlign w:val="center"/>
            <w:hideMark/>
          </w:tcPr>
          <w:p w14:paraId="134A427B" w14:textId="77777777" w:rsidR="000E2BEC" w:rsidRPr="000E2BEC" w:rsidRDefault="000E2BEC" w:rsidP="006D5AAD">
            <w:pPr>
              <w:keepNext/>
              <w:spacing w:after="0" w:line="240" w:lineRule="auto"/>
              <w:jc w:val="right"/>
              <w:rPr>
                <w:rFonts w:ascii="Arial" w:hAnsi="Arial" w:cs="Arial"/>
                <w:sz w:val="16"/>
                <w:szCs w:val="16"/>
              </w:rPr>
            </w:pPr>
            <w:r w:rsidRPr="000E2BEC">
              <w:rPr>
                <w:rFonts w:ascii="Arial" w:hAnsi="Arial" w:cs="Arial"/>
                <w:sz w:val="16"/>
                <w:szCs w:val="16"/>
              </w:rPr>
              <w:t>31.7</w:t>
            </w:r>
          </w:p>
        </w:tc>
        <w:tc>
          <w:tcPr>
            <w:tcW w:w="562" w:type="pct"/>
            <w:vAlign w:val="center"/>
          </w:tcPr>
          <w:p w14:paraId="22E51EA2"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213</w:t>
            </w:r>
          </w:p>
        </w:tc>
        <w:tc>
          <w:tcPr>
            <w:tcW w:w="671" w:type="pct"/>
            <w:vAlign w:val="center"/>
          </w:tcPr>
          <w:p w14:paraId="4AD4FE4C"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35.5</w:t>
            </w:r>
          </w:p>
        </w:tc>
        <w:tc>
          <w:tcPr>
            <w:tcW w:w="562" w:type="pct"/>
            <w:tcBorders>
              <w:top w:val="nil"/>
              <w:left w:val="nil"/>
              <w:bottom w:val="nil"/>
              <w:right w:val="nil"/>
            </w:tcBorders>
            <w:shd w:val="clear" w:color="auto" w:fill="F2F2F2"/>
            <w:vAlign w:val="center"/>
            <w:hideMark/>
          </w:tcPr>
          <w:p w14:paraId="682C9474" w14:textId="77777777" w:rsidR="000E2BEC" w:rsidRPr="000E2BEC" w:rsidRDefault="000E2BEC" w:rsidP="0004769B">
            <w:pPr>
              <w:keepNext/>
              <w:spacing w:after="0" w:line="240" w:lineRule="auto"/>
              <w:jc w:val="right"/>
              <w:rPr>
                <w:rFonts w:ascii="Arial" w:hAnsi="Arial" w:cs="Arial"/>
                <w:sz w:val="16"/>
                <w:szCs w:val="16"/>
              </w:rPr>
            </w:pPr>
            <w:r w:rsidRPr="000E2BEC">
              <w:rPr>
                <w:rFonts w:ascii="Arial" w:hAnsi="Arial" w:cs="Arial"/>
                <w:sz w:val="16"/>
                <w:szCs w:val="16"/>
              </w:rPr>
              <w:t>62</w:t>
            </w:r>
          </w:p>
        </w:tc>
        <w:tc>
          <w:tcPr>
            <w:tcW w:w="671" w:type="pct"/>
            <w:tcBorders>
              <w:top w:val="nil"/>
              <w:left w:val="nil"/>
              <w:bottom w:val="nil"/>
              <w:right w:val="nil"/>
            </w:tcBorders>
            <w:shd w:val="clear" w:color="auto" w:fill="F2F2F2"/>
            <w:vAlign w:val="center"/>
            <w:hideMark/>
          </w:tcPr>
          <w:p w14:paraId="11482718" w14:textId="77777777" w:rsidR="000E2BEC" w:rsidRPr="000E2BEC" w:rsidRDefault="000E2BEC" w:rsidP="00A922DA">
            <w:pPr>
              <w:keepNext/>
              <w:spacing w:after="0" w:line="240" w:lineRule="auto"/>
              <w:jc w:val="right"/>
              <w:rPr>
                <w:rFonts w:ascii="Arial" w:hAnsi="Arial" w:cs="Arial"/>
                <w:sz w:val="16"/>
                <w:szCs w:val="16"/>
              </w:rPr>
            </w:pPr>
            <w:r w:rsidRPr="000E2BEC">
              <w:rPr>
                <w:rFonts w:ascii="Arial" w:hAnsi="Arial" w:cs="Arial"/>
                <w:sz w:val="16"/>
                <w:szCs w:val="16"/>
              </w:rPr>
              <w:t>23.9</w:t>
            </w:r>
          </w:p>
        </w:tc>
      </w:tr>
      <w:tr w:rsidR="000E2BEC" w:rsidRPr="000E2BEC" w14:paraId="5B7B4A66" w14:textId="77777777" w:rsidTr="001E0872">
        <w:trPr>
          <w:trHeight w:val="227"/>
        </w:trPr>
        <w:tc>
          <w:tcPr>
            <w:tcW w:w="1300" w:type="pct"/>
            <w:shd w:val="clear" w:color="auto" w:fill="auto"/>
            <w:vAlign w:val="center"/>
            <w:hideMark/>
          </w:tcPr>
          <w:p w14:paraId="4E31C2E0" w14:textId="77777777" w:rsidR="000E2BEC" w:rsidRPr="000E2BEC" w:rsidRDefault="000E2BEC" w:rsidP="004747BB">
            <w:pPr>
              <w:keepNext/>
              <w:spacing w:after="0" w:line="240" w:lineRule="auto"/>
              <w:jc w:val="left"/>
              <w:rPr>
                <w:rFonts w:ascii="Arial" w:hAnsi="Arial" w:cs="Arial"/>
                <w:sz w:val="16"/>
                <w:szCs w:val="16"/>
              </w:rPr>
            </w:pPr>
            <w:r w:rsidRPr="000E2BEC">
              <w:rPr>
                <w:rFonts w:ascii="Arial" w:hAnsi="Arial" w:cs="Arial"/>
                <w:sz w:val="16"/>
                <w:szCs w:val="16"/>
              </w:rPr>
              <w:t>Vacancy fee raised</w:t>
            </w:r>
          </w:p>
        </w:tc>
        <w:tc>
          <w:tcPr>
            <w:tcW w:w="562" w:type="pct"/>
            <w:tcBorders>
              <w:bottom w:val="single" w:sz="4" w:space="0" w:color="auto"/>
            </w:tcBorders>
            <w:shd w:val="clear" w:color="auto" w:fill="auto"/>
            <w:vAlign w:val="center"/>
            <w:hideMark/>
          </w:tcPr>
          <w:p w14:paraId="660DDD58" w14:textId="3FA7EAD1" w:rsidR="000E2BEC" w:rsidRPr="000E2BEC" w:rsidRDefault="00BD4D19" w:rsidP="00BC62E3">
            <w:pPr>
              <w:keepNext/>
              <w:spacing w:after="0" w:line="240" w:lineRule="auto"/>
              <w:jc w:val="right"/>
              <w:rPr>
                <w:rFonts w:ascii="Arial" w:hAnsi="Arial" w:cs="Arial"/>
                <w:sz w:val="16"/>
                <w:szCs w:val="16"/>
              </w:rPr>
            </w:pPr>
            <w:r>
              <w:rPr>
                <w:rFonts w:ascii="Arial" w:hAnsi="Arial" w:cs="Arial"/>
                <w:sz w:val="16"/>
                <w:szCs w:val="16"/>
              </w:rPr>
              <w:noBreakHyphen/>
            </w:r>
          </w:p>
        </w:tc>
        <w:tc>
          <w:tcPr>
            <w:tcW w:w="671" w:type="pct"/>
            <w:tcBorders>
              <w:bottom w:val="single" w:sz="4" w:space="0" w:color="auto"/>
            </w:tcBorders>
            <w:shd w:val="clear" w:color="auto" w:fill="auto"/>
            <w:vAlign w:val="center"/>
            <w:hideMark/>
          </w:tcPr>
          <w:p w14:paraId="3CF16E3B" w14:textId="11198AEA" w:rsidR="000E2BEC" w:rsidRPr="000E2BEC" w:rsidRDefault="00BD4D19" w:rsidP="006D5AAD">
            <w:pPr>
              <w:keepNext/>
              <w:spacing w:after="0" w:line="240" w:lineRule="auto"/>
              <w:jc w:val="right"/>
              <w:rPr>
                <w:rFonts w:ascii="Arial" w:hAnsi="Arial" w:cs="Arial"/>
                <w:sz w:val="16"/>
                <w:szCs w:val="16"/>
              </w:rPr>
            </w:pPr>
            <w:r>
              <w:rPr>
                <w:rFonts w:ascii="Arial" w:hAnsi="Arial" w:cs="Arial"/>
                <w:sz w:val="16"/>
                <w:szCs w:val="16"/>
              </w:rPr>
              <w:noBreakHyphen/>
            </w:r>
          </w:p>
        </w:tc>
        <w:tc>
          <w:tcPr>
            <w:tcW w:w="562" w:type="pct"/>
            <w:tcBorders>
              <w:bottom w:val="single" w:sz="4" w:space="0" w:color="auto"/>
            </w:tcBorders>
            <w:vAlign w:val="center"/>
          </w:tcPr>
          <w:p w14:paraId="151EB18A"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5</w:t>
            </w:r>
          </w:p>
        </w:tc>
        <w:tc>
          <w:tcPr>
            <w:tcW w:w="671" w:type="pct"/>
            <w:tcBorders>
              <w:bottom w:val="single" w:sz="4" w:space="0" w:color="auto"/>
            </w:tcBorders>
            <w:vAlign w:val="center"/>
          </w:tcPr>
          <w:p w14:paraId="558DC862" w14:textId="77777777" w:rsidR="000E2BEC" w:rsidRPr="000E2BEC" w:rsidRDefault="000E2BEC" w:rsidP="00F16FDC">
            <w:pPr>
              <w:keepNext/>
              <w:spacing w:after="0" w:line="240" w:lineRule="auto"/>
              <w:jc w:val="right"/>
              <w:rPr>
                <w:rFonts w:ascii="Arial" w:hAnsi="Arial" w:cs="Arial"/>
                <w:sz w:val="16"/>
                <w:szCs w:val="16"/>
              </w:rPr>
            </w:pPr>
            <w:r w:rsidRPr="000E2BEC">
              <w:rPr>
                <w:rFonts w:ascii="Arial" w:hAnsi="Arial" w:cs="Arial"/>
                <w:sz w:val="16"/>
                <w:szCs w:val="16"/>
              </w:rPr>
              <w:t>0.8</w:t>
            </w:r>
          </w:p>
        </w:tc>
        <w:tc>
          <w:tcPr>
            <w:tcW w:w="562" w:type="pct"/>
            <w:tcBorders>
              <w:top w:val="nil"/>
              <w:left w:val="nil"/>
              <w:bottom w:val="single" w:sz="4" w:space="0" w:color="auto"/>
              <w:right w:val="nil"/>
            </w:tcBorders>
            <w:shd w:val="clear" w:color="auto" w:fill="F2F2F2"/>
            <w:vAlign w:val="center"/>
            <w:hideMark/>
          </w:tcPr>
          <w:p w14:paraId="3B4D3BDB" w14:textId="77777777" w:rsidR="000E2BEC" w:rsidRPr="000E2BEC" w:rsidRDefault="000E2BEC" w:rsidP="0004769B">
            <w:pPr>
              <w:keepNext/>
              <w:spacing w:after="0" w:line="240" w:lineRule="auto"/>
              <w:jc w:val="right"/>
              <w:rPr>
                <w:rFonts w:ascii="Arial" w:hAnsi="Arial" w:cs="Arial"/>
                <w:sz w:val="16"/>
                <w:szCs w:val="16"/>
              </w:rPr>
            </w:pPr>
            <w:r w:rsidRPr="000E2BEC">
              <w:rPr>
                <w:rFonts w:ascii="Arial" w:hAnsi="Arial" w:cs="Arial"/>
                <w:sz w:val="16"/>
                <w:szCs w:val="16"/>
              </w:rPr>
              <w:t>21</w:t>
            </w:r>
          </w:p>
        </w:tc>
        <w:tc>
          <w:tcPr>
            <w:tcW w:w="671" w:type="pct"/>
            <w:tcBorders>
              <w:top w:val="nil"/>
              <w:left w:val="nil"/>
              <w:bottom w:val="single" w:sz="4" w:space="0" w:color="auto"/>
              <w:right w:val="nil"/>
            </w:tcBorders>
            <w:shd w:val="clear" w:color="auto" w:fill="F2F2F2"/>
            <w:vAlign w:val="center"/>
            <w:hideMark/>
          </w:tcPr>
          <w:p w14:paraId="1CFE1BC0" w14:textId="77777777" w:rsidR="000E2BEC" w:rsidRPr="000E2BEC" w:rsidRDefault="000E2BEC" w:rsidP="00A922DA">
            <w:pPr>
              <w:keepNext/>
              <w:spacing w:after="0" w:line="240" w:lineRule="auto"/>
              <w:jc w:val="right"/>
              <w:rPr>
                <w:rFonts w:ascii="Arial" w:hAnsi="Arial" w:cs="Arial"/>
                <w:sz w:val="16"/>
                <w:szCs w:val="16"/>
              </w:rPr>
            </w:pPr>
            <w:r w:rsidRPr="000E2BEC">
              <w:rPr>
                <w:rFonts w:ascii="Arial" w:hAnsi="Arial" w:cs="Arial"/>
                <w:sz w:val="16"/>
                <w:szCs w:val="16"/>
              </w:rPr>
              <w:t>8.1</w:t>
            </w:r>
          </w:p>
        </w:tc>
      </w:tr>
      <w:tr w:rsidR="000E2BEC" w:rsidRPr="000E2BEC" w14:paraId="6034291C" w14:textId="77777777" w:rsidTr="001E0872">
        <w:trPr>
          <w:trHeight w:val="227"/>
        </w:trPr>
        <w:tc>
          <w:tcPr>
            <w:tcW w:w="1300" w:type="pct"/>
            <w:shd w:val="clear" w:color="auto" w:fill="auto"/>
            <w:vAlign w:val="center"/>
            <w:hideMark/>
          </w:tcPr>
          <w:p w14:paraId="23E206FE" w14:textId="77777777" w:rsidR="000E2BEC" w:rsidRPr="000E2BEC" w:rsidRDefault="000E2BEC" w:rsidP="00252E69">
            <w:pPr>
              <w:keepNext/>
              <w:spacing w:after="0" w:line="240" w:lineRule="auto"/>
              <w:rPr>
                <w:rFonts w:ascii="Arial" w:hAnsi="Arial" w:cs="Arial"/>
                <w:b/>
                <w:bCs/>
                <w:sz w:val="16"/>
                <w:szCs w:val="16"/>
              </w:rPr>
            </w:pPr>
            <w:r w:rsidRPr="000E2BEC">
              <w:rPr>
                <w:rFonts w:ascii="Arial" w:hAnsi="Arial" w:cs="Arial"/>
                <w:b/>
                <w:bCs/>
                <w:sz w:val="16"/>
                <w:szCs w:val="16"/>
              </w:rPr>
              <w:t>Total outcomes</w:t>
            </w:r>
          </w:p>
        </w:tc>
        <w:tc>
          <w:tcPr>
            <w:tcW w:w="562" w:type="pct"/>
            <w:tcBorders>
              <w:top w:val="single" w:sz="4" w:space="0" w:color="auto"/>
              <w:bottom w:val="single" w:sz="4" w:space="0" w:color="auto"/>
            </w:tcBorders>
            <w:shd w:val="clear" w:color="auto" w:fill="auto"/>
            <w:vAlign w:val="center"/>
            <w:hideMark/>
          </w:tcPr>
          <w:p w14:paraId="3133133E" w14:textId="77777777" w:rsidR="000E2BEC" w:rsidRPr="000E2BEC" w:rsidRDefault="000E2BEC" w:rsidP="00BC62E3">
            <w:pPr>
              <w:keepNext/>
              <w:spacing w:after="0" w:line="240" w:lineRule="auto"/>
              <w:jc w:val="right"/>
              <w:rPr>
                <w:rFonts w:ascii="Arial" w:hAnsi="Arial" w:cs="Arial"/>
                <w:b/>
                <w:bCs/>
                <w:sz w:val="16"/>
                <w:szCs w:val="16"/>
              </w:rPr>
            </w:pPr>
            <w:r w:rsidRPr="000E2BEC">
              <w:rPr>
                <w:rFonts w:ascii="Arial" w:hAnsi="Arial" w:cs="Arial"/>
                <w:b/>
                <w:bCs/>
                <w:sz w:val="16"/>
                <w:szCs w:val="16"/>
              </w:rPr>
              <w:t>600</w:t>
            </w:r>
          </w:p>
        </w:tc>
        <w:tc>
          <w:tcPr>
            <w:tcW w:w="671" w:type="pct"/>
            <w:tcBorders>
              <w:top w:val="single" w:sz="4" w:space="0" w:color="auto"/>
              <w:bottom w:val="single" w:sz="4" w:space="0" w:color="auto"/>
            </w:tcBorders>
            <w:shd w:val="clear" w:color="auto" w:fill="auto"/>
            <w:vAlign w:val="center"/>
            <w:hideMark/>
          </w:tcPr>
          <w:p w14:paraId="0F760A9E" w14:textId="77777777" w:rsidR="000E2BEC" w:rsidRPr="000E2BEC" w:rsidRDefault="000E2BEC" w:rsidP="006D5AAD">
            <w:pPr>
              <w:keepNext/>
              <w:spacing w:after="0" w:line="240" w:lineRule="auto"/>
              <w:jc w:val="right"/>
              <w:rPr>
                <w:rFonts w:ascii="Arial" w:hAnsi="Arial" w:cs="Arial"/>
                <w:b/>
                <w:bCs/>
                <w:sz w:val="16"/>
                <w:szCs w:val="16"/>
              </w:rPr>
            </w:pPr>
            <w:r w:rsidRPr="000E2BEC">
              <w:rPr>
                <w:rFonts w:ascii="Arial" w:hAnsi="Arial" w:cs="Arial"/>
                <w:b/>
                <w:bCs/>
                <w:sz w:val="16"/>
                <w:szCs w:val="16"/>
              </w:rPr>
              <w:t>100.0</w:t>
            </w:r>
          </w:p>
        </w:tc>
        <w:tc>
          <w:tcPr>
            <w:tcW w:w="562" w:type="pct"/>
            <w:tcBorders>
              <w:top w:val="single" w:sz="4" w:space="0" w:color="auto"/>
              <w:bottom w:val="single" w:sz="4" w:space="0" w:color="auto"/>
            </w:tcBorders>
            <w:vAlign w:val="center"/>
          </w:tcPr>
          <w:p w14:paraId="3E8201C0" w14:textId="77777777" w:rsidR="000E2BEC" w:rsidRPr="000E2BEC" w:rsidRDefault="000E2BEC" w:rsidP="00F16FDC">
            <w:pPr>
              <w:keepNext/>
              <w:spacing w:after="0" w:line="240" w:lineRule="auto"/>
              <w:jc w:val="right"/>
              <w:rPr>
                <w:rFonts w:ascii="Arial" w:hAnsi="Arial" w:cs="Arial"/>
                <w:b/>
                <w:bCs/>
                <w:sz w:val="16"/>
                <w:szCs w:val="16"/>
              </w:rPr>
            </w:pPr>
            <w:r w:rsidRPr="000E2BEC">
              <w:rPr>
                <w:rFonts w:ascii="Arial" w:hAnsi="Arial" w:cs="Arial"/>
                <w:b/>
                <w:bCs/>
                <w:sz w:val="16"/>
                <w:szCs w:val="16"/>
              </w:rPr>
              <w:t>600</w:t>
            </w:r>
          </w:p>
        </w:tc>
        <w:tc>
          <w:tcPr>
            <w:tcW w:w="671" w:type="pct"/>
            <w:tcBorders>
              <w:top w:val="single" w:sz="4" w:space="0" w:color="auto"/>
              <w:bottom w:val="single" w:sz="4" w:space="0" w:color="auto"/>
            </w:tcBorders>
            <w:vAlign w:val="center"/>
          </w:tcPr>
          <w:p w14:paraId="1C89FEFD" w14:textId="77777777" w:rsidR="000E2BEC" w:rsidRPr="000E2BEC" w:rsidRDefault="000E2BEC" w:rsidP="00F16FDC">
            <w:pPr>
              <w:keepNext/>
              <w:spacing w:after="0" w:line="240" w:lineRule="auto"/>
              <w:jc w:val="right"/>
              <w:rPr>
                <w:rFonts w:ascii="Arial" w:hAnsi="Arial" w:cs="Arial"/>
                <w:b/>
                <w:bCs/>
                <w:sz w:val="16"/>
                <w:szCs w:val="16"/>
              </w:rPr>
            </w:pPr>
            <w:r w:rsidRPr="000E2BEC">
              <w:rPr>
                <w:rFonts w:ascii="Arial" w:hAnsi="Arial" w:cs="Arial"/>
                <w:b/>
                <w:bCs/>
                <w:sz w:val="16"/>
                <w:szCs w:val="16"/>
              </w:rPr>
              <w:t>100.0</w:t>
            </w:r>
          </w:p>
        </w:tc>
        <w:tc>
          <w:tcPr>
            <w:tcW w:w="562" w:type="pct"/>
            <w:tcBorders>
              <w:top w:val="single" w:sz="4" w:space="0" w:color="auto"/>
              <w:bottom w:val="single" w:sz="4" w:space="0" w:color="auto"/>
            </w:tcBorders>
            <w:shd w:val="clear" w:color="auto" w:fill="F2F2F2"/>
            <w:vAlign w:val="center"/>
            <w:hideMark/>
          </w:tcPr>
          <w:p w14:paraId="7507FA63" w14:textId="77777777" w:rsidR="000E2BEC" w:rsidRPr="000E2BEC" w:rsidRDefault="004D2DD7" w:rsidP="0004769B">
            <w:pPr>
              <w:keepNext/>
              <w:spacing w:after="0" w:line="240" w:lineRule="auto"/>
              <w:jc w:val="right"/>
              <w:rPr>
                <w:rFonts w:ascii="Arial" w:hAnsi="Arial" w:cs="Arial"/>
                <w:b/>
                <w:bCs/>
                <w:sz w:val="16"/>
                <w:szCs w:val="16"/>
              </w:rPr>
            </w:pPr>
            <w:r>
              <w:rPr>
                <w:rFonts w:ascii="Arial" w:hAnsi="Arial" w:cs="Arial"/>
                <w:b/>
                <w:bCs/>
                <w:sz w:val="16"/>
                <w:szCs w:val="16"/>
              </w:rPr>
              <w:t>259</w:t>
            </w:r>
          </w:p>
        </w:tc>
        <w:tc>
          <w:tcPr>
            <w:tcW w:w="671" w:type="pct"/>
            <w:tcBorders>
              <w:top w:val="single" w:sz="4" w:space="0" w:color="auto"/>
              <w:bottom w:val="single" w:sz="4" w:space="0" w:color="auto"/>
            </w:tcBorders>
            <w:shd w:val="clear" w:color="auto" w:fill="F2F2F2"/>
            <w:vAlign w:val="center"/>
            <w:hideMark/>
          </w:tcPr>
          <w:p w14:paraId="4E1D96EF" w14:textId="77777777" w:rsidR="000E2BEC" w:rsidRPr="000E2BEC" w:rsidRDefault="000E2BEC" w:rsidP="00A922DA">
            <w:pPr>
              <w:keepNext/>
              <w:spacing w:after="0" w:line="240" w:lineRule="auto"/>
              <w:jc w:val="right"/>
              <w:rPr>
                <w:rFonts w:ascii="Arial" w:hAnsi="Arial" w:cs="Arial"/>
                <w:b/>
                <w:bCs/>
                <w:sz w:val="16"/>
                <w:szCs w:val="16"/>
              </w:rPr>
            </w:pPr>
            <w:r w:rsidRPr="000E2BEC">
              <w:rPr>
                <w:rFonts w:ascii="Arial" w:hAnsi="Arial" w:cs="Arial"/>
                <w:b/>
                <w:bCs/>
                <w:sz w:val="16"/>
                <w:szCs w:val="16"/>
              </w:rPr>
              <w:t>100.0</w:t>
            </w:r>
          </w:p>
        </w:tc>
      </w:tr>
    </w:tbl>
    <w:p w14:paraId="4C1A12A7" w14:textId="77777777" w:rsidR="00722605" w:rsidRDefault="00722605" w:rsidP="006D0C45">
      <w:pPr>
        <w:pStyle w:val="Caveat"/>
        <w:keepNext/>
        <w:keepLines/>
      </w:pPr>
      <w:r w:rsidRPr="00BF48CD">
        <w:t xml:space="preserve">Before republishing this data or comparing between years, thoroughly review the methodological and data caveats in Appendix B. </w:t>
      </w:r>
    </w:p>
    <w:p w14:paraId="1F4A77B2" w14:textId="77777777" w:rsidR="00722605" w:rsidRPr="007F3DA3" w:rsidRDefault="00722605" w:rsidP="00474732">
      <w:pPr>
        <w:pStyle w:val="ChartandTableFootnoteAlpha"/>
        <w:numPr>
          <w:ilvl w:val="0"/>
          <w:numId w:val="54"/>
        </w:numPr>
      </w:pPr>
      <w:r>
        <w:t xml:space="preserve">Includes </w:t>
      </w:r>
      <w:r w:rsidRPr="007F3DA3">
        <w:t>a voluntar</w:t>
      </w:r>
      <w:r>
        <w:t>y</w:t>
      </w:r>
      <w:r w:rsidRPr="007F3DA3">
        <w:t xml:space="preserve"> dispos</w:t>
      </w:r>
      <w:r>
        <w:t>al</w:t>
      </w:r>
      <w:r w:rsidRPr="007F3DA3">
        <w:t xml:space="preserve"> of a property following</w:t>
      </w:r>
      <w:r>
        <w:t xml:space="preserve"> an ATO investigation</w:t>
      </w:r>
      <w:r w:rsidRPr="007F3DA3">
        <w:t>, and where a formal disposal order was issued under the Act.</w:t>
      </w:r>
    </w:p>
    <w:p w14:paraId="06DEB824" w14:textId="77777777" w:rsidR="00722605" w:rsidRPr="007F3DA3" w:rsidRDefault="00722605" w:rsidP="00474732">
      <w:pPr>
        <w:pStyle w:val="ChartandTableFootnoteAlpha"/>
      </w:pPr>
      <w:r>
        <w:t>A</w:t>
      </w:r>
      <w:r w:rsidRPr="007F3DA3">
        <w:t>pproval is provided after t</w:t>
      </w:r>
      <w:r>
        <w:t>he property has been purchased.</w:t>
      </w:r>
    </w:p>
    <w:p w14:paraId="294AF3B4" w14:textId="77777777" w:rsidR="00722605" w:rsidRPr="007F3DA3" w:rsidRDefault="00722605" w:rsidP="00474732">
      <w:pPr>
        <w:pStyle w:val="ChartandTableFootnoteAlpha"/>
      </w:pPr>
      <w:r>
        <w:t xml:space="preserve">In the course of an investigation, the ATO determines a foreign investor is in breach of their approval condition and works with the investor to remedy the breach. </w:t>
      </w:r>
      <w:r w:rsidRPr="007F3DA3">
        <w:t>Where appropriate, an infringement notice is also issued in these situations for failure to comply with conditions.</w:t>
      </w:r>
    </w:p>
    <w:p w14:paraId="3B7403D4" w14:textId="77777777" w:rsidR="00722605" w:rsidRDefault="00722605" w:rsidP="00474732">
      <w:pPr>
        <w:pStyle w:val="ChartandTableFootnoteAlpha"/>
      </w:pPr>
      <w:r>
        <w:t>A</w:t>
      </w:r>
      <w:r w:rsidRPr="007F3DA3">
        <w:t xml:space="preserve"> foreign person seeking approval to </w:t>
      </w:r>
      <w:r>
        <w:t>acquire an interest in property</w:t>
      </w:r>
      <w:r w:rsidRPr="007F3DA3">
        <w:t xml:space="preserve"> is identified during the foreign investment screening process that they had already acquired an interest in the property in question</w:t>
      </w:r>
      <w:r>
        <w:t>, usually by entering into a contract</w:t>
      </w:r>
      <w:r w:rsidRPr="007F3DA3">
        <w:t>. Where appropriate, an infringement notice is also issued.</w:t>
      </w:r>
    </w:p>
    <w:p w14:paraId="6CC3A1C5" w14:textId="77777777" w:rsidR="006C539E" w:rsidRPr="00144EA2" w:rsidRDefault="006C539E" w:rsidP="006C539E">
      <w:pPr>
        <w:pStyle w:val="SingleParagraph"/>
      </w:pPr>
    </w:p>
    <w:p w14:paraId="282206E4" w14:textId="77777777" w:rsidR="00A84283" w:rsidRPr="00FF57BB" w:rsidRDefault="00A84283" w:rsidP="009B5585">
      <w:pPr>
        <w:pStyle w:val="Heading4"/>
      </w:pPr>
      <w:r w:rsidRPr="00FF57BB">
        <w:t>Breaches by location</w:t>
      </w:r>
    </w:p>
    <w:p w14:paraId="3C6F2A47" w14:textId="77777777" w:rsidR="00C276FE" w:rsidRPr="00FF57BB" w:rsidRDefault="00C276FE" w:rsidP="00790EEF">
      <w:r w:rsidRPr="00FF57BB">
        <w:t>Chart</w:t>
      </w:r>
      <w:r w:rsidR="00F15251">
        <w:t> </w:t>
      </w:r>
      <w:r w:rsidRPr="00FF57BB">
        <w:t>4.1 shows the geographic distribution of properties that were found to be in breach of the foreign investment rules in 201</w:t>
      </w:r>
      <w:r w:rsidR="00903461">
        <w:t>9</w:t>
      </w:r>
      <w:r w:rsidR="000207A1">
        <w:t>–</w:t>
      </w:r>
      <w:r w:rsidR="00903461">
        <w:t>20</w:t>
      </w:r>
      <w:r w:rsidRPr="00FF57BB">
        <w:t>.</w:t>
      </w:r>
    </w:p>
    <w:p w14:paraId="0FB5AA48" w14:textId="77777777" w:rsidR="00A84283" w:rsidRPr="00FF57BB" w:rsidRDefault="00BE7E19" w:rsidP="00790EEF">
      <w:r w:rsidRPr="00FF57BB">
        <w:t>Just over 40</w:t>
      </w:r>
      <w:r w:rsidR="00C276FE" w:rsidRPr="00FF57BB">
        <w:t> per </w:t>
      </w:r>
      <w:r w:rsidRPr="00FF57BB">
        <w:t xml:space="preserve">cent of </w:t>
      </w:r>
      <w:r w:rsidR="00A84283" w:rsidRPr="00FF57BB">
        <w:t>the breaches identified by compliance investigations related to residential property in Victoria</w:t>
      </w:r>
      <w:r w:rsidRPr="00FF57BB">
        <w:t xml:space="preserve">. </w:t>
      </w:r>
      <w:r w:rsidR="00E25EE2" w:rsidRPr="00FF57BB">
        <w:t>The proportion of breaches in New South Wales increased from 20.8 per cent in 2018</w:t>
      </w:r>
      <w:r w:rsidR="000207A1">
        <w:t>–</w:t>
      </w:r>
      <w:r w:rsidR="00E25EE2" w:rsidRPr="00FF57BB">
        <w:t xml:space="preserve">19 to 24.7 per cent. </w:t>
      </w:r>
      <w:r w:rsidRPr="00FF57BB">
        <w:t xml:space="preserve">The proportion of breaches recorded in Queensland </w:t>
      </w:r>
      <w:r w:rsidR="0075084D" w:rsidRPr="00FF57BB">
        <w:t>decreased</w:t>
      </w:r>
      <w:r w:rsidRPr="00FF57BB">
        <w:t xml:space="preserve"> from </w:t>
      </w:r>
      <w:r w:rsidR="0075084D" w:rsidRPr="00FF57BB">
        <w:t>24.5</w:t>
      </w:r>
      <w:r w:rsidR="00C276FE" w:rsidRPr="00FF57BB">
        <w:t> per </w:t>
      </w:r>
      <w:r w:rsidRPr="00FF57BB">
        <w:t>cent in 201</w:t>
      </w:r>
      <w:r w:rsidR="0075084D" w:rsidRPr="00FF57BB">
        <w:t>8</w:t>
      </w:r>
      <w:r w:rsidR="000207A1">
        <w:t>–</w:t>
      </w:r>
      <w:r w:rsidRPr="00FF57BB">
        <w:t>1</w:t>
      </w:r>
      <w:r w:rsidR="0075084D" w:rsidRPr="00FF57BB">
        <w:t>9</w:t>
      </w:r>
      <w:r w:rsidRPr="00FF57BB">
        <w:t xml:space="preserve"> to 2</w:t>
      </w:r>
      <w:r w:rsidR="00E25EE2" w:rsidRPr="00FF57BB">
        <w:t>1</w:t>
      </w:r>
      <w:r w:rsidRPr="00FF57BB">
        <w:t>.</w:t>
      </w:r>
      <w:r w:rsidR="00E25EE2" w:rsidRPr="00FF57BB">
        <w:t>2</w:t>
      </w:r>
      <w:r w:rsidR="00E15832" w:rsidRPr="00FF57BB">
        <w:t> per </w:t>
      </w:r>
      <w:r w:rsidRPr="00FF57BB">
        <w:t>cent.</w:t>
      </w:r>
    </w:p>
    <w:p w14:paraId="47524062" w14:textId="77777777" w:rsidR="008C1E02" w:rsidRPr="00AA23A8" w:rsidRDefault="00A84283" w:rsidP="00790EEF">
      <w:pPr>
        <w:pStyle w:val="ChartMainHeading"/>
      </w:pPr>
      <w:bookmarkStart w:id="204" w:name="_Toc31716195"/>
      <w:bookmarkStart w:id="205" w:name="_Toc32247761"/>
      <w:bookmarkStart w:id="206" w:name="_Toc63782888"/>
      <w:bookmarkStart w:id="207" w:name="_Toc68697701"/>
      <w:r w:rsidRPr="00AA23A8">
        <w:t>Chart 4.1: Location of residential real estate breaches identified i</w:t>
      </w:r>
      <w:r w:rsidR="006A0149" w:rsidRPr="00AA23A8">
        <w:t>n 201</w:t>
      </w:r>
      <w:r w:rsidR="000E2BEC" w:rsidRPr="00AA23A8">
        <w:t>9</w:t>
      </w:r>
      <w:r w:rsidR="000207A1">
        <w:t>–</w:t>
      </w:r>
      <w:r w:rsidR="000E2BEC" w:rsidRPr="00AA23A8">
        <w:t>20</w:t>
      </w:r>
      <w:bookmarkEnd w:id="204"/>
      <w:bookmarkEnd w:id="205"/>
      <w:bookmarkEnd w:id="206"/>
      <w:bookmarkEnd w:id="207"/>
    </w:p>
    <w:p w14:paraId="397CBA3B" w14:textId="77777777" w:rsidR="00A84283" w:rsidRPr="00AA23A8" w:rsidRDefault="000E2BEC" w:rsidP="006C539E">
      <w:pPr>
        <w:pStyle w:val="ChartGraphic"/>
      </w:pPr>
      <w:r w:rsidRPr="00AA23A8">
        <w:rPr>
          <w:noProof/>
        </w:rPr>
        <w:drawing>
          <wp:inline distT="0" distB="0" distL="0" distR="0" wp14:anchorId="149D9B0C" wp14:editId="4959D547">
            <wp:extent cx="5194300" cy="3022600"/>
            <wp:effectExtent l="0" t="0" r="0" b="0"/>
            <wp:docPr id="4" name="Chart 4" descr="Chart 4.1: Location of residential real estate breaches identified in 2019–2&#10;ACT 1.93%, NSW 24.71%, QLD 21.24%, SA 3.09%, TAS 2.70%, VIC 40.93%, WA 5.4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1013FFB" w14:textId="77777777" w:rsidR="00722605" w:rsidRDefault="00722605" w:rsidP="00722605">
      <w:pPr>
        <w:pStyle w:val="ChartorTableNote"/>
      </w:pPr>
      <w:r w:rsidRPr="00BF48CD">
        <w:t xml:space="preserve">Before republishing this data or comparing between years, thoroughly review the methodological and data caveats in Appendix B. </w:t>
      </w:r>
    </w:p>
    <w:p w14:paraId="28002BCB" w14:textId="77777777" w:rsidR="00722605" w:rsidRPr="006A0149" w:rsidRDefault="00722605" w:rsidP="00722605">
      <w:pPr>
        <w:pStyle w:val="ChartorTableNote"/>
      </w:pPr>
      <w:r w:rsidRPr="006A0149">
        <w:t>No properties were found in breach in the Northern Territory. The Northern Territory had only a small number of residential real estate approvals for the period.</w:t>
      </w:r>
    </w:p>
    <w:p w14:paraId="299CD9A6" w14:textId="77777777" w:rsidR="006C539E" w:rsidRDefault="006C539E" w:rsidP="006C539E">
      <w:pPr>
        <w:pStyle w:val="SingleParagraph"/>
      </w:pPr>
    </w:p>
    <w:p w14:paraId="01567E8D" w14:textId="77777777" w:rsidR="00A84283" w:rsidRPr="00FF57BB" w:rsidRDefault="00A84283">
      <w:pPr>
        <w:pStyle w:val="Heading4"/>
      </w:pPr>
      <w:r w:rsidRPr="00FF57BB">
        <w:t>Investigations by source</w:t>
      </w:r>
    </w:p>
    <w:p w14:paraId="6E419CC2" w14:textId="4FA0BECE" w:rsidR="00A84283" w:rsidRPr="00FF57BB" w:rsidRDefault="00A84283">
      <w:r w:rsidRPr="00FF57BB">
        <w:t>The ATO identifies properties for investigation using a range of sources including community information, data matching and self</w:t>
      </w:r>
      <w:r w:rsidR="00BD4D19">
        <w:noBreakHyphen/>
      </w:r>
      <w:r w:rsidR="00E15832" w:rsidRPr="00FF57BB">
        <w:t>disclosures (see Table </w:t>
      </w:r>
      <w:r w:rsidRPr="00FF57BB">
        <w:t>4.</w:t>
      </w:r>
      <w:r w:rsidR="007323E2">
        <w:t>3</w:t>
      </w:r>
      <w:r w:rsidRPr="00FF57BB">
        <w:t xml:space="preserve">). </w:t>
      </w:r>
    </w:p>
    <w:p w14:paraId="6627A324" w14:textId="7F2BEC44" w:rsidR="00D73478" w:rsidRPr="00AA23A8" w:rsidRDefault="00D73478">
      <w:pPr>
        <w:pStyle w:val="TableMainHeading"/>
      </w:pPr>
      <w:bookmarkStart w:id="208" w:name="_Toc32247782"/>
      <w:bookmarkStart w:id="209" w:name="_Toc63798293"/>
      <w:bookmarkStart w:id="210" w:name="_Toc73984751"/>
      <w:r w:rsidRPr="00AA23A8">
        <w:t>Table 4.</w:t>
      </w:r>
      <w:r w:rsidR="007323E2">
        <w:t>3</w:t>
      </w:r>
      <w:r w:rsidRPr="00AA23A8">
        <w:t xml:space="preserve">: Source of residential real estate cases </w:t>
      </w:r>
      <w:r w:rsidR="00B748BF" w:rsidRPr="00AA23A8">
        <w:t>in 2017</w:t>
      </w:r>
      <w:r w:rsidR="000207A1">
        <w:t>–</w:t>
      </w:r>
      <w:r w:rsidR="00B748BF" w:rsidRPr="00AA23A8">
        <w:t xml:space="preserve">18 </w:t>
      </w:r>
      <w:r w:rsidR="00420DD4">
        <w:t>to</w:t>
      </w:r>
      <w:r w:rsidR="00B748BF" w:rsidRPr="00AA23A8">
        <w:t xml:space="preserve"> 201</w:t>
      </w:r>
      <w:r w:rsidR="00AA23A8" w:rsidRPr="00AA23A8">
        <w:t>9</w:t>
      </w:r>
      <w:r w:rsidR="000207A1">
        <w:t>–</w:t>
      </w:r>
      <w:r w:rsidR="00AA23A8" w:rsidRPr="00AA23A8">
        <w:t>20</w:t>
      </w:r>
      <w:bookmarkEnd w:id="208"/>
      <w:bookmarkEnd w:id="209"/>
      <w:bookmarkEnd w:id="210"/>
    </w:p>
    <w:tbl>
      <w:tblPr>
        <w:tblW w:w="5000" w:type="pct"/>
        <w:tblLook w:val="04A0" w:firstRow="1" w:lastRow="0" w:firstColumn="1" w:lastColumn="0" w:noHBand="0" w:noVBand="1"/>
      </w:tblPr>
      <w:tblGrid>
        <w:gridCol w:w="1717"/>
        <w:gridCol w:w="948"/>
        <w:gridCol w:w="1079"/>
        <w:gridCol w:w="948"/>
        <w:gridCol w:w="1035"/>
        <w:gridCol w:w="948"/>
        <w:gridCol w:w="1035"/>
      </w:tblGrid>
      <w:tr w:rsidR="00AA23A8" w:rsidRPr="00AA23A8" w14:paraId="79B8327B" w14:textId="77777777" w:rsidTr="009F768E">
        <w:trPr>
          <w:trHeight w:val="227"/>
        </w:trPr>
        <w:tc>
          <w:tcPr>
            <w:tcW w:w="1113" w:type="pct"/>
            <w:tcBorders>
              <w:top w:val="single" w:sz="2" w:space="0" w:color="000000" w:themeColor="text1"/>
              <w:left w:val="nil"/>
              <w:right w:val="nil"/>
            </w:tcBorders>
            <w:shd w:val="clear" w:color="auto" w:fill="auto"/>
            <w:noWrap/>
            <w:vAlign w:val="center"/>
            <w:hideMark/>
          </w:tcPr>
          <w:p w14:paraId="19AA95FD" w14:textId="77777777" w:rsidR="00AA23A8" w:rsidRPr="00AA23A8" w:rsidRDefault="00AA23A8">
            <w:pPr>
              <w:spacing w:after="0" w:line="240" w:lineRule="auto"/>
              <w:jc w:val="left"/>
              <w:rPr>
                <w:rFonts w:ascii="Arial" w:hAnsi="Arial" w:cs="Arial"/>
                <w:sz w:val="16"/>
                <w:szCs w:val="16"/>
              </w:rPr>
            </w:pPr>
          </w:p>
        </w:tc>
        <w:tc>
          <w:tcPr>
            <w:tcW w:w="1315" w:type="pct"/>
            <w:gridSpan w:val="2"/>
            <w:tcBorders>
              <w:top w:val="single" w:sz="2" w:space="0" w:color="000000" w:themeColor="text1"/>
              <w:left w:val="nil"/>
              <w:right w:val="nil"/>
            </w:tcBorders>
            <w:shd w:val="clear" w:color="auto" w:fill="auto"/>
            <w:vAlign w:val="center"/>
            <w:hideMark/>
          </w:tcPr>
          <w:p w14:paraId="4048D2B1" w14:textId="77777777" w:rsidR="00AA23A8" w:rsidRPr="00AA23A8" w:rsidRDefault="00AA23A8">
            <w:pPr>
              <w:spacing w:after="0" w:line="240" w:lineRule="auto"/>
              <w:jc w:val="center"/>
              <w:rPr>
                <w:rFonts w:ascii="Arial" w:hAnsi="Arial" w:cs="Arial"/>
                <w:sz w:val="16"/>
                <w:szCs w:val="16"/>
              </w:rPr>
            </w:pPr>
            <w:r w:rsidRPr="00AA23A8">
              <w:rPr>
                <w:rFonts w:ascii="Arial" w:hAnsi="Arial" w:cs="Arial"/>
                <w:sz w:val="16"/>
                <w:szCs w:val="16"/>
              </w:rPr>
              <w:t>2017</w:t>
            </w:r>
            <w:r w:rsidR="000207A1">
              <w:rPr>
                <w:rFonts w:ascii="Arial" w:hAnsi="Arial" w:cs="Arial"/>
                <w:sz w:val="16"/>
                <w:szCs w:val="16"/>
              </w:rPr>
              <w:t>–</w:t>
            </w:r>
            <w:r w:rsidRPr="00AA23A8">
              <w:rPr>
                <w:rFonts w:ascii="Arial" w:hAnsi="Arial" w:cs="Arial"/>
                <w:sz w:val="16"/>
                <w:szCs w:val="16"/>
              </w:rPr>
              <w:t>18</w:t>
            </w:r>
          </w:p>
        </w:tc>
        <w:tc>
          <w:tcPr>
            <w:tcW w:w="1286" w:type="pct"/>
            <w:gridSpan w:val="2"/>
            <w:tcBorders>
              <w:top w:val="single" w:sz="2" w:space="0" w:color="000000" w:themeColor="text1"/>
              <w:left w:val="nil"/>
              <w:right w:val="nil"/>
            </w:tcBorders>
            <w:shd w:val="clear" w:color="auto" w:fill="auto"/>
            <w:vAlign w:val="center"/>
            <w:hideMark/>
          </w:tcPr>
          <w:p w14:paraId="44C7AA97" w14:textId="77777777" w:rsidR="00AA23A8" w:rsidRPr="00AA23A8" w:rsidRDefault="00AA23A8">
            <w:pPr>
              <w:spacing w:after="0" w:line="240" w:lineRule="auto"/>
              <w:jc w:val="center"/>
              <w:rPr>
                <w:rFonts w:ascii="Arial" w:hAnsi="Arial" w:cs="Arial"/>
                <w:sz w:val="16"/>
                <w:szCs w:val="16"/>
              </w:rPr>
            </w:pPr>
            <w:r w:rsidRPr="00AA23A8">
              <w:rPr>
                <w:rFonts w:ascii="Arial" w:hAnsi="Arial" w:cs="Arial"/>
                <w:sz w:val="16"/>
                <w:szCs w:val="16"/>
              </w:rPr>
              <w:t>2018</w:t>
            </w:r>
            <w:r w:rsidR="000207A1">
              <w:rPr>
                <w:rFonts w:ascii="Arial" w:hAnsi="Arial" w:cs="Arial"/>
                <w:sz w:val="16"/>
                <w:szCs w:val="16"/>
              </w:rPr>
              <w:t>–</w:t>
            </w:r>
            <w:r w:rsidRPr="00AA23A8">
              <w:rPr>
                <w:rFonts w:ascii="Arial" w:hAnsi="Arial" w:cs="Arial"/>
                <w:sz w:val="16"/>
                <w:szCs w:val="16"/>
              </w:rPr>
              <w:t>19</w:t>
            </w:r>
          </w:p>
        </w:tc>
        <w:tc>
          <w:tcPr>
            <w:tcW w:w="1286" w:type="pct"/>
            <w:gridSpan w:val="2"/>
            <w:tcBorders>
              <w:top w:val="single" w:sz="2" w:space="0" w:color="000000" w:themeColor="text1"/>
              <w:left w:val="nil"/>
              <w:right w:val="nil"/>
            </w:tcBorders>
            <w:shd w:val="clear" w:color="000000" w:fill="F2F2F2"/>
            <w:vAlign w:val="center"/>
          </w:tcPr>
          <w:p w14:paraId="3AE837FA" w14:textId="77777777" w:rsidR="00AA23A8" w:rsidRPr="00AA23A8" w:rsidRDefault="00AA23A8">
            <w:pPr>
              <w:spacing w:after="0" w:line="240" w:lineRule="auto"/>
              <w:jc w:val="center"/>
              <w:rPr>
                <w:rFonts w:ascii="Arial" w:hAnsi="Arial" w:cs="Arial"/>
                <w:sz w:val="16"/>
                <w:szCs w:val="16"/>
              </w:rPr>
            </w:pPr>
            <w:r w:rsidRPr="00AA23A8">
              <w:rPr>
                <w:rFonts w:ascii="Arial" w:hAnsi="Arial" w:cs="Arial"/>
                <w:sz w:val="16"/>
                <w:szCs w:val="16"/>
              </w:rPr>
              <w:t>2019</w:t>
            </w:r>
            <w:r w:rsidR="000207A1">
              <w:rPr>
                <w:rFonts w:ascii="Arial" w:hAnsi="Arial" w:cs="Arial"/>
                <w:sz w:val="16"/>
                <w:szCs w:val="16"/>
              </w:rPr>
              <w:t>–</w:t>
            </w:r>
            <w:r w:rsidRPr="00AA23A8">
              <w:rPr>
                <w:rFonts w:ascii="Arial" w:hAnsi="Arial" w:cs="Arial"/>
                <w:sz w:val="16"/>
                <w:szCs w:val="16"/>
              </w:rPr>
              <w:t>20</w:t>
            </w:r>
          </w:p>
        </w:tc>
      </w:tr>
      <w:tr w:rsidR="00AA23A8" w:rsidRPr="00AA23A8" w14:paraId="25945878" w14:textId="77777777" w:rsidTr="009F768E">
        <w:trPr>
          <w:trHeight w:val="227"/>
        </w:trPr>
        <w:tc>
          <w:tcPr>
            <w:tcW w:w="1113" w:type="pct"/>
            <w:tcBorders>
              <w:left w:val="nil"/>
              <w:bottom w:val="nil"/>
              <w:right w:val="nil"/>
            </w:tcBorders>
            <w:shd w:val="clear" w:color="auto" w:fill="auto"/>
            <w:vAlign w:val="center"/>
            <w:hideMark/>
          </w:tcPr>
          <w:p w14:paraId="2A758F86" w14:textId="77777777" w:rsidR="00AA23A8" w:rsidRPr="00AA23A8" w:rsidRDefault="00AA23A8" w:rsidP="00252E69">
            <w:pPr>
              <w:spacing w:after="0" w:line="240" w:lineRule="auto"/>
              <w:rPr>
                <w:rFonts w:ascii="Arial" w:hAnsi="Arial" w:cs="Arial"/>
                <w:sz w:val="16"/>
                <w:szCs w:val="16"/>
              </w:rPr>
            </w:pPr>
            <w:r w:rsidRPr="00AA23A8">
              <w:rPr>
                <w:rFonts w:ascii="Arial" w:hAnsi="Arial" w:cs="Arial"/>
                <w:sz w:val="16"/>
                <w:szCs w:val="16"/>
              </w:rPr>
              <w:t xml:space="preserve">Source of Case </w:t>
            </w:r>
          </w:p>
        </w:tc>
        <w:tc>
          <w:tcPr>
            <w:tcW w:w="615" w:type="pct"/>
            <w:tcBorders>
              <w:left w:val="nil"/>
              <w:bottom w:val="single" w:sz="2" w:space="0" w:color="000000" w:themeColor="text1"/>
              <w:right w:val="nil"/>
            </w:tcBorders>
            <w:shd w:val="clear" w:color="auto" w:fill="auto"/>
            <w:vAlign w:val="center"/>
            <w:hideMark/>
          </w:tcPr>
          <w:p w14:paraId="7B0FBE73" w14:textId="77777777" w:rsidR="00AA23A8" w:rsidRPr="00AA23A8" w:rsidRDefault="00AA23A8" w:rsidP="00BC62E3">
            <w:pPr>
              <w:spacing w:after="0" w:line="240" w:lineRule="auto"/>
              <w:jc w:val="center"/>
              <w:rPr>
                <w:rFonts w:ascii="Arial" w:hAnsi="Arial" w:cs="Arial"/>
                <w:sz w:val="16"/>
                <w:szCs w:val="16"/>
              </w:rPr>
            </w:pPr>
            <w:r w:rsidRPr="00AA23A8">
              <w:rPr>
                <w:rFonts w:ascii="Arial" w:hAnsi="Arial" w:cs="Arial"/>
                <w:sz w:val="16"/>
                <w:szCs w:val="16"/>
              </w:rPr>
              <w:t>No.</w:t>
            </w:r>
          </w:p>
        </w:tc>
        <w:tc>
          <w:tcPr>
            <w:tcW w:w="700" w:type="pct"/>
            <w:tcBorders>
              <w:left w:val="nil"/>
              <w:bottom w:val="single" w:sz="2" w:space="0" w:color="000000" w:themeColor="text1"/>
              <w:right w:val="nil"/>
            </w:tcBorders>
            <w:shd w:val="clear" w:color="auto" w:fill="auto"/>
            <w:vAlign w:val="center"/>
            <w:hideMark/>
          </w:tcPr>
          <w:p w14:paraId="260A3984" w14:textId="77777777" w:rsidR="00AA23A8" w:rsidRPr="00AA23A8" w:rsidRDefault="00AA23A8" w:rsidP="006D5AAD">
            <w:pPr>
              <w:spacing w:after="0" w:line="240" w:lineRule="auto"/>
              <w:jc w:val="center"/>
              <w:rPr>
                <w:rFonts w:ascii="Arial" w:hAnsi="Arial" w:cs="Arial"/>
                <w:sz w:val="16"/>
                <w:szCs w:val="16"/>
              </w:rPr>
            </w:pPr>
            <w:r w:rsidRPr="00AA23A8">
              <w:rPr>
                <w:rFonts w:ascii="Arial" w:hAnsi="Arial" w:cs="Arial"/>
                <w:sz w:val="16"/>
                <w:szCs w:val="16"/>
              </w:rPr>
              <w:t>Percentage.</w:t>
            </w:r>
          </w:p>
        </w:tc>
        <w:tc>
          <w:tcPr>
            <w:tcW w:w="615" w:type="pct"/>
            <w:tcBorders>
              <w:left w:val="nil"/>
              <w:bottom w:val="single" w:sz="2" w:space="0" w:color="000000" w:themeColor="text1"/>
              <w:right w:val="nil"/>
            </w:tcBorders>
            <w:vAlign w:val="center"/>
          </w:tcPr>
          <w:p w14:paraId="714D3A9E" w14:textId="77777777" w:rsidR="00AA23A8" w:rsidRPr="00AA23A8" w:rsidRDefault="00AA23A8" w:rsidP="00F16FDC">
            <w:pPr>
              <w:spacing w:after="0" w:line="240" w:lineRule="auto"/>
              <w:jc w:val="center"/>
              <w:rPr>
                <w:rFonts w:ascii="Arial" w:hAnsi="Arial" w:cs="Arial"/>
                <w:sz w:val="16"/>
                <w:szCs w:val="16"/>
              </w:rPr>
            </w:pPr>
            <w:r w:rsidRPr="00AA23A8">
              <w:rPr>
                <w:rFonts w:ascii="Arial" w:hAnsi="Arial" w:cs="Arial"/>
                <w:sz w:val="16"/>
                <w:szCs w:val="16"/>
              </w:rPr>
              <w:t>No.</w:t>
            </w:r>
          </w:p>
        </w:tc>
        <w:tc>
          <w:tcPr>
            <w:tcW w:w="671" w:type="pct"/>
            <w:tcBorders>
              <w:left w:val="nil"/>
              <w:bottom w:val="single" w:sz="2" w:space="0" w:color="000000" w:themeColor="text1"/>
              <w:right w:val="nil"/>
            </w:tcBorders>
            <w:vAlign w:val="center"/>
          </w:tcPr>
          <w:p w14:paraId="3ACEAC0C" w14:textId="77777777" w:rsidR="00AA23A8" w:rsidRPr="00AA23A8" w:rsidRDefault="00AA23A8" w:rsidP="00F16FDC">
            <w:pPr>
              <w:spacing w:after="0" w:line="240" w:lineRule="auto"/>
              <w:jc w:val="center"/>
              <w:rPr>
                <w:rFonts w:ascii="Arial" w:hAnsi="Arial" w:cs="Arial"/>
                <w:sz w:val="16"/>
                <w:szCs w:val="16"/>
              </w:rPr>
            </w:pPr>
            <w:r w:rsidRPr="00AA23A8">
              <w:rPr>
                <w:rFonts w:ascii="Arial" w:hAnsi="Arial" w:cs="Arial"/>
                <w:sz w:val="16"/>
                <w:szCs w:val="16"/>
              </w:rPr>
              <w:t>Percentage</w:t>
            </w:r>
          </w:p>
        </w:tc>
        <w:tc>
          <w:tcPr>
            <w:tcW w:w="615" w:type="pct"/>
            <w:tcBorders>
              <w:left w:val="nil"/>
              <w:bottom w:val="single" w:sz="2" w:space="0" w:color="000000" w:themeColor="text1"/>
              <w:right w:val="nil"/>
            </w:tcBorders>
            <w:shd w:val="clear" w:color="000000" w:fill="F2F2F2"/>
            <w:vAlign w:val="center"/>
            <w:hideMark/>
          </w:tcPr>
          <w:p w14:paraId="25AB0A86" w14:textId="77777777" w:rsidR="00AA23A8" w:rsidRPr="00AA23A8" w:rsidRDefault="00AA23A8" w:rsidP="0004769B">
            <w:pPr>
              <w:spacing w:after="0" w:line="240" w:lineRule="auto"/>
              <w:jc w:val="center"/>
              <w:rPr>
                <w:rFonts w:ascii="Arial" w:hAnsi="Arial" w:cs="Arial"/>
                <w:sz w:val="16"/>
                <w:szCs w:val="16"/>
              </w:rPr>
            </w:pPr>
            <w:r w:rsidRPr="00AA23A8">
              <w:rPr>
                <w:rFonts w:ascii="Arial" w:hAnsi="Arial" w:cs="Arial"/>
                <w:sz w:val="16"/>
                <w:szCs w:val="16"/>
              </w:rPr>
              <w:t>No.</w:t>
            </w:r>
          </w:p>
        </w:tc>
        <w:tc>
          <w:tcPr>
            <w:tcW w:w="671" w:type="pct"/>
            <w:tcBorders>
              <w:left w:val="nil"/>
              <w:bottom w:val="single" w:sz="2" w:space="0" w:color="000000" w:themeColor="text1"/>
              <w:right w:val="nil"/>
            </w:tcBorders>
            <w:shd w:val="clear" w:color="000000" w:fill="F2F2F2"/>
            <w:vAlign w:val="center"/>
            <w:hideMark/>
          </w:tcPr>
          <w:p w14:paraId="2DBF7911" w14:textId="77777777" w:rsidR="00AA23A8" w:rsidRPr="00AA23A8" w:rsidRDefault="00AA23A8" w:rsidP="00A922DA">
            <w:pPr>
              <w:spacing w:after="0" w:line="240" w:lineRule="auto"/>
              <w:jc w:val="center"/>
              <w:rPr>
                <w:rFonts w:ascii="Arial" w:hAnsi="Arial" w:cs="Arial"/>
                <w:sz w:val="16"/>
                <w:szCs w:val="16"/>
              </w:rPr>
            </w:pPr>
            <w:r w:rsidRPr="00AA23A8">
              <w:rPr>
                <w:rFonts w:ascii="Arial" w:hAnsi="Arial" w:cs="Arial"/>
                <w:sz w:val="16"/>
                <w:szCs w:val="16"/>
              </w:rPr>
              <w:t>Percentage</w:t>
            </w:r>
          </w:p>
        </w:tc>
      </w:tr>
      <w:tr w:rsidR="00AA23A8" w:rsidRPr="00AA23A8" w14:paraId="2130DCD1" w14:textId="77777777" w:rsidTr="009F768E">
        <w:trPr>
          <w:trHeight w:val="227"/>
        </w:trPr>
        <w:tc>
          <w:tcPr>
            <w:tcW w:w="1113" w:type="pct"/>
            <w:tcBorders>
              <w:top w:val="nil"/>
              <w:left w:val="nil"/>
              <w:bottom w:val="nil"/>
              <w:right w:val="nil"/>
            </w:tcBorders>
            <w:shd w:val="clear" w:color="auto" w:fill="auto"/>
            <w:vAlign w:val="center"/>
            <w:hideMark/>
          </w:tcPr>
          <w:p w14:paraId="4712BE86" w14:textId="77777777" w:rsidR="00AA23A8" w:rsidRPr="00AA23A8" w:rsidRDefault="00AA23A8" w:rsidP="00252E69">
            <w:pPr>
              <w:spacing w:after="0" w:line="240" w:lineRule="auto"/>
              <w:rPr>
                <w:rFonts w:ascii="Arial" w:hAnsi="Arial" w:cs="Arial"/>
                <w:sz w:val="16"/>
                <w:szCs w:val="16"/>
              </w:rPr>
            </w:pPr>
            <w:r w:rsidRPr="00AA23A8">
              <w:rPr>
                <w:rFonts w:ascii="Arial" w:hAnsi="Arial" w:cs="Arial"/>
                <w:sz w:val="16"/>
                <w:szCs w:val="16"/>
              </w:rPr>
              <w:t>Community information</w:t>
            </w:r>
          </w:p>
        </w:tc>
        <w:tc>
          <w:tcPr>
            <w:tcW w:w="615" w:type="pct"/>
            <w:tcBorders>
              <w:top w:val="single" w:sz="2" w:space="0" w:color="000000" w:themeColor="text1"/>
              <w:left w:val="nil"/>
              <w:bottom w:val="nil"/>
              <w:right w:val="nil"/>
            </w:tcBorders>
            <w:shd w:val="clear" w:color="auto" w:fill="auto"/>
            <w:noWrap/>
            <w:vAlign w:val="center"/>
            <w:hideMark/>
          </w:tcPr>
          <w:p w14:paraId="3523E6BC" w14:textId="77777777" w:rsidR="00AA23A8" w:rsidRPr="00AA23A8" w:rsidRDefault="00AA23A8" w:rsidP="00BC62E3">
            <w:pPr>
              <w:spacing w:after="0" w:line="240" w:lineRule="auto"/>
              <w:jc w:val="right"/>
              <w:rPr>
                <w:rFonts w:ascii="Arial" w:hAnsi="Arial" w:cs="Arial"/>
                <w:sz w:val="16"/>
                <w:szCs w:val="16"/>
              </w:rPr>
            </w:pPr>
            <w:r w:rsidRPr="00AA23A8">
              <w:rPr>
                <w:rFonts w:ascii="Arial" w:hAnsi="Arial" w:cs="Arial"/>
                <w:sz w:val="16"/>
                <w:szCs w:val="16"/>
              </w:rPr>
              <w:t>256</w:t>
            </w:r>
          </w:p>
        </w:tc>
        <w:tc>
          <w:tcPr>
            <w:tcW w:w="700" w:type="pct"/>
            <w:tcBorders>
              <w:top w:val="single" w:sz="2" w:space="0" w:color="000000" w:themeColor="text1"/>
              <w:left w:val="nil"/>
              <w:bottom w:val="nil"/>
              <w:right w:val="nil"/>
            </w:tcBorders>
            <w:shd w:val="clear" w:color="auto" w:fill="auto"/>
            <w:noWrap/>
            <w:vAlign w:val="center"/>
            <w:hideMark/>
          </w:tcPr>
          <w:p w14:paraId="3D577BC9" w14:textId="77777777" w:rsidR="00AA23A8" w:rsidRPr="00AA23A8" w:rsidRDefault="00AA23A8" w:rsidP="006D5AAD">
            <w:pPr>
              <w:spacing w:after="0" w:line="240" w:lineRule="auto"/>
              <w:jc w:val="right"/>
              <w:rPr>
                <w:rFonts w:ascii="Arial" w:hAnsi="Arial" w:cs="Arial"/>
                <w:sz w:val="16"/>
                <w:szCs w:val="16"/>
              </w:rPr>
            </w:pPr>
            <w:r w:rsidRPr="00AA23A8">
              <w:rPr>
                <w:rFonts w:ascii="Arial" w:hAnsi="Arial" w:cs="Arial"/>
                <w:sz w:val="16"/>
                <w:szCs w:val="16"/>
              </w:rPr>
              <w:t>15.0</w:t>
            </w:r>
          </w:p>
        </w:tc>
        <w:tc>
          <w:tcPr>
            <w:tcW w:w="615" w:type="pct"/>
            <w:tcBorders>
              <w:top w:val="single" w:sz="2" w:space="0" w:color="000000" w:themeColor="text1"/>
              <w:left w:val="nil"/>
              <w:bottom w:val="nil"/>
              <w:right w:val="nil"/>
            </w:tcBorders>
            <w:vAlign w:val="center"/>
          </w:tcPr>
          <w:p w14:paraId="60349E6A" w14:textId="77777777" w:rsidR="00AA23A8" w:rsidRPr="00AA23A8" w:rsidRDefault="00AA23A8" w:rsidP="00F16FDC">
            <w:pPr>
              <w:spacing w:after="0" w:line="240" w:lineRule="auto"/>
              <w:jc w:val="right"/>
              <w:rPr>
                <w:rFonts w:ascii="Arial" w:hAnsi="Arial" w:cs="Arial"/>
                <w:sz w:val="16"/>
                <w:szCs w:val="16"/>
              </w:rPr>
            </w:pPr>
            <w:r w:rsidRPr="00AA23A8">
              <w:rPr>
                <w:rFonts w:ascii="Arial" w:hAnsi="Arial" w:cs="Arial"/>
                <w:sz w:val="16"/>
                <w:szCs w:val="16"/>
              </w:rPr>
              <w:t>88</w:t>
            </w:r>
          </w:p>
        </w:tc>
        <w:tc>
          <w:tcPr>
            <w:tcW w:w="671" w:type="pct"/>
            <w:tcBorders>
              <w:top w:val="single" w:sz="2" w:space="0" w:color="000000" w:themeColor="text1"/>
              <w:left w:val="nil"/>
              <w:bottom w:val="nil"/>
              <w:right w:val="nil"/>
            </w:tcBorders>
            <w:vAlign w:val="center"/>
          </w:tcPr>
          <w:p w14:paraId="5DAE44E3" w14:textId="77777777" w:rsidR="00AA23A8" w:rsidRPr="00AA23A8" w:rsidRDefault="00AA23A8" w:rsidP="00F16FDC">
            <w:pPr>
              <w:spacing w:after="0" w:line="240" w:lineRule="auto"/>
              <w:jc w:val="right"/>
              <w:rPr>
                <w:rFonts w:ascii="Arial" w:hAnsi="Arial" w:cs="Arial"/>
                <w:sz w:val="16"/>
                <w:szCs w:val="16"/>
              </w:rPr>
            </w:pPr>
            <w:r w:rsidRPr="00AA23A8">
              <w:rPr>
                <w:rFonts w:ascii="Arial" w:hAnsi="Arial" w:cs="Arial"/>
                <w:sz w:val="16"/>
                <w:szCs w:val="16"/>
              </w:rPr>
              <w:t>7.2</w:t>
            </w:r>
          </w:p>
        </w:tc>
        <w:tc>
          <w:tcPr>
            <w:tcW w:w="615" w:type="pct"/>
            <w:tcBorders>
              <w:top w:val="nil"/>
              <w:left w:val="nil"/>
              <w:bottom w:val="nil"/>
              <w:right w:val="nil"/>
            </w:tcBorders>
            <w:shd w:val="clear" w:color="auto" w:fill="F2F2F2"/>
            <w:vAlign w:val="center"/>
            <w:hideMark/>
          </w:tcPr>
          <w:p w14:paraId="0195A664" w14:textId="77777777" w:rsidR="00AA23A8" w:rsidRPr="00AA23A8" w:rsidRDefault="00AA23A8" w:rsidP="0004769B">
            <w:pPr>
              <w:spacing w:after="0" w:line="240" w:lineRule="auto"/>
              <w:jc w:val="right"/>
              <w:rPr>
                <w:rFonts w:ascii="Arial" w:hAnsi="Arial" w:cs="Arial"/>
                <w:sz w:val="16"/>
                <w:szCs w:val="16"/>
              </w:rPr>
            </w:pPr>
            <w:r w:rsidRPr="00AA23A8">
              <w:rPr>
                <w:rFonts w:ascii="Arial" w:hAnsi="Arial" w:cs="Arial"/>
                <w:sz w:val="16"/>
                <w:szCs w:val="16"/>
              </w:rPr>
              <w:t>22</w:t>
            </w:r>
          </w:p>
        </w:tc>
        <w:tc>
          <w:tcPr>
            <w:tcW w:w="671" w:type="pct"/>
            <w:tcBorders>
              <w:top w:val="nil"/>
              <w:left w:val="nil"/>
              <w:bottom w:val="nil"/>
              <w:right w:val="nil"/>
            </w:tcBorders>
            <w:shd w:val="clear" w:color="auto" w:fill="F2F2F2"/>
            <w:noWrap/>
            <w:vAlign w:val="center"/>
            <w:hideMark/>
          </w:tcPr>
          <w:p w14:paraId="651CE959" w14:textId="77777777" w:rsidR="00AA23A8" w:rsidRPr="00AA23A8" w:rsidRDefault="00AA23A8" w:rsidP="00A922DA">
            <w:pPr>
              <w:spacing w:after="0" w:line="240" w:lineRule="auto"/>
              <w:jc w:val="right"/>
              <w:rPr>
                <w:rFonts w:ascii="Arial" w:hAnsi="Arial" w:cs="Arial"/>
                <w:sz w:val="16"/>
                <w:szCs w:val="16"/>
              </w:rPr>
            </w:pPr>
            <w:r w:rsidRPr="00AA23A8">
              <w:rPr>
                <w:rFonts w:ascii="Arial" w:hAnsi="Arial" w:cs="Arial"/>
                <w:sz w:val="16"/>
                <w:szCs w:val="16"/>
              </w:rPr>
              <w:t>2.9</w:t>
            </w:r>
          </w:p>
        </w:tc>
      </w:tr>
      <w:tr w:rsidR="00AA23A8" w:rsidRPr="00AA23A8" w14:paraId="034BDDB7" w14:textId="77777777" w:rsidTr="009F768E">
        <w:trPr>
          <w:trHeight w:val="227"/>
        </w:trPr>
        <w:tc>
          <w:tcPr>
            <w:tcW w:w="1113" w:type="pct"/>
            <w:tcBorders>
              <w:top w:val="nil"/>
              <w:left w:val="nil"/>
              <w:bottom w:val="nil"/>
              <w:right w:val="nil"/>
            </w:tcBorders>
            <w:shd w:val="clear" w:color="auto" w:fill="auto"/>
            <w:vAlign w:val="center"/>
            <w:hideMark/>
          </w:tcPr>
          <w:p w14:paraId="6A9408ED" w14:textId="77777777" w:rsidR="00AA23A8" w:rsidRPr="00AA23A8" w:rsidRDefault="00AA23A8" w:rsidP="00252E69">
            <w:pPr>
              <w:spacing w:after="0" w:line="240" w:lineRule="auto"/>
              <w:rPr>
                <w:rFonts w:ascii="Arial" w:hAnsi="Arial" w:cs="Arial"/>
                <w:sz w:val="16"/>
                <w:szCs w:val="16"/>
              </w:rPr>
            </w:pPr>
            <w:r w:rsidRPr="00AA23A8">
              <w:rPr>
                <w:rFonts w:ascii="Arial" w:hAnsi="Arial" w:cs="Arial"/>
                <w:sz w:val="16"/>
                <w:szCs w:val="16"/>
              </w:rPr>
              <w:t>Data matched (a)</w:t>
            </w:r>
          </w:p>
        </w:tc>
        <w:tc>
          <w:tcPr>
            <w:tcW w:w="615" w:type="pct"/>
            <w:tcBorders>
              <w:top w:val="nil"/>
              <w:left w:val="nil"/>
              <w:bottom w:val="nil"/>
              <w:right w:val="nil"/>
            </w:tcBorders>
            <w:shd w:val="clear" w:color="auto" w:fill="auto"/>
            <w:noWrap/>
            <w:vAlign w:val="center"/>
            <w:hideMark/>
          </w:tcPr>
          <w:p w14:paraId="4C27657B" w14:textId="77777777" w:rsidR="00AA23A8" w:rsidRPr="00AA23A8" w:rsidRDefault="00AA23A8" w:rsidP="00BC62E3">
            <w:pPr>
              <w:spacing w:after="0" w:line="240" w:lineRule="auto"/>
              <w:jc w:val="right"/>
              <w:rPr>
                <w:rFonts w:ascii="Arial" w:hAnsi="Arial" w:cs="Arial"/>
                <w:sz w:val="16"/>
                <w:szCs w:val="16"/>
              </w:rPr>
            </w:pPr>
            <w:r w:rsidRPr="00AA23A8">
              <w:rPr>
                <w:rFonts w:ascii="Arial" w:hAnsi="Arial" w:cs="Arial"/>
                <w:sz w:val="16"/>
                <w:szCs w:val="16"/>
              </w:rPr>
              <w:t>1,090</w:t>
            </w:r>
          </w:p>
        </w:tc>
        <w:tc>
          <w:tcPr>
            <w:tcW w:w="700" w:type="pct"/>
            <w:tcBorders>
              <w:top w:val="nil"/>
              <w:left w:val="nil"/>
              <w:bottom w:val="nil"/>
              <w:right w:val="nil"/>
            </w:tcBorders>
            <w:shd w:val="clear" w:color="auto" w:fill="auto"/>
            <w:noWrap/>
            <w:vAlign w:val="center"/>
            <w:hideMark/>
          </w:tcPr>
          <w:p w14:paraId="1E6D036A" w14:textId="77777777" w:rsidR="00AA23A8" w:rsidRPr="00AA23A8" w:rsidRDefault="00AA23A8" w:rsidP="006D5AAD">
            <w:pPr>
              <w:spacing w:after="0" w:line="240" w:lineRule="auto"/>
              <w:jc w:val="right"/>
              <w:rPr>
                <w:rFonts w:ascii="Arial" w:hAnsi="Arial" w:cs="Arial"/>
                <w:sz w:val="16"/>
                <w:szCs w:val="16"/>
              </w:rPr>
            </w:pPr>
            <w:r w:rsidRPr="00AA23A8">
              <w:rPr>
                <w:rFonts w:ascii="Arial" w:hAnsi="Arial" w:cs="Arial"/>
                <w:sz w:val="16"/>
                <w:szCs w:val="16"/>
              </w:rPr>
              <w:t>63.7</w:t>
            </w:r>
          </w:p>
        </w:tc>
        <w:tc>
          <w:tcPr>
            <w:tcW w:w="615" w:type="pct"/>
            <w:tcBorders>
              <w:top w:val="nil"/>
              <w:left w:val="nil"/>
              <w:bottom w:val="nil"/>
              <w:right w:val="nil"/>
            </w:tcBorders>
            <w:vAlign w:val="center"/>
          </w:tcPr>
          <w:p w14:paraId="5728CA48" w14:textId="77777777" w:rsidR="00AA23A8" w:rsidRPr="00AA23A8" w:rsidRDefault="00AA23A8" w:rsidP="00F16FDC">
            <w:pPr>
              <w:spacing w:after="0" w:line="240" w:lineRule="auto"/>
              <w:jc w:val="right"/>
              <w:rPr>
                <w:rFonts w:ascii="Arial" w:hAnsi="Arial" w:cs="Arial"/>
                <w:sz w:val="16"/>
                <w:szCs w:val="16"/>
              </w:rPr>
            </w:pPr>
            <w:r w:rsidRPr="00AA23A8">
              <w:rPr>
                <w:rFonts w:ascii="Arial" w:hAnsi="Arial" w:cs="Arial"/>
                <w:sz w:val="16"/>
                <w:szCs w:val="16"/>
              </w:rPr>
              <w:t>939</w:t>
            </w:r>
          </w:p>
        </w:tc>
        <w:tc>
          <w:tcPr>
            <w:tcW w:w="671" w:type="pct"/>
            <w:tcBorders>
              <w:top w:val="nil"/>
              <w:left w:val="nil"/>
              <w:bottom w:val="nil"/>
              <w:right w:val="nil"/>
            </w:tcBorders>
            <w:vAlign w:val="center"/>
          </w:tcPr>
          <w:p w14:paraId="52E4FEA7" w14:textId="77777777" w:rsidR="00AA23A8" w:rsidRPr="00AA23A8" w:rsidRDefault="00AA23A8" w:rsidP="00F16FDC">
            <w:pPr>
              <w:spacing w:after="0" w:line="240" w:lineRule="auto"/>
              <w:jc w:val="right"/>
              <w:rPr>
                <w:rFonts w:ascii="Arial" w:hAnsi="Arial" w:cs="Arial"/>
                <w:sz w:val="16"/>
                <w:szCs w:val="16"/>
              </w:rPr>
            </w:pPr>
            <w:r w:rsidRPr="00AA23A8">
              <w:rPr>
                <w:rFonts w:ascii="Arial" w:hAnsi="Arial" w:cs="Arial"/>
                <w:sz w:val="16"/>
                <w:szCs w:val="16"/>
              </w:rPr>
              <w:t>77.0</w:t>
            </w:r>
          </w:p>
        </w:tc>
        <w:tc>
          <w:tcPr>
            <w:tcW w:w="615" w:type="pct"/>
            <w:tcBorders>
              <w:top w:val="nil"/>
              <w:left w:val="nil"/>
              <w:bottom w:val="nil"/>
              <w:right w:val="nil"/>
            </w:tcBorders>
            <w:shd w:val="clear" w:color="auto" w:fill="F2F2F2"/>
            <w:vAlign w:val="center"/>
            <w:hideMark/>
          </w:tcPr>
          <w:p w14:paraId="360A25FC" w14:textId="77777777" w:rsidR="00AA23A8" w:rsidRPr="00AA23A8" w:rsidRDefault="00AA23A8" w:rsidP="0004769B">
            <w:pPr>
              <w:spacing w:after="0" w:line="240" w:lineRule="auto"/>
              <w:jc w:val="right"/>
              <w:rPr>
                <w:rFonts w:ascii="Arial" w:hAnsi="Arial" w:cs="Arial"/>
                <w:sz w:val="16"/>
                <w:szCs w:val="16"/>
              </w:rPr>
            </w:pPr>
            <w:r w:rsidRPr="00AA23A8">
              <w:rPr>
                <w:rFonts w:ascii="Arial" w:hAnsi="Arial" w:cs="Arial"/>
                <w:sz w:val="16"/>
                <w:szCs w:val="16"/>
              </w:rPr>
              <w:t>645</w:t>
            </w:r>
          </w:p>
        </w:tc>
        <w:tc>
          <w:tcPr>
            <w:tcW w:w="671" w:type="pct"/>
            <w:tcBorders>
              <w:top w:val="nil"/>
              <w:left w:val="nil"/>
              <w:bottom w:val="nil"/>
              <w:right w:val="nil"/>
            </w:tcBorders>
            <w:shd w:val="clear" w:color="auto" w:fill="F2F2F2"/>
            <w:noWrap/>
            <w:vAlign w:val="center"/>
            <w:hideMark/>
          </w:tcPr>
          <w:p w14:paraId="3E5FFBCE" w14:textId="77777777" w:rsidR="00AA23A8" w:rsidRPr="00AA23A8" w:rsidRDefault="00AA23A8" w:rsidP="00A922DA">
            <w:pPr>
              <w:spacing w:after="0" w:line="240" w:lineRule="auto"/>
              <w:jc w:val="right"/>
              <w:rPr>
                <w:rFonts w:ascii="Arial" w:hAnsi="Arial" w:cs="Arial"/>
                <w:sz w:val="16"/>
                <w:szCs w:val="16"/>
              </w:rPr>
            </w:pPr>
            <w:r w:rsidRPr="00AA23A8">
              <w:rPr>
                <w:rFonts w:ascii="Arial" w:hAnsi="Arial" w:cs="Arial"/>
                <w:sz w:val="16"/>
                <w:szCs w:val="16"/>
              </w:rPr>
              <w:t>86.5</w:t>
            </w:r>
          </w:p>
        </w:tc>
      </w:tr>
      <w:tr w:rsidR="00AA23A8" w:rsidRPr="00AA23A8" w14:paraId="34C54964" w14:textId="77777777" w:rsidTr="009F768E">
        <w:trPr>
          <w:trHeight w:val="227"/>
        </w:trPr>
        <w:tc>
          <w:tcPr>
            <w:tcW w:w="1113" w:type="pct"/>
            <w:tcBorders>
              <w:top w:val="nil"/>
              <w:left w:val="nil"/>
              <w:bottom w:val="nil"/>
              <w:right w:val="nil"/>
            </w:tcBorders>
            <w:shd w:val="clear" w:color="auto" w:fill="auto"/>
            <w:vAlign w:val="center"/>
            <w:hideMark/>
          </w:tcPr>
          <w:p w14:paraId="10855AB9" w14:textId="6CF02C34" w:rsidR="00AA23A8" w:rsidRPr="00AA23A8" w:rsidRDefault="00AA23A8" w:rsidP="00252E69">
            <w:pPr>
              <w:spacing w:after="0" w:line="240" w:lineRule="auto"/>
              <w:rPr>
                <w:rFonts w:ascii="Arial" w:hAnsi="Arial" w:cs="Arial"/>
                <w:sz w:val="16"/>
                <w:szCs w:val="16"/>
              </w:rPr>
            </w:pPr>
            <w:r w:rsidRPr="00AA23A8">
              <w:rPr>
                <w:rFonts w:ascii="Arial" w:hAnsi="Arial" w:cs="Arial"/>
                <w:sz w:val="16"/>
                <w:szCs w:val="16"/>
              </w:rPr>
              <w:t>Self</w:t>
            </w:r>
            <w:r w:rsidR="00BD4D19">
              <w:rPr>
                <w:rFonts w:ascii="Arial" w:hAnsi="Arial" w:cs="Arial"/>
                <w:sz w:val="16"/>
                <w:szCs w:val="16"/>
              </w:rPr>
              <w:noBreakHyphen/>
            </w:r>
            <w:r w:rsidRPr="00AA23A8">
              <w:rPr>
                <w:rFonts w:ascii="Arial" w:hAnsi="Arial" w:cs="Arial"/>
                <w:sz w:val="16"/>
                <w:szCs w:val="16"/>
              </w:rPr>
              <w:t xml:space="preserve">disclosure </w:t>
            </w:r>
          </w:p>
        </w:tc>
        <w:tc>
          <w:tcPr>
            <w:tcW w:w="615" w:type="pct"/>
            <w:tcBorders>
              <w:top w:val="nil"/>
              <w:left w:val="nil"/>
              <w:bottom w:val="nil"/>
              <w:right w:val="nil"/>
            </w:tcBorders>
            <w:shd w:val="clear" w:color="auto" w:fill="auto"/>
            <w:noWrap/>
            <w:vAlign w:val="center"/>
            <w:hideMark/>
          </w:tcPr>
          <w:p w14:paraId="66F6293F" w14:textId="77777777" w:rsidR="00AA23A8" w:rsidRPr="00AA23A8" w:rsidRDefault="00AA23A8" w:rsidP="00BC62E3">
            <w:pPr>
              <w:spacing w:after="0" w:line="240" w:lineRule="auto"/>
              <w:jc w:val="right"/>
              <w:rPr>
                <w:rFonts w:ascii="Arial" w:hAnsi="Arial" w:cs="Arial"/>
                <w:sz w:val="16"/>
                <w:szCs w:val="16"/>
              </w:rPr>
            </w:pPr>
            <w:r w:rsidRPr="00AA23A8">
              <w:rPr>
                <w:rFonts w:ascii="Arial" w:hAnsi="Arial" w:cs="Arial"/>
                <w:sz w:val="16"/>
                <w:szCs w:val="16"/>
              </w:rPr>
              <w:t>288</w:t>
            </w:r>
          </w:p>
        </w:tc>
        <w:tc>
          <w:tcPr>
            <w:tcW w:w="700" w:type="pct"/>
            <w:tcBorders>
              <w:top w:val="nil"/>
              <w:left w:val="nil"/>
              <w:bottom w:val="nil"/>
              <w:right w:val="nil"/>
            </w:tcBorders>
            <w:shd w:val="clear" w:color="auto" w:fill="auto"/>
            <w:noWrap/>
            <w:vAlign w:val="center"/>
            <w:hideMark/>
          </w:tcPr>
          <w:p w14:paraId="0C995604" w14:textId="77777777" w:rsidR="00AA23A8" w:rsidRPr="00AA23A8" w:rsidRDefault="00AA23A8" w:rsidP="006D5AAD">
            <w:pPr>
              <w:spacing w:after="0" w:line="240" w:lineRule="auto"/>
              <w:jc w:val="right"/>
              <w:rPr>
                <w:rFonts w:ascii="Arial" w:hAnsi="Arial" w:cs="Arial"/>
                <w:sz w:val="16"/>
                <w:szCs w:val="16"/>
              </w:rPr>
            </w:pPr>
            <w:r w:rsidRPr="00AA23A8">
              <w:rPr>
                <w:rFonts w:ascii="Arial" w:hAnsi="Arial" w:cs="Arial"/>
                <w:sz w:val="16"/>
                <w:szCs w:val="16"/>
              </w:rPr>
              <w:t>16.8</w:t>
            </w:r>
          </w:p>
        </w:tc>
        <w:tc>
          <w:tcPr>
            <w:tcW w:w="615" w:type="pct"/>
            <w:tcBorders>
              <w:top w:val="nil"/>
              <w:left w:val="nil"/>
              <w:bottom w:val="nil"/>
              <w:right w:val="nil"/>
            </w:tcBorders>
            <w:vAlign w:val="center"/>
          </w:tcPr>
          <w:p w14:paraId="7185A227" w14:textId="77777777" w:rsidR="00AA23A8" w:rsidRPr="00AA23A8" w:rsidRDefault="00AA23A8" w:rsidP="00F16FDC">
            <w:pPr>
              <w:spacing w:after="0" w:line="240" w:lineRule="auto"/>
              <w:jc w:val="right"/>
              <w:rPr>
                <w:rFonts w:ascii="Arial" w:hAnsi="Arial" w:cs="Arial"/>
                <w:sz w:val="16"/>
                <w:szCs w:val="16"/>
              </w:rPr>
            </w:pPr>
            <w:r w:rsidRPr="00AA23A8">
              <w:rPr>
                <w:rFonts w:ascii="Arial" w:hAnsi="Arial" w:cs="Arial"/>
                <w:sz w:val="16"/>
                <w:szCs w:val="16"/>
              </w:rPr>
              <w:t>107</w:t>
            </w:r>
          </w:p>
        </w:tc>
        <w:tc>
          <w:tcPr>
            <w:tcW w:w="671" w:type="pct"/>
            <w:tcBorders>
              <w:top w:val="nil"/>
              <w:left w:val="nil"/>
              <w:bottom w:val="nil"/>
              <w:right w:val="nil"/>
            </w:tcBorders>
            <w:vAlign w:val="center"/>
          </w:tcPr>
          <w:p w14:paraId="2EAAB60B" w14:textId="77777777" w:rsidR="00AA23A8" w:rsidRPr="00AA23A8" w:rsidRDefault="00AA23A8" w:rsidP="00F16FDC">
            <w:pPr>
              <w:spacing w:after="0" w:line="240" w:lineRule="auto"/>
              <w:jc w:val="right"/>
              <w:rPr>
                <w:rFonts w:ascii="Arial" w:hAnsi="Arial" w:cs="Arial"/>
                <w:sz w:val="16"/>
                <w:szCs w:val="16"/>
              </w:rPr>
            </w:pPr>
            <w:r w:rsidRPr="00AA23A8">
              <w:rPr>
                <w:rFonts w:ascii="Arial" w:hAnsi="Arial" w:cs="Arial"/>
                <w:sz w:val="16"/>
                <w:szCs w:val="16"/>
              </w:rPr>
              <w:t>8.8</w:t>
            </w:r>
          </w:p>
        </w:tc>
        <w:tc>
          <w:tcPr>
            <w:tcW w:w="615" w:type="pct"/>
            <w:tcBorders>
              <w:top w:val="nil"/>
              <w:left w:val="nil"/>
              <w:bottom w:val="nil"/>
              <w:right w:val="nil"/>
            </w:tcBorders>
            <w:shd w:val="clear" w:color="auto" w:fill="F2F2F2"/>
            <w:vAlign w:val="center"/>
            <w:hideMark/>
          </w:tcPr>
          <w:p w14:paraId="661691D8" w14:textId="77777777" w:rsidR="00AA23A8" w:rsidRPr="00AA23A8" w:rsidRDefault="00AA23A8" w:rsidP="0004769B">
            <w:pPr>
              <w:spacing w:after="0" w:line="240" w:lineRule="auto"/>
              <w:jc w:val="right"/>
              <w:rPr>
                <w:rFonts w:ascii="Arial" w:hAnsi="Arial" w:cs="Arial"/>
                <w:sz w:val="16"/>
                <w:szCs w:val="16"/>
              </w:rPr>
            </w:pPr>
            <w:r w:rsidRPr="00AA23A8">
              <w:rPr>
                <w:rFonts w:ascii="Arial" w:hAnsi="Arial" w:cs="Arial"/>
                <w:sz w:val="16"/>
                <w:szCs w:val="16"/>
              </w:rPr>
              <w:t>28</w:t>
            </w:r>
          </w:p>
        </w:tc>
        <w:tc>
          <w:tcPr>
            <w:tcW w:w="671" w:type="pct"/>
            <w:tcBorders>
              <w:top w:val="nil"/>
              <w:left w:val="nil"/>
              <w:bottom w:val="nil"/>
              <w:right w:val="nil"/>
            </w:tcBorders>
            <w:shd w:val="clear" w:color="auto" w:fill="F2F2F2"/>
            <w:noWrap/>
            <w:vAlign w:val="center"/>
            <w:hideMark/>
          </w:tcPr>
          <w:p w14:paraId="0AE6011C" w14:textId="77777777" w:rsidR="00AA23A8" w:rsidRPr="00AA23A8" w:rsidRDefault="00AA23A8" w:rsidP="00A922DA">
            <w:pPr>
              <w:spacing w:after="0" w:line="240" w:lineRule="auto"/>
              <w:jc w:val="right"/>
              <w:rPr>
                <w:rFonts w:ascii="Arial" w:hAnsi="Arial" w:cs="Arial"/>
                <w:sz w:val="16"/>
                <w:szCs w:val="16"/>
              </w:rPr>
            </w:pPr>
            <w:r w:rsidRPr="00AA23A8">
              <w:rPr>
                <w:rFonts w:ascii="Arial" w:hAnsi="Arial" w:cs="Arial"/>
                <w:sz w:val="16"/>
                <w:szCs w:val="16"/>
              </w:rPr>
              <w:t>3.8</w:t>
            </w:r>
          </w:p>
        </w:tc>
      </w:tr>
      <w:tr w:rsidR="00AA23A8" w:rsidRPr="00AA23A8" w14:paraId="64B7687F" w14:textId="77777777" w:rsidTr="009F768E">
        <w:trPr>
          <w:trHeight w:val="227"/>
        </w:trPr>
        <w:tc>
          <w:tcPr>
            <w:tcW w:w="1113" w:type="pct"/>
            <w:tcBorders>
              <w:top w:val="nil"/>
              <w:left w:val="nil"/>
              <w:right w:val="nil"/>
            </w:tcBorders>
            <w:shd w:val="clear" w:color="auto" w:fill="auto"/>
            <w:vAlign w:val="center"/>
            <w:hideMark/>
          </w:tcPr>
          <w:p w14:paraId="0F9D6057" w14:textId="77777777" w:rsidR="00AA23A8" w:rsidRPr="00AA23A8" w:rsidRDefault="00AA23A8" w:rsidP="00252E69">
            <w:pPr>
              <w:spacing w:after="0" w:line="240" w:lineRule="auto"/>
              <w:rPr>
                <w:rFonts w:ascii="Arial" w:hAnsi="Arial" w:cs="Arial"/>
                <w:sz w:val="16"/>
                <w:szCs w:val="16"/>
              </w:rPr>
            </w:pPr>
            <w:r w:rsidRPr="00AA23A8">
              <w:rPr>
                <w:rFonts w:ascii="Arial" w:hAnsi="Arial" w:cs="Arial"/>
                <w:sz w:val="16"/>
                <w:szCs w:val="16"/>
              </w:rPr>
              <w:t>Other referrals</w:t>
            </w:r>
          </w:p>
        </w:tc>
        <w:tc>
          <w:tcPr>
            <w:tcW w:w="615" w:type="pct"/>
            <w:tcBorders>
              <w:top w:val="nil"/>
              <w:left w:val="nil"/>
              <w:bottom w:val="single" w:sz="2" w:space="0" w:color="000000" w:themeColor="text1"/>
              <w:right w:val="nil"/>
            </w:tcBorders>
            <w:shd w:val="clear" w:color="auto" w:fill="auto"/>
            <w:noWrap/>
            <w:vAlign w:val="center"/>
            <w:hideMark/>
          </w:tcPr>
          <w:p w14:paraId="2385A95F" w14:textId="77777777" w:rsidR="00AA23A8" w:rsidRPr="00AA23A8" w:rsidRDefault="00AA23A8" w:rsidP="00BC62E3">
            <w:pPr>
              <w:spacing w:after="0" w:line="240" w:lineRule="auto"/>
              <w:jc w:val="right"/>
              <w:rPr>
                <w:rFonts w:ascii="Arial" w:hAnsi="Arial" w:cs="Arial"/>
                <w:sz w:val="16"/>
                <w:szCs w:val="16"/>
              </w:rPr>
            </w:pPr>
            <w:r w:rsidRPr="00AA23A8">
              <w:rPr>
                <w:rFonts w:ascii="Arial" w:hAnsi="Arial" w:cs="Arial"/>
                <w:sz w:val="16"/>
                <w:szCs w:val="16"/>
              </w:rPr>
              <w:t>76</w:t>
            </w:r>
          </w:p>
        </w:tc>
        <w:tc>
          <w:tcPr>
            <w:tcW w:w="700" w:type="pct"/>
            <w:tcBorders>
              <w:top w:val="nil"/>
              <w:left w:val="nil"/>
              <w:bottom w:val="single" w:sz="2" w:space="0" w:color="000000" w:themeColor="text1"/>
              <w:right w:val="nil"/>
            </w:tcBorders>
            <w:shd w:val="clear" w:color="auto" w:fill="auto"/>
            <w:noWrap/>
            <w:vAlign w:val="center"/>
            <w:hideMark/>
          </w:tcPr>
          <w:p w14:paraId="59BF6B17" w14:textId="77777777" w:rsidR="00AA23A8" w:rsidRPr="00AA23A8" w:rsidRDefault="00AA23A8" w:rsidP="006D5AAD">
            <w:pPr>
              <w:spacing w:after="0" w:line="240" w:lineRule="auto"/>
              <w:jc w:val="right"/>
              <w:rPr>
                <w:rFonts w:ascii="Arial" w:hAnsi="Arial" w:cs="Arial"/>
                <w:sz w:val="16"/>
                <w:szCs w:val="16"/>
              </w:rPr>
            </w:pPr>
            <w:r w:rsidRPr="00AA23A8">
              <w:rPr>
                <w:rFonts w:ascii="Arial" w:hAnsi="Arial" w:cs="Arial"/>
                <w:sz w:val="16"/>
                <w:szCs w:val="16"/>
              </w:rPr>
              <w:t>4.4</w:t>
            </w:r>
          </w:p>
        </w:tc>
        <w:tc>
          <w:tcPr>
            <w:tcW w:w="615" w:type="pct"/>
            <w:tcBorders>
              <w:top w:val="nil"/>
              <w:left w:val="nil"/>
              <w:bottom w:val="single" w:sz="2" w:space="0" w:color="000000" w:themeColor="text1"/>
              <w:right w:val="nil"/>
            </w:tcBorders>
            <w:vAlign w:val="center"/>
          </w:tcPr>
          <w:p w14:paraId="1F7C396F" w14:textId="77777777" w:rsidR="00AA23A8" w:rsidRPr="00AA23A8" w:rsidRDefault="00AA23A8" w:rsidP="00F16FDC">
            <w:pPr>
              <w:spacing w:after="0" w:line="240" w:lineRule="auto"/>
              <w:jc w:val="right"/>
              <w:rPr>
                <w:rFonts w:ascii="Arial" w:hAnsi="Arial" w:cs="Arial"/>
                <w:sz w:val="16"/>
                <w:szCs w:val="16"/>
              </w:rPr>
            </w:pPr>
            <w:r w:rsidRPr="00AA23A8">
              <w:rPr>
                <w:rFonts w:ascii="Arial" w:hAnsi="Arial" w:cs="Arial"/>
                <w:sz w:val="16"/>
                <w:szCs w:val="16"/>
              </w:rPr>
              <w:t>86</w:t>
            </w:r>
          </w:p>
        </w:tc>
        <w:tc>
          <w:tcPr>
            <w:tcW w:w="671" w:type="pct"/>
            <w:tcBorders>
              <w:top w:val="nil"/>
              <w:left w:val="nil"/>
              <w:bottom w:val="single" w:sz="2" w:space="0" w:color="000000" w:themeColor="text1"/>
              <w:right w:val="nil"/>
            </w:tcBorders>
            <w:vAlign w:val="center"/>
          </w:tcPr>
          <w:p w14:paraId="7BB41643" w14:textId="77777777" w:rsidR="00AA23A8" w:rsidRPr="00AA23A8" w:rsidRDefault="00AA23A8" w:rsidP="00F16FDC">
            <w:pPr>
              <w:spacing w:after="0" w:line="240" w:lineRule="auto"/>
              <w:jc w:val="right"/>
              <w:rPr>
                <w:rFonts w:ascii="Arial" w:hAnsi="Arial" w:cs="Arial"/>
                <w:sz w:val="16"/>
                <w:szCs w:val="16"/>
              </w:rPr>
            </w:pPr>
            <w:r w:rsidRPr="00AA23A8">
              <w:rPr>
                <w:rFonts w:ascii="Arial" w:hAnsi="Arial" w:cs="Arial"/>
                <w:sz w:val="16"/>
                <w:szCs w:val="16"/>
              </w:rPr>
              <w:t>7.0</w:t>
            </w:r>
          </w:p>
        </w:tc>
        <w:tc>
          <w:tcPr>
            <w:tcW w:w="615" w:type="pct"/>
            <w:tcBorders>
              <w:top w:val="nil"/>
              <w:left w:val="nil"/>
              <w:bottom w:val="nil"/>
              <w:right w:val="nil"/>
            </w:tcBorders>
            <w:shd w:val="clear" w:color="auto" w:fill="F2F2F2"/>
            <w:vAlign w:val="center"/>
            <w:hideMark/>
          </w:tcPr>
          <w:p w14:paraId="46C6F85C" w14:textId="77777777" w:rsidR="00AA23A8" w:rsidRPr="00AA23A8" w:rsidRDefault="00AA23A8" w:rsidP="0004769B">
            <w:pPr>
              <w:spacing w:after="0" w:line="240" w:lineRule="auto"/>
              <w:jc w:val="right"/>
              <w:rPr>
                <w:rFonts w:ascii="Arial" w:hAnsi="Arial" w:cs="Arial"/>
                <w:sz w:val="16"/>
                <w:szCs w:val="16"/>
              </w:rPr>
            </w:pPr>
            <w:r w:rsidRPr="00AA23A8">
              <w:rPr>
                <w:rFonts w:ascii="Arial" w:hAnsi="Arial" w:cs="Arial"/>
                <w:sz w:val="16"/>
                <w:szCs w:val="16"/>
              </w:rPr>
              <w:t>51</w:t>
            </w:r>
          </w:p>
        </w:tc>
        <w:tc>
          <w:tcPr>
            <w:tcW w:w="671" w:type="pct"/>
            <w:tcBorders>
              <w:top w:val="nil"/>
              <w:left w:val="nil"/>
              <w:bottom w:val="nil"/>
              <w:right w:val="nil"/>
            </w:tcBorders>
            <w:shd w:val="clear" w:color="auto" w:fill="F2F2F2"/>
            <w:noWrap/>
            <w:vAlign w:val="center"/>
            <w:hideMark/>
          </w:tcPr>
          <w:p w14:paraId="5A32AA2D" w14:textId="77777777" w:rsidR="00AA23A8" w:rsidRPr="00AA23A8" w:rsidRDefault="00AA23A8" w:rsidP="00A922DA">
            <w:pPr>
              <w:spacing w:after="0" w:line="240" w:lineRule="auto"/>
              <w:jc w:val="right"/>
              <w:rPr>
                <w:rFonts w:ascii="Arial" w:hAnsi="Arial" w:cs="Arial"/>
                <w:sz w:val="16"/>
                <w:szCs w:val="16"/>
              </w:rPr>
            </w:pPr>
            <w:r w:rsidRPr="00AA23A8">
              <w:rPr>
                <w:rFonts w:ascii="Arial" w:hAnsi="Arial" w:cs="Arial"/>
                <w:sz w:val="16"/>
                <w:szCs w:val="16"/>
              </w:rPr>
              <w:t>6.8</w:t>
            </w:r>
          </w:p>
        </w:tc>
      </w:tr>
      <w:tr w:rsidR="00AA23A8" w:rsidRPr="00AA23A8" w14:paraId="3FB8D9E3" w14:textId="77777777" w:rsidTr="009F768E">
        <w:trPr>
          <w:trHeight w:val="227"/>
        </w:trPr>
        <w:tc>
          <w:tcPr>
            <w:tcW w:w="1113" w:type="pct"/>
            <w:tcBorders>
              <w:left w:val="nil"/>
              <w:bottom w:val="single" w:sz="2" w:space="0" w:color="000000" w:themeColor="text1"/>
              <w:right w:val="nil"/>
            </w:tcBorders>
            <w:shd w:val="clear" w:color="auto" w:fill="auto"/>
            <w:vAlign w:val="center"/>
            <w:hideMark/>
          </w:tcPr>
          <w:p w14:paraId="6B30BC68" w14:textId="77777777" w:rsidR="00AA23A8" w:rsidRPr="00AA23A8" w:rsidRDefault="00AA23A8" w:rsidP="00252E69">
            <w:pPr>
              <w:spacing w:after="0" w:line="240" w:lineRule="auto"/>
              <w:rPr>
                <w:rFonts w:ascii="Arial" w:hAnsi="Arial" w:cs="Arial"/>
                <w:b/>
                <w:bCs/>
                <w:sz w:val="16"/>
                <w:szCs w:val="16"/>
              </w:rPr>
            </w:pPr>
            <w:r w:rsidRPr="00AA23A8">
              <w:rPr>
                <w:rFonts w:ascii="Arial" w:hAnsi="Arial" w:cs="Arial"/>
                <w:b/>
                <w:bCs/>
                <w:sz w:val="16"/>
                <w:szCs w:val="16"/>
              </w:rPr>
              <w:t>Total received (b)</w:t>
            </w:r>
          </w:p>
        </w:tc>
        <w:tc>
          <w:tcPr>
            <w:tcW w:w="615" w:type="pct"/>
            <w:tcBorders>
              <w:top w:val="single" w:sz="2" w:space="0" w:color="000000" w:themeColor="text1"/>
              <w:left w:val="nil"/>
              <w:bottom w:val="single" w:sz="2" w:space="0" w:color="000000" w:themeColor="text1"/>
              <w:right w:val="nil"/>
            </w:tcBorders>
            <w:shd w:val="clear" w:color="auto" w:fill="auto"/>
            <w:noWrap/>
            <w:vAlign w:val="center"/>
            <w:hideMark/>
          </w:tcPr>
          <w:p w14:paraId="47B8CDAE" w14:textId="77777777" w:rsidR="00AA23A8" w:rsidRPr="00AA23A8" w:rsidRDefault="00AA23A8" w:rsidP="00BC62E3">
            <w:pPr>
              <w:spacing w:after="0" w:line="240" w:lineRule="auto"/>
              <w:jc w:val="right"/>
              <w:rPr>
                <w:rFonts w:ascii="Arial" w:hAnsi="Arial" w:cs="Arial"/>
                <w:b/>
                <w:bCs/>
                <w:sz w:val="16"/>
                <w:szCs w:val="16"/>
              </w:rPr>
            </w:pPr>
            <w:r w:rsidRPr="00AA23A8">
              <w:rPr>
                <w:rFonts w:ascii="Arial" w:hAnsi="Arial" w:cs="Arial"/>
                <w:b/>
                <w:bCs/>
                <w:sz w:val="16"/>
                <w:szCs w:val="16"/>
              </w:rPr>
              <w:t>1,710</w:t>
            </w:r>
          </w:p>
        </w:tc>
        <w:tc>
          <w:tcPr>
            <w:tcW w:w="700" w:type="pct"/>
            <w:tcBorders>
              <w:top w:val="single" w:sz="2" w:space="0" w:color="000000" w:themeColor="text1"/>
              <w:left w:val="nil"/>
              <w:bottom w:val="single" w:sz="2" w:space="0" w:color="000000" w:themeColor="text1"/>
              <w:right w:val="nil"/>
            </w:tcBorders>
            <w:shd w:val="clear" w:color="auto" w:fill="auto"/>
            <w:noWrap/>
            <w:vAlign w:val="center"/>
            <w:hideMark/>
          </w:tcPr>
          <w:p w14:paraId="17B75545" w14:textId="77777777" w:rsidR="00AA23A8" w:rsidRPr="00AA23A8" w:rsidRDefault="00AA23A8" w:rsidP="006D5AAD">
            <w:pPr>
              <w:spacing w:after="0" w:line="240" w:lineRule="auto"/>
              <w:jc w:val="right"/>
              <w:rPr>
                <w:rFonts w:ascii="Arial" w:hAnsi="Arial" w:cs="Arial"/>
                <w:b/>
                <w:bCs/>
                <w:sz w:val="16"/>
                <w:szCs w:val="16"/>
              </w:rPr>
            </w:pPr>
            <w:r w:rsidRPr="00AA23A8">
              <w:rPr>
                <w:rFonts w:ascii="Arial" w:hAnsi="Arial" w:cs="Arial"/>
                <w:b/>
                <w:bCs/>
                <w:sz w:val="16"/>
                <w:szCs w:val="16"/>
              </w:rPr>
              <w:t>1,220</w:t>
            </w:r>
          </w:p>
        </w:tc>
        <w:tc>
          <w:tcPr>
            <w:tcW w:w="615" w:type="pct"/>
            <w:tcBorders>
              <w:top w:val="single" w:sz="2" w:space="0" w:color="000000" w:themeColor="text1"/>
              <w:left w:val="nil"/>
              <w:bottom w:val="single" w:sz="2" w:space="0" w:color="000000" w:themeColor="text1"/>
              <w:right w:val="nil"/>
            </w:tcBorders>
            <w:vAlign w:val="center"/>
          </w:tcPr>
          <w:p w14:paraId="6F4EEF5C" w14:textId="77777777" w:rsidR="00AA23A8" w:rsidRPr="00AA23A8" w:rsidRDefault="00AA23A8" w:rsidP="00F16FDC">
            <w:pPr>
              <w:spacing w:after="0" w:line="240" w:lineRule="auto"/>
              <w:jc w:val="right"/>
              <w:rPr>
                <w:rFonts w:ascii="Arial" w:hAnsi="Arial" w:cs="Arial"/>
                <w:b/>
                <w:bCs/>
                <w:sz w:val="16"/>
                <w:szCs w:val="16"/>
              </w:rPr>
            </w:pPr>
            <w:r w:rsidRPr="00AA23A8">
              <w:rPr>
                <w:rFonts w:ascii="Arial" w:hAnsi="Arial" w:cs="Arial"/>
                <w:b/>
                <w:bCs/>
                <w:sz w:val="16"/>
                <w:szCs w:val="16"/>
              </w:rPr>
              <w:t>1,220</w:t>
            </w:r>
          </w:p>
        </w:tc>
        <w:tc>
          <w:tcPr>
            <w:tcW w:w="671" w:type="pct"/>
            <w:tcBorders>
              <w:top w:val="single" w:sz="2" w:space="0" w:color="000000" w:themeColor="text1"/>
              <w:left w:val="nil"/>
              <w:bottom w:val="single" w:sz="2" w:space="0" w:color="000000" w:themeColor="text1"/>
              <w:right w:val="nil"/>
            </w:tcBorders>
            <w:vAlign w:val="center"/>
          </w:tcPr>
          <w:p w14:paraId="42419E93" w14:textId="77777777" w:rsidR="00AA23A8" w:rsidRPr="00AA23A8" w:rsidRDefault="00AA23A8" w:rsidP="00F16FDC">
            <w:pPr>
              <w:spacing w:after="0" w:line="240" w:lineRule="auto"/>
              <w:jc w:val="right"/>
              <w:rPr>
                <w:rFonts w:ascii="Arial" w:hAnsi="Arial" w:cs="Arial"/>
                <w:b/>
                <w:bCs/>
                <w:sz w:val="16"/>
                <w:szCs w:val="16"/>
              </w:rPr>
            </w:pPr>
            <w:r w:rsidRPr="00AA23A8">
              <w:rPr>
                <w:rFonts w:ascii="Arial" w:hAnsi="Arial" w:cs="Arial"/>
                <w:b/>
                <w:bCs/>
                <w:sz w:val="16"/>
                <w:szCs w:val="16"/>
              </w:rPr>
              <w:t>100.0</w:t>
            </w:r>
          </w:p>
        </w:tc>
        <w:tc>
          <w:tcPr>
            <w:tcW w:w="615" w:type="pct"/>
            <w:tcBorders>
              <w:top w:val="single" w:sz="2" w:space="0" w:color="000000" w:themeColor="text1"/>
              <w:left w:val="nil"/>
              <w:bottom w:val="single" w:sz="2" w:space="0" w:color="000000" w:themeColor="text1"/>
              <w:right w:val="nil"/>
            </w:tcBorders>
            <w:shd w:val="clear" w:color="000000" w:fill="F2F2F2"/>
            <w:vAlign w:val="center"/>
            <w:hideMark/>
          </w:tcPr>
          <w:p w14:paraId="6A6D3482" w14:textId="77777777" w:rsidR="00AA23A8" w:rsidRPr="00AA23A8" w:rsidRDefault="004D2DD7" w:rsidP="0004769B">
            <w:pPr>
              <w:spacing w:after="0" w:line="240" w:lineRule="auto"/>
              <w:jc w:val="right"/>
              <w:rPr>
                <w:rFonts w:ascii="Arial" w:hAnsi="Arial" w:cs="Arial"/>
                <w:b/>
                <w:bCs/>
                <w:sz w:val="16"/>
                <w:szCs w:val="16"/>
              </w:rPr>
            </w:pPr>
            <w:r>
              <w:rPr>
                <w:rFonts w:ascii="Arial" w:hAnsi="Arial" w:cs="Arial"/>
                <w:b/>
                <w:bCs/>
                <w:sz w:val="16"/>
                <w:szCs w:val="16"/>
              </w:rPr>
              <w:t>746</w:t>
            </w:r>
          </w:p>
        </w:tc>
        <w:tc>
          <w:tcPr>
            <w:tcW w:w="671" w:type="pct"/>
            <w:tcBorders>
              <w:top w:val="single" w:sz="2" w:space="0" w:color="000000" w:themeColor="text1"/>
              <w:left w:val="nil"/>
              <w:bottom w:val="single" w:sz="2" w:space="0" w:color="000000" w:themeColor="text1"/>
              <w:right w:val="nil"/>
            </w:tcBorders>
            <w:shd w:val="clear" w:color="000000" w:fill="F2F2F2"/>
            <w:noWrap/>
            <w:vAlign w:val="center"/>
            <w:hideMark/>
          </w:tcPr>
          <w:p w14:paraId="7A844786" w14:textId="77777777" w:rsidR="00AA23A8" w:rsidRPr="00AA23A8" w:rsidRDefault="00AA23A8" w:rsidP="00A922DA">
            <w:pPr>
              <w:spacing w:after="0" w:line="240" w:lineRule="auto"/>
              <w:jc w:val="right"/>
              <w:rPr>
                <w:rFonts w:ascii="Arial" w:hAnsi="Arial" w:cs="Arial"/>
                <w:b/>
                <w:bCs/>
                <w:sz w:val="16"/>
                <w:szCs w:val="16"/>
              </w:rPr>
            </w:pPr>
            <w:r w:rsidRPr="00AA23A8">
              <w:rPr>
                <w:rFonts w:ascii="Arial" w:hAnsi="Arial" w:cs="Arial"/>
                <w:b/>
                <w:bCs/>
                <w:sz w:val="16"/>
                <w:szCs w:val="16"/>
              </w:rPr>
              <w:t>100.0</w:t>
            </w:r>
          </w:p>
        </w:tc>
      </w:tr>
    </w:tbl>
    <w:p w14:paraId="318BBD32" w14:textId="77777777" w:rsidR="00722605" w:rsidRDefault="00722605" w:rsidP="00722605">
      <w:pPr>
        <w:pStyle w:val="Caveat"/>
      </w:pPr>
      <w:r w:rsidRPr="00BF48CD">
        <w:t xml:space="preserve">Before republishing this data or comparing between years, thoroughly review the methodological and data caveats in Appendix B. </w:t>
      </w:r>
    </w:p>
    <w:p w14:paraId="58E5F7F0" w14:textId="77777777" w:rsidR="00722605" w:rsidRDefault="00722605" w:rsidP="009F768E">
      <w:pPr>
        <w:pStyle w:val="ChartorTableFootnote"/>
        <w:numPr>
          <w:ilvl w:val="0"/>
          <w:numId w:val="49"/>
        </w:numPr>
      </w:pPr>
      <w:r>
        <w:t>Data matched includes the vacancy fee</w:t>
      </w:r>
    </w:p>
    <w:p w14:paraId="096584B0" w14:textId="77777777" w:rsidR="00722605" w:rsidRDefault="00722605" w:rsidP="009F768E">
      <w:pPr>
        <w:pStyle w:val="ChartorTableFootnote"/>
      </w:pPr>
      <w:r w:rsidRPr="006A0149">
        <w:t xml:space="preserve">The total number of received cases includes new cases identified in the prior financial year which remained open at the end </w:t>
      </w:r>
      <w:r>
        <w:t>of that financial year. In 201</w:t>
      </w:r>
      <w:r w:rsidR="00EF28E3">
        <w:t>9</w:t>
      </w:r>
      <w:r w:rsidR="000207A1">
        <w:t>–</w:t>
      </w:r>
      <w:r w:rsidR="00EF28E3">
        <w:t>20</w:t>
      </w:r>
      <w:r w:rsidRPr="006A0149">
        <w:t xml:space="preserve"> there were </w:t>
      </w:r>
      <w:r w:rsidR="00EF28E3">
        <w:t>152</w:t>
      </w:r>
      <w:r w:rsidRPr="006A0149">
        <w:t xml:space="preserve"> cases carried forward from 201</w:t>
      </w:r>
      <w:r w:rsidR="00EF28E3">
        <w:t>8</w:t>
      </w:r>
      <w:r w:rsidR="000207A1">
        <w:t>–</w:t>
      </w:r>
      <w:r w:rsidRPr="006A0149">
        <w:t>1</w:t>
      </w:r>
      <w:r w:rsidR="00EF28E3">
        <w:t>9</w:t>
      </w:r>
      <w:r w:rsidRPr="006A0149">
        <w:t xml:space="preserve"> year.</w:t>
      </w:r>
      <w:r>
        <w:t xml:space="preserve"> </w:t>
      </w:r>
    </w:p>
    <w:p w14:paraId="16A006E4" w14:textId="77777777" w:rsidR="006855BC" w:rsidRPr="00BC2CDA" w:rsidRDefault="006855BC" w:rsidP="00F16FDC">
      <w:pPr>
        <w:pStyle w:val="SingleParagraph"/>
        <w:rPr>
          <w:highlight w:val="yellow"/>
        </w:rPr>
      </w:pPr>
    </w:p>
    <w:p w14:paraId="14352017" w14:textId="77777777" w:rsidR="00F16F40" w:rsidRPr="00FF57BB" w:rsidRDefault="0013647B" w:rsidP="0004769B">
      <w:r w:rsidRPr="00FF57BB">
        <w:t xml:space="preserve">Since 2015, the ATO has continued to increase its </w:t>
      </w:r>
      <w:r w:rsidR="00A84283" w:rsidRPr="00FF57BB">
        <w:t xml:space="preserve">data matching </w:t>
      </w:r>
      <w:r w:rsidRPr="00FF57BB">
        <w:t xml:space="preserve">capacity and </w:t>
      </w:r>
      <w:r w:rsidR="00E00B63" w:rsidRPr="00FF57BB">
        <w:t xml:space="preserve">use of </w:t>
      </w:r>
      <w:r w:rsidRPr="00FF57BB">
        <w:t xml:space="preserve">data from </w:t>
      </w:r>
      <w:r w:rsidR="001E363B">
        <w:t>a variety of different sources</w:t>
      </w:r>
      <w:r w:rsidR="001E363B" w:rsidRPr="001E363B">
        <w:t xml:space="preserve"> </w:t>
      </w:r>
      <w:r w:rsidR="001E363B">
        <w:t xml:space="preserve">related to </w:t>
      </w:r>
      <w:r w:rsidR="001E363B" w:rsidRPr="00FF57BB">
        <w:t>foreign investors in the residential real estate sector</w:t>
      </w:r>
      <w:r w:rsidR="001E363B">
        <w:t xml:space="preserve">. These include </w:t>
      </w:r>
      <w:r w:rsidR="00E00B63" w:rsidRPr="00FF57BB">
        <w:t xml:space="preserve">state and territory </w:t>
      </w:r>
      <w:r w:rsidRPr="00FF57BB">
        <w:t>land title records, immigration</w:t>
      </w:r>
      <w:r w:rsidR="001E363B">
        <w:t xml:space="preserve"> records</w:t>
      </w:r>
      <w:r w:rsidRPr="00FF57BB">
        <w:t>,</w:t>
      </w:r>
      <w:r w:rsidR="001E363B">
        <w:t xml:space="preserve"> and data from the </w:t>
      </w:r>
      <w:r w:rsidRPr="00FF57BB">
        <w:t xml:space="preserve">Australian </w:t>
      </w:r>
      <w:r w:rsidR="001E363B">
        <w:t>Securities</w:t>
      </w:r>
      <w:r w:rsidR="00903461">
        <w:t xml:space="preserve"> </w:t>
      </w:r>
      <w:r w:rsidR="005E265A">
        <w:t>and</w:t>
      </w:r>
      <w:r w:rsidRPr="00FF57BB">
        <w:t xml:space="preserve"> Investments Commission and AUSTRAC</w:t>
      </w:r>
      <w:r w:rsidR="001E363B">
        <w:t xml:space="preserve">. These sources have assisted in </w:t>
      </w:r>
      <w:r w:rsidRPr="00FF57BB">
        <w:t>develop</w:t>
      </w:r>
      <w:r w:rsidR="001E363B">
        <w:t xml:space="preserve">ing </w:t>
      </w:r>
      <w:r w:rsidRPr="00FF57BB">
        <w:t>sophisticated detection methods for breaches of the foreign investment rules.</w:t>
      </w:r>
    </w:p>
    <w:p w14:paraId="551CBBDD" w14:textId="77777777" w:rsidR="00A84283" w:rsidRPr="00FF57BB" w:rsidRDefault="001E363B" w:rsidP="00A922DA">
      <w:r>
        <w:t>In the reporting period, d</w:t>
      </w:r>
      <w:r w:rsidR="00FF57BB" w:rsidRPr="00FF57BB">
        <w:t xml:space="preserve">ata matching made up </w:t>
      </w:r>
      <w:r w:rsidR="00FF57BB" w:rsidRPr="00581E02">
        <w:t>8</w:t>
      </w:r>
      <w:r w:rsidR="00A84283" w:rsidRPr="00581E02">
        <w:t>7</w:t>
      </w:r>
      <w:r w:rsidR="00E15832" w:rsidRPr="00FF57BB">
        <w:t> per </w:t>
      </w:r>
      <w:r w:rsidR="00FF57BB" w:rsidRPr="00FF57BB">
        <w:t>cent of the 6</w:t>
      </w:r>
      <w:r w:rsidR="00A84283" w:rsidRPr="00FF57BB">
        <w:t>20</w:t>
      </w:r>
      <w:r w:rsidR="00F15251">
        <w:t> </w:t>
      </w:r>
      <w:r w:rsidR="00A84283" w:rsidRPr="00FF57BB">
        <w:t>cases identified for investigation. Although information received from the community is a source of intelligence for the ATO, only a small proportion of investigations arising from community information actually involved a breach of the Act. In most cases, the owners of the properties reported by community members were found to be Australian citizens or permanent residents and were therefore exempt from the Act.</w:t>
      </w:r>
    </w:p>
    <w:p w14:paraId="4A5FFF40" w14:textId="7D49CF45" w:rsidR="00C774A3" w:rsidRPr="004D2DD7" w:rsidRDefault="00D73478" w:rsidP="00F04F0E">
      <w:pPr>
        <w:pStyle w:val="TableMainHeading"/>
      </w:pPr>
      <w:bookmarkStart w:id="211" w:name="_Toc32247783"/>
      <w:bookmarkStart w:id="212" w:name="_Toc63798294"/>
      <w:bookmarkStart w:id="213" w:name="_Toc73984752"/>
      <w:r w:rsidRPr="004D2DD7">
        <w:t>Table 4.</w:t>
      </w:r>
      <w:r w:rsidR="007323E2">
        <w:t>4</w:t>
      </w:r>
      <w:r w:rsidRPr="004D2DD7">
        <w:t>: Outcomes of completed residential real estate investigations by source</w:t>
      </w:r>
      <w:r w:rsidR="00B748BF" w:rsidRPr="004D2DD7">
        <w:t xml:space="preserve"> in 2017</w:t>
      </w:r>
      <w:r w:rsidR="000207A1">
        <w:t>–</w:t>
      </w:r>
      <w:r w:rsidR="00B748BF" w:rsidRPr="004D2DD7">
        <w:t xml:space="preserve">18 </w:t>
      </w:r>
      <w:r w:rsidR="001A3116">
        <w:t>to</w:t>
      </w:r>
      <w:r w:rsidR="00B748BF" w:rsidRPr="004D2DD7">
        <w:t xml:space="preserve"> 201</w:t>
      </w:r>
      <w:r w:rsidR="004D2DD7" w:rsidRPr="004D2DD7">
        <w:t>9</w:t>
      </w:r>
      <w:r w:rsidR="000207A1">
        <w:t>–</w:t>
      </w:r>
      <w:r w:rsidR="004D2DD7" w:rsidRPr="004D2DD7">
        <w:t>20</w:t>
      </w:r>
      <w:bookmarkEnd w:id="211"/>
      <w:bookmarkEnd w:id="212"/>
      <w:bookmarkEnd w:id="213"/>
    </w:p>
    <w:tbl>
      <w:tblPr>
        <w:tblW w:w="5000" w:type="pct"/>
        <w:tblCellMar>
          <w:left w:w="0" w:type="dxa"/>
          <w:right w:w="28" w:type="dxa"/>
        </w:tblCellMar>
        <w:tblLook w:val="04A0" w:firstRow="1" w:lastRow="0" w:firstColumn="1" w:lastColumn="0" w:noHBand="0" w:noVBand="1"/>
      </w:tblPr>
      <w:tblGrid>
        <w:gridCol w:w="1673"/>
        <w:gridCol w:w="1127"/>
        <w:gridCol w:w="809"/>
        <w:gridCol w:w="1156"/>
        <w:gridCol w:w="908"/>
        <w:gridCol w:w="1131"/>
        <w:gridCol w:w="906"/>
      </w:tblGrid>
      <w:tr w:rsidR="00B42E15" w:rsidRPr="00B42E15" w14:paraId="6E409580" w14:textId="77777777" w:rsidTr="009F768E">
        <w:trPr>
          <w:trHeight w:val="227"/>
        </w:trPr>
        <w:tc>
          <w:tcPr>
            <w:tcW w:w="857" w:type="pct"/>
            <w:tcBorders>
              <w:top w:val="single" w:sz="2" w:space="0" w:color="000000" w:themeColor="text1"/>
              <w:left w:val="nil"/>
            </w:tcBorders>
            <w:shd w:val="clear" w:color="auto" w:fill="auto"/>
            <w:noWrap/>
            <w:vAlign w:val="center"/>
            <w:hideMark/>
          </w:tcPr>
          <w:p w14:paraId="5FD01EA7" w14:textId="77777777" w:rsidR="004D2DD7" w:rsidRPr="00B42E15" w:rsidRDefault="004D2DD7" w:rsidP="00F877EE">
            <w:pPr>
              <w:spacing w:after="0" w:line="240" w:lineRule="auto"/>
              <w:jc w:val="left"/>
              <w:rPr>
                <w:rFonts w:ascii="Arial" w:hAnsi="Arial" w:cs="Arial"/>
                <w:sz w:val="16"/>
                <w:szCs w:val="16"/>
              </w:rPr>
            </w:pPr>
          </w:p>
        </w:tc>
        <w:tc>
          <w:tcPr>
            <w:tcW w:w="1332" w:type="pct"/>
            <w:gridSpan w:val="2"/>
            <w:tcBorders>
              <w:top w:val="single" w:sz="2" w:space="0" w:color="000000" w:themeColor="text1"/>
            </w:tcBorders>
            <w:shd w:val="clear" w:color="auto" w:fill="auto"/>
            <w:noWrap/>
            <w:vAlign w:val="center"/>
            <w:hideMark/>
          </w:tcPr>
          <w:p w14:paraId="4E34D5CB"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2017</w:t>
            </w:r>
            <w:r w:rsidR="000207A1">
              <w:rPr>
                <w:rFonts w:ascii="Arial" w:hAnsi="Arial" w:cs="Arial"/>
                <w:sz w:val="16"/>
                <w:szCs w:val="16"/>
              </w:rPr>
              <w:t>–</w:t>
            </w:r>
            <w:r w:rsidRPr="00B42E15">
              <w:rPr>
                <w:rFonts w:ascii="Arial" w:hAnsi="Arial" w:cs="Arial"/>
                <w:sz w:val="16"/>
                <w:szCs w:val="16"/>
              </w:rPr>
              <w:t>18</w:t>
            </w:r>
          </w:p>
        </w:tc>
        <w:tc>
          <w:tcPr>
            <w:tcW w:w="1415" w:type="pct"/>
            <w:gridSpan w:val="2"/>
            <w:tcBorders>
              <w:top w:val="single" w:sz="2" w:space="0" w:color="000000" w:themeColor="text1"/>
            </w:tcBorders>
            <w:shd w:val="clear" w:color="auto" w:fill="auto"/>
            <w:noWrap/>
            <w:vAlign w:val="center"/>
            <w:hideMark/>
          </w:tcPr>
          <w:p w14:paraId="5BFAA084"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2018</w:t>
            </w:r>
            <w:r w:rsidR="000207A1">
              <w:rPr>
                <w:rFonts w:ascii="Arial" w:hAnsi="Arial" w:cs="Arial"/>
                <w:sz w:val="16"/>
                <w:szCs w:val="16"/>
              </w:rPr>
              <w:t>–</w:t>
            </w:r>
            <w:r w:rsidRPr="00B42E15">
              <w:rPr>
                <w:rFonts w:ascii="Arial" w:hAnsi="Arial" w:cs="Arial"/>
                <w:sz w:val="16"/>
                <w:szCs w:val="16"/>
              </w:rPr>
              <w:t>19</w:t>
            </w:r>
          </w:p>
        </w:tc>
        <w:tc>
          <w:tcPr>
            <w:tcW w:w="1396" w:type="pct"/>
            <w:gridSpan w:val="2"/>
            <w:tcBorders>
              <w:top w:val="single" w:sz="2" w:space="0" w:color="000000" w:themeColor="text1"/>
            </w:tcBorders>
            <w:shd w:val="clear" w:color="000000" w:fill="F2F2F2"/>
            <w:vAlign w:val="center"/>
          </w:tcPr>
          <w:p w14:paraId="38ECC4A4" w14:textId="77777777" w:rsidR="004D2DD7" w:rsidRPr="00B42E15" w:rsidRDefault="00FF57BB" w:rsidP="00F877EE">
            <w:pPr>
              <w:spacing w:after="0" w:line="240" w:lineRule="auto"/>
              <w:jc w:val="right"/>
              <w:rPr>
                <w:rFonts w:ascii="Arial" w:hAnsi="Arial" w:cs="Arial"/>
                <w:sz w:val="16"/>
                <w:szCs w:val="16"/>
              </w:rPr>
            </w:pPr>
            <w:r w:rsidRPr="00B42E15">
              <w:rPr>
                <w:rFonts w:ascii="Arial" w:hAnsi="Arial" w:cs="Arial"/>
                <w:sz w:val="16"/>
                <w:szCs w:val="16"/>
              </w:rPr>
              <w:t>2019</w:t>
            </w:r>
            <w:r w:rsidR="000207A1">
              <w:rPr>
                <w:rFonts w:ascii="Arial" w:hAnsi="Arial" w:cs="Arial"/>
                <w:sz w:val="16"/>
                <w:szCs w:val="16"/>
              </w:rPr>
              <w:t>–</w:t>
            </w:r>
            <w:r w:rsidRPr="00B42E15">
              <w:rPr>
                <w:rFonts w:ascii="Arial" w:hAnsi="Arial" w:cs="Arial"/>
                <w:sz w:val="16"/>
                <w:szCs w:val="16"/>
              </w:rPr>
              <w:t>20</w:t>
            </w:r>
          </w:p>
        </w:tc>
      </w:tr>
      <w:tr w:rsidR="00B42E15" w:rsidRPr="00B42E15" w14:paraId="3CC3E738" w14:textId="77777777" w:rsidTr="009F768E">
        <w:trPr>
          <w:trHeight w:val="227"/>
        </w:trPr>
        <w:tc>
          <w:tcPr>
            <w:tcW w:w="857" w:type="pct"/>
            <w:shd w:val="clear" w:color="auto" w:fill="auto"/>
            <w:noWrap/>
            <w:vAlign w:val="center"/>
            <w:hideMark/>
          </w:tcPr>
          <w:p w14:paraId="3EB44C1B" w14:textId="77777777" w:rsidR="00AA23A8" w:rsidRPr="00B42E15" w:rsidRDefault="00AA23A8" w:rsidP="00F877EE">
            <w:pPr>
              <w:spacing w:after="0" w:line="240" w:lineRule="auto"/>
              <w:jc w:val="left"/>
              <w:rPr>
                <w:rFonts w:ascii="Arial" w:hAnsi="Arial" w:cs="Arial"/>
                <w:sz w:val="16"/>
                <w:szCs w:val="16"/>
              </w:rPr>
            </w:pPr>
            <w:r w:rsidRPr="00B42E15">
              <w:rPr>
                <w:rFonts w:ascii="Arial" w:hAnsi="Arial" w:cs="Arial"/>
                <w:sz w:val="16"/>
                <w:szCs w:val="16"/>
              </w:rPr>
              <w:t>Source</w:t>
            </w:r>
          </w:p>
        </w:tc>
        <w:tc>
          <w:tcPr>
            <w:tcW w:w="769" w:type="pct"/>
            <w:tcBorders>
              <w:bottom w:val="single" w:sz="2" w:space="0" w:color="000000" w:themeColor="text1"/>
            </w:tcBorders>
            <w:shd w:val="clear" w:color="auto" w:fill="auto"/>
            <w:vAlign w:val="bottom"/>
            <w:hideMark/>
          </w:tcPr>
          <w:p w14:paraId="25D88459" w14:textId="77777777" w:rsidR="00AA23A8" w:rsidRPr="00B42E15" w:rsidRDefault="00AA23A8" w:rsidP="00F877EE">
            <w:pPr>
              <w:spacing w:after="0" w:line="240" w:lineRule="auto"/>
              <w:jc w:val="right"/>
              <w:rPr>
                <w:rFonts w:ascii="Arial" w:hAnsi="Arial" w:cs="Arial"/>
                <w:sz w:val="16"/>
                <w:szCs w:val="16"/>
              </w:rPr>
            </w:pPr>
            <w:r w:rsidRPr="00B42E15">
              <w:rPr>
                <w:rFonts w:ascii="Arial" w:hAnsi="Arial" w:cs="Arial"/>
                <w:sz w:val="16"/>
                <w:szCs w:val="16"/>
              </w:rPr>
              <w:t>No. of completed investigations</w:t>
            </w:r>
          </w:p>
        </w:tc>
        <w:tc>
          <w:tcPr>
            <w:tcW w:w="563" w:type="pct"/>
            <w:tcBorders>
              <w:bottom w:val="single" w:sz="2" w:space="0" w:color="000000" w:themeColor="text1"/>
            </w:tcBorders>
            <w:shd w:val="clear" w:color="auto" w:fill="auto"/>
            <w:vAlign w:val="bottom"/>
            <w:hideMark/>
          </w:tcPr>
          <w:p w14:paraId="7E5A0A51" w14:textId="77777777" w:rsidR="00AA23A8" w:rsidRPr="00B42E15" w:rsidRDefault="00AA23A8" w:rsidP="00F877EE">
            <w:pPr>
              <w:spacing w:after="0" w:line="240" w:lineRule="auto"/>
              <w:jc w:val="right"/>
              <w:rPr>
                <w:rFonts w:ascii="Arial" w:hAnsi="Arial" w:cs="Arial"/>
                <w:sz w:val="16"/>
                <w:szCs w:val="16"/>
              </w:rPr>
            </w:pPr>
            <w:r w:rsidRPr="00B42E15">
              <w:rPr>
                <w:rFonts w:ascii="Arial" w:hAnsi="Arial" w:cs="Arial"/>
                <w:sz w:val="16"/>
                <w:szCs w:val="16"/>
              </w:rPr>
              <w:t>No. of breache</w:t>
            </w:r>
            <w:r w:rsidR="00B42E15" w:rsidRPr="00B42E15">
              <w:rPr>
                <w:rFonts w:ascii="Arial" w:hAnsi="Arial" w:cs="Arial"/>
                <w:sz w:val="16"/>
                <w:szCs w:val="16"/>
              </w:rPr>
              <w:t>s</w:t>
            </w:r>
          </w:p>
        </w:tc>
        <w:tc>
          <w:tcPr>
            <w:tcW w:w="788" w:type="pct"/>
            <w:tcBorders>
              <w:bottom w:val="single" w:sz="2" w:space="0" w:color="000000" w:themeColor="text1"/>
            </w:tcBorders>
            <w:vAlign w:val="bottom"/>
          </w:tcPr>
          <w:p w14:paraId="5F4ACA46" w14:textId="77777777" w:rsidR="00AA23A8" w:rsidRPr="00B42E15" w:rsidRDefault="00AA23A8" w:rsidP="00F877EE">
            <w:pPr>
              <w:spacing w:after="0" w:line="240" w:lineRule="auto"/>
              <w:jc w:val="right"/>
              <w:rPr>
                <w:rFonts w:ascii="Arial" w:hAnsi="Arial" w:cs="Arial"/>
                <w:sz w:val="16"/>
                <w:szCs w:val="16"/>
              </w:rPr>
            </w:pPr>
            <w:r w:rsidRPr="00B42E15">
              <w:rPr>
                <w:rFonts w:ascii="Arial" w:hAnsi="Arial" w:cs="Arial"/>
                <w:sz w:val="16"/>
                <w:szCs w:val="16"/>
              </w:rPr>
              <w:t>No. of completed investigations</w:t>
            </w:r>
          </w:p>
        </w:tc>
        <w:tc>
          <w:tcPr>
            <w:tcW w:w="627" w:type="pct"/>
            <w:tcBorders>
              <w:bottom w:val="single" w:sz="2" w:space="0" w:color="000000" w:themeColor="text1"/>
            </w:tcBorders>
            <w:vAlign w:val="bottom"/>
          </w:tcPr>
          <w:p w14:paraId="533EBB37" w14:textId="77777777" w:rsidR="00AA23A8" w:rsidRPr="00B42E15" w:rsidRDefault="00AA23A8" w:rsidP="00F877EE">
            <w:pPr>
              <w:spacing w:after="0" w:line="240" w:lineRule="auto"/>
              <w:jc w:val="right"/>
              <w:rPr>
                <w:rFonts w:ascii="Arial" w:hAnsi="Arial" w:cs="Arial"/>
                <w:sz w:val="16"/>
                <w:szCs w:val="16"/>
              </w:rPr>
            </w:pPr>
            <w:r w:rsidRPr="00B42E15">
              <w:rPr>
                <w:rFonts w:ascii="Arial" w:hAnsi="Arial" w:cs="Arial"/>
                <w:sz w:val="16"/>
                <w:szCs w:val="16"/>
              </w:rPr>
              <w:t>No. of breaches</w:t>
            </w:r>
          </w:p>
        </w:tc>
        <w:tc>
          <w:tcPr>
            <w:tcW w:w="771" w:type="pct"/>
            <w:tcBorders>
              <w:bottom w:val="single" w:sz="2" w:space="0" w:color="000000" w:themeColor="text1"/>
            </w:tcBorders>
            <w:shd w:val="clear" w:color="000000" w:fill="F2F2F2"/>
            <w:vAlign w:val="bottom"/>
            <w:hideMark/>
          </w:tcPr>
          <w:p w14:paraId="28A11A61" w14:textId="77777777" w:rsidR="00AA23A8" w:rsidRPr="00B42E15" w:rsidRDefault="00AA23A8" w:rsidP="00F877EE">
            <w:pPr>
              <w:spacing w:after="0" w:line="240" w:lineRule="auto"/>
              <w:jc w:val="right"/>
              <w:rPr>
                <w:rFonts w:ascii="Arial" w:hAnsi="Arial" w:cs="Arial"/>
                <w:sz w:val="16"/>
                <w:szCs w:val="16"/>
              </w:rPr>
            </w:pPr>
            <w:r w:rsidRPr="00B42E15">
              <w:rPr>
                <w:rFonts w:ascii="Arial" w:hAnsi="Arial" w:cs="Arial"/>
                <w:sz w:val="16"/>
                <w:szCs w:val="16"/>
              </w:rPr>
              <w:t>No. of completed investigations</w:t>
            </w:r>
          </w:p>
        </w:tc>
        <w:tc>
          <w:tcPr>
            <w:tcW w:w="625" w:type="pct"/>
            <w:tcBorders>
              <w:bottom w:val="single" w:sz="2" w:space="0" w:color="000000" w:themeColor="text1"/>
            </w:tcBorders>
            <w:shd w:val="clear" w:color="000000" w:fill="F2F2F2"/>
            <w:vAlign w:val="bottom"/>
            <w:hideMark/>
          </w:tcPr>
          <w:p w14:paraId="477DB635" w14:textId="77777777" w:rsidR="00AA23A8" w:rsidRPr="00B42E15" w:rsidRDefault="00AA23A8" w:rsidP="00F877EE">
            <w:pPr>
              <w:spacing w:after="0" w:line="240" w:lineRule="auto"/>
              <w:jc w:val="right"/>
              <w:rPr>
                <w:rFonts w:ascii="Arial" w:hAnsi="Arial" w:cs="Arial"/>
                <w:sz w:val="16"/>
                <w:szCs w:val="16"/>
              </w:rPr>
            </w:pPr>
            <w:r w:rsidRPr="00B42E15">
              <w:rPr>
                <w:rFonts w:ascii="Arial" w:hAnsi="Arial" w:cs="Arial"/>
                <w:sz w:val="16"/>
                <w:szCs w:val="16"/>
              </w:rPr>
              <w:t>No. of breaches</w:t>
            </w:r>
          </w:p>
        </w:tc>
      </w:tr>
      <w:tr w:rsidR="00B42E15" w:rsidRPr="00B42E15" w14:paraId="6A4A54CA" w14:textId="77777777" w:rsidTr="009F768E">
        <w:trPr>
          <w:trHeight w:val="227"/>
        </w:trPr>
        <w:tc>
          <w:tcPr>
            <w:tcW w:w="857" w:type="pct"/>
            <w:tcBorders>
              <w:left w:val="nil"/>
              <w:bottom w:val="nil"/>
              <w:right w:val="nil"/>
            </w:tcBorders>
            <w:shd w:val="clear" w:color="auto" w:fill="auto"/>
            <w:noWrap/>
            <w:vAlign w:val="center"/>
            <w:hideMark/>
          </w:tcPr>
          <w:p w14:paraId="428A32A0" w14:textId="77777777" w:rsidR="004D2DD7" w:rsidRPr="00B42E15" w:rsidRDefault="004D2DD7" w:rsidP="00F877EE">
            <w:pPr>
              <w:spacing w:after="0" w:line="240" w:lineRule="auto"/>
              <w:jc w:val="left"/>
              <w:rPr>
                <w:rFonts w:ascii="Arial" w:hAnsi="Arial" w:cs="Arial"/>
                <w:sz w:val="16"/>
                <w:szCs w:val="16"/>
              </w:rPr>
            </w:pPr>
            <w:r w:rsidRPr="00B42E15">
              <w:rPr>
                <w:rFonts w:ascii="Arial" w:hAnsi="Arial" w:cs="Arial"/>
                <w:sz w:val="16"/>
                <w:szCs w:val="16"/>
              </w:rPr>
              <w:t>Community information</w:t>
            </w:r>
          </w:p>
        </w:tc>
        <w:tc>
          <w:tcPr>
            <w:tcW w:w="769" w:type="pct"/>
            <w:tcBorders>
              <w:top w:val="single" w:sz="2" w:space="0" w:color="000000" w:themeColor="text1"/>
              <w:left w:val="nil"/>
              <w:bottom w:val="nil"/>
              <w:right w:val="nil"/>
            </w:tcBorders>
            <w:shd w:val="clear" w:color="auto" w:fill="auto"/>
            <w:noWrap/>
            <w:vAlign w:val="center"/>
            <w:hideMark/>
          </w:tcPr>
          <w:p w14:paraId="4AC4F173"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228</w:t>
            </w:r>
          </w:p>
        </w:tc>
        <w:tc>
          <w:tcPr>
            <w:tcW w:w="563" w:type="pct"/>
            <w:tcBorders>
              <w:top w:val="single" w:sz="2" w:space="0" w:color="000000" w:themeColor="text1"/>
              <w:left w:val="nil"/>
              <w:bottom w:val="nil"/>
              <w:right w:val="nil"/>
            </w:tcBorders>
            <w:shd w:val="clear" w:color="auto" w:fill="auto"/>
            <w:noWrap/>
            <w:vAlign w:val="center"/>
            <w:hideMark/>
          </w:tcPr>
          <w:p w14:paraId="006FB401"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37</w:t>
            </w:r>
          </w:p>
        </w:tc>
        <w:tc>
          <w:tcPr>
            <w:tcW w:w="788" w:type="pct"/>
            <w:tcBorders>
              <w:top w:val="single" w:sz="2" w:space="0" w:color="000000" w:themeColor="text1"/>
              <w:left w:val="nil"/>
              <w:bottom w:val="nil"/>
              <w:right w:val="nil"/>
            </w:tcBorders>
            <w:vAlign w:val="center"/>
          </w:tcPr>
          <w:p w14:paraId="58593B11"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86</w:t>
            </w:r>
          </w:p>
        </w:tc>
        <w:tc>
          <w:tcPr>
            <w:tcW w:w="627" w:type="pct"/>
            <w:tcBorders>
              <w:top w:val="single" w:sz="2" w:space="0" w:color="000000" w:themeColor="text1"/>
              <w:left w:val="nil"/>
              <w:bottom w:val="nil"/>
              <w:right w:val="nil"/>
            </w:tcBorders>
            <w:vAlign w:val="center"/>
          </w:tcPr>
          <w:p w14:paraId="723BD790"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12</w:t>
            </w:r>
          </w:p>
        </w:tc>
        <w:tc>
          <w:tcPr>
            <w:tcW w:w="771" w:type="pct"/>
            <w:tcBorders>
              <w:top w:val="single" w:sz="2" w:space="0" w:color="000000" w:themeColor="text1"/>
              <w:left w:val="nil"/>
              <w:bottom w:val="nil"/>
              <w:right w:val="nil"/>
            </w:tcBorders>
            <w:shd w:val="clear" w:color="000000" w:fill="F2F2F2"/>
            <w:noWrap/>
            <w:vAlign w:val="center"/>
            <w:hideMark/>
          </w:tcPr>
          <w:p w14:paraId="7CC99330"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18</w:t>
            </w:r>
          </w:p>
        </w:tc>
        <w:tc>
          <w:tcPr>
            <w:tcW w:w="625" w:type="pct"/>
            <w:tcBorders>
              <w:top w:val="single" w:sz="2" w:space="0" w:color="000000" w:themeColor="text1"/>
              <w:left w:val="nil"/>
              <w:bottom w:val="nil"/>
              <w:right w:val="nil"/>
            </w:tcBorders>
            <w:shd w:val="clear" w:color="000000" w:fill="F2F2F2"/>
            <w:noWrap/>
            <w:vAlign w:val="center"/>
            <w:hideMark/>
          </w:tcPr>
          <w:p w14:paraId="5C209D95"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2</w:t>
            </w:r>
          </w:p>
        </w:tc>
      </w:tr>
      <w:tr w:rsidR="00B42E15" w:rsidRPr="00B42E15" w14:paraId="6D0A2A21" w14:textId="77777777" w:rsidTr="009F768E">
        <w:trPr>
          <w:trHeight w:val="227"/>
        </w:trPr>
        <w:tc>
          <w:tcPr>
            <w:tcW w:w="857" w:type="pct"/>
            <w:tcBorders>
              <w:top w:val="nil"/>
              <w:left w:val="nil"/>
              <w:bottom w:val="nil"/>
              <w:right w:val="nil"/>
            </w:tcBorders>
            <w:shd w:val="clear" w:color="auto" w:fill="auto"/>
            <w:noWrap/>
            <w:vAlign w:val="center"/>
            <w:hideMark/>
          </w:tcPr>
          <w:p w14:paraId="40A3A64B" w14:textId="77777777" w:rsidR="004D2DD7" w:rsidRPr="00B42E15" w:rsidRDefault="004D2DD7" w:rsidP="00F877EE">
            <w:pPr>
              <w:spacing w:after="0" w:line="240" w:lineRule="auto"/>
              <w:jc w:val="left"/>
              <w:rPr>
                <w:rFonts w:ascii="Arial" w:hAnsi="Arial" w:cs="Arial"/>
                <w:sz w:val="16"/>
                <w:szCs w:val="16"/>
              </w:rPr>
            </w:pPr>
            <w:r w:rsidRPr="00B42E15">
              <w:rPr>
                <w:rFonts w:ascii="Arial" w:hAnsi="Arial" w:cs="Arial"/>
                <w:sz w:val="16"/>
                <w:szCs w:val="16"/>
              </w:rPr>
              <w:t>Data matching</w:t>
            </w:r>
          </w:p>
        </w:tc>
        <w:tc>
          <w:tcPr>
            <w:tcW w:w="769" w:type="pct"/>
            <w:tcBorders>
              <w:top w:val="nil"/>
              <w:left w:val="nil"/>
              <w:bottom w:val="nil"/>
              <w:right w:val="nil"/>
            </w:tcBorders>
            <w:shd w:val="clear" w:color="auto" w:fill="auto"/>
            <w:noWrap/>
            <w:vAlign w:val="center"/>
            <w:hideMark/>
          </w:tcPr>
          <w:p w14:paraId="612F6E13"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866</w:t>
            </w:r>
          </w:p>
        </w:tc>
        <w:tc>
          <w:tcPr>
            <w:tcW w:w="563" w:type="pct"/>
            <w:tcBorders>
              <w:top w:val="nil"/>
              <w:left w:val="nil"/>
              <w:bottom w:val="nil"/>
              <w:right w:val="nil"/>
            </w:tcBorders>
            <w:shd w:val="clear" w:color="auto" w:fill="auto"/>
            <w:noWrap/>
            <w:vAlign w:val="center"/>
            <w:hideMark/>
          </w:tcPr>
          <w:p w14:paraId="739EBF24"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370</w:t>
            </w:r>
          </w:p>
        </w:tc>
        <w:tc>
          <w:tcPr>
            <w:tcW w:w="788" w:type="pct"/>
            <w:tcBorders>
              <w:top w:val="nil"/>
              <w:left w:val="nil"/>
              <w:bottom w:val="nil"/>
              <w:right w:val="nil"/>
            </w:tcBorders>
            <w:vAlign w:val="center"/>
          </w:tcPr>
          <w:p w14:paraId="2C17CC07"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810</w:t>
            </w:r>
          </w:p>
        </w:tc>
        <w:tc>
          <w:tcPr>
            <w:tcW w:w="627" w:type="pct"/>
            <w:tcBorders>
              <w:top w:val="nil"/>
              <w:left w:val="nil"/>
              <w:bottom w:val="nil"/>
              <w:right w:val="nil"/>
            </w:tcBorders>
            <w:vAlign w:val="center"/>
          </w:tcPr>
          <w:p w14:paraId="27FAFD70"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484</w:t>
            </w:r>
          </w:p>
        </w:tc>
        <w:tc>
          <w:tcPr>
            <w:tcW w:w="771" w:type="pct"/>
            <w:tcBorders>
              <w:top w:val="nil"/>
              <w:left w:val="nil"/>
              <w:bottom w:val="nil"/>
              <w:right w:val="nil"/>
            </w:tcBorders>
            <w:shd w:val="clear" w:color="000000" w:fill="F2F2F2"/>
            <w:noWrap/>
            <w:vAlign w:val="center"/>
            <w:hideMark/>
          </w:tcPr>
          <w:p w14:paraId="62D983CF"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537</w:t>
            </w:r>
          </w:p>
        </w:tc>
        <w:tc>
          <w:tcPr>
            <w:tcW w:w="625" w:type="pct"/>
            <w:tcBorders>
              <w:top w:val="nil"/>
              <w:left w:val="nil"/>
              <w:bottom w:val="nil"/>
              <w:right w:val="nil"/>
            </w:tcBorders>
            <w:shd w:val="clear" w:color="000000" w:fill="F2F2F2"/>
            <w:noWrap/>
            <w:vAlign w:val="center"/>
            <w:hideMark/>
          </w:tcPr>
          <w:p w14:paraId="4DA27909"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236</w:t>
            </w:r>
          </w:p>
        </w:tc>
      </w:tr>
      <w:tr w:rsidR="00B42E15" w:rsidRPr="00B42E15" w14:paraId="75E29ABA" w14:textId="77777777" w:rsidTr="009F768E">
        <w:trPr>
          <w:trHeight w:val="227"/>
        </w:trPr>
        <w:tc>
          <w:tcPr>
            <w:tcW w:w="857" w:type="pct"/>
            <w:tcBorders>
              <w:top w:val="nil"/>
              <w:left w:val="nil"/>
              <w:bottom w:val="nil"/>
              <w:right w:val="nil"/>
            </w:tcBorders>
            <w:shd w:val="clear" w:color="auto" w:fill="auto"/>
            <w:noWrap/>
            <w:vAlign w:val="center"/>
            <w:hideMark/>
          </w:tcPr>
          <w:p w14:paraId="39FF285A" w14:textId="339E032D" w:rsidR="004D2DD7" w:rsidRPr="00B42E15" w:rsidRDefault="00CC2B9A" w:rsidP="00F877EE">
            <w:pPr>
              <w:spacing w:after="0" w:line="240" w:lineRule="auto"/>
              <w:jc w:val="left"/>
              <w:rPr>
                <w:rFonts w:ascii="Arial" w:hAnsi="Arial" w:cs="Arial"/>
                <w:sz w:val="16"/>
                <w:szCs w:val="16"/>
              </w:rPr>
            </w:pPr>
            <w:r>
              <w:rPr>
                <w:rFonts w:ascii="Arial" w:hAnsi="Arial" w:cs="Arial"/>
                <w:sz w:val="16"/>
                <w:szCs w:val="16"/>
              </w:rPr>
              <w:t>Self</w:t>
            </w:r>
            <w:r w:rsidR="00BD4D19">
              <w:rPr>
                <w:rFonts w:ascii="Arial" w:hAnsi="Arial" w:cs="Arial"/>
                <w:sz w:val="16"/>
                <w:szCs w:val="16"/>
              </w:rPr>
              <w:noBreakHyphen/>
            </w:r>
            <w:r w:rsidR="004D2DD7" w:rsidRPr="00B42E15">
              <w:rPr>
                <w:rFonts w:ascii="Arial" w:hAnsi="Arial" w:cs="Arial"/>
                <w:sz w:val="16"/>
                <w:szCs w:val="16"/>
              </w:rPr>
              <w:t>disclosure</w:t>
            </w:r>
          </w:p>
        </w:tc>
        <w:tc>
          <w:tcPr>
            <w:tcW w:w="769" w:type="pct"/>
            <w:tcBorders>
              <w:top w:val="nil"/>
              <w:left w:val="nil"/>
              <w:bottom w:val="nil"/>
              <w:right w:val="nil"/>
            </w:tcBorders>
            <w:shd w:val="clear" w:color="auto" w:fill="auto"/>
            <w:noWrap/>
            <w:vAlign w:val="center"/>
            <w:hideMark/>
          </w:tcPr>
          <w:p w14:paraId="0CBBE1FC"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249</w:t>
            </w:r>
          </w:p>
        </w:tc>
        <w:tc>
          <w:tcPr>
            <w:tcW w:w="563" w:type="pct"/>
            <w:tcBorders>
              <w:top w:val="nil"/>
              <w:left w:val="nil"/>
              <w:bottom w:val="nil"/>
              <w:right w:val="nil"/>
            </w:tcBorders>
            <w:shd w:val="clear" w:color="auto" w:fill="auto"/>
            <w:noWrap/>
            <w:vAlign w:val="center"/>
            <w:hideMark/>
          </w:tcPr>
          <w:p w14:paraId="1ED9397F"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175</w:t>
            </w:r>
          </w:p>
        </w:tc>
        <w:tc>
          <w:tcPr>
            <w:tcW w:w="788" w:type="pct"/>
            <w:tcBorders>
              <w:top w:val="nil"/>
              <w:left w:val="nil"/>
              <w:bottom w:val="nil"/>
              <w:right w:val="nil"/>
            </w:tcBorders>
            <w:vAlign w:val="center"/>
          </w:tcPr>
          <w:p w14:paraId="0E7F726A"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103</w:t>
            </w:r>
          </w:p>
        </w:tc>
        <w:tc>
          <w:tcPr>
            <w:tcW w:w="627" w:type="pct"/>
            <w:tcBorders>
              <w:top w:val="nil"/>
              <w:left w:val="nil"/>
              <w:bottom w:val="nil"/>
              <w:right w:val="nil"/>
            </w:tcBorders>
            <w:vAlign w:val="center"/>
          </w:tcPr>
          <w:p w14:paraId="4A55059A"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76</w:t>
            </w:r>
          </w:p>
        </w:tc>
        <w:tc>
          <w:tcPr>
            <w:tcW w:w="771" w:type="pct"/>
            <w:tcBorders>
              <w:top w:val="nil"/>
              <w:left w:val="nil"/>
              <w:bottom w:val="nil"/>
              <w:right w:val="nil"/>
            </w:tcBorders>
            <w:shd w:val="clear" w:color="000000" w:fill="F2F2F2"/>
            <w:noWrap/>
            <w:vAlign w:val="center"/>
            <w:hideMark/>
          </w:tcPr>
          <w:p w14:paraId="3AC4CE85"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21</w:t>
            </w:r>
          </w:p>
        </w:tc>
        <w:tc>
          <w:tcPr>
            <w:tcW w:w="625" w:type="pct"/>
            <w:tcBorders>
              <w:top w:val="nil"/>
              <w:left w:val="nil"/>
              <w:bottom w:val="nil"/>
              <w:right w:val="nil"/>
            </w:tcBorders>
            <w:shd w:val="clear" w:color="000000" w:fill="F2F2F2"/>
            <w:noWrap/>
            <w:vAlign w:val="center"/>
            <w:hideMark/>
          </w:tcPr>
          <w:p w14:paraId="2B339B89"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8</w:t>
            </w:r>
          </w:p>
        </w:tc>
      </w:tr>
      <w:tr w:rsidR="00B42E15" w:rsidRPr="00B42E15" w14:paraId="4D0ED9E0" w14:textId="77777777" w:rsidTr="009F768E">
        <w:trPr>
          <w:trHeight w:val="227"/>
        </w:trPr>
        <w:tc>
          <w:tcPr>
            <w:tcW w:w="857" w:type="pct"/>
            <w:tcBorders>
              <w:top w:val="nil"/>
              <w:left w:val="nil"/>
              <w:right w:val="nil"/>
            </w:tcBorders>
            <w:shd w:val="clear" w:color="auto" w:fill="auto"/>
            <w:noWrap/>
            <w:vAlign w:val="center"/>
            <w:hideMark/>
          </w:tcPr>
          <w:p w14:paraId="1156C81C" w14:textId="77777777" w:rsidR="004D2DD7" w:rsidRPr="00B42E15" w:rsidRDefault="004D2DD7" w:rsidP="00F877EE">
            <w:pPr>
              <w:spacing w:after="0" w:line="240" w:lineRule="auto"/>
              <w:jc w:val="left"/>
              <w:rPr>
                <w:rFonts w:ascii="Arial" w:hAnsi="Arial" w:cs="Arial"/>
                <w:sz w:val="16"/>
                <w:szCs w:val="16"/>
              </w:rPr>
            </w:pPr>
            <w:r w:rsidRPr="00B42E15">
              <w:rPr>
                <w:rFonts w:ascii="Arial" w:hAnsi="Arial" w:cs="Arial"/>
                <w:sz w:val="16"/>
                <w:szCs w:val="16"/>
              </w:rPr>
              <w:t>Other referral</w:t>
            </w:r>
          </w:p>
        </w:tc>
        <w:tc>
          <w:tcPr>
            <w:tcW w:w="769" w:type="pct"/>
            <w:tcBorders>
              <w:top w:val="nil"/>
              <w:left w:val="nil"/>
              <w:bottom w:val="single" w:sz="2" w:space="0" w:color="000000" w:themeColor="text1"/>
              <w:right w:val="nil"/>
            </w:tcBorders>
            <w:shd w:val="clear" w:color="auto" w:fill="auto"/>
            <w:noWrap/>
            <w:vAlign w:val="center"/>
            <w:hideMark/>
          </w:tcPr>
          <w:p w14:paraId="49479B6F"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61</w:t>
            </w:r>
          </w:p>
        </w:tc>
        <w:tc>
          <w:tcPr>
            <w:tcW w:w="563" w:type="pct"/>
            <w:tcBorders>
              <w:top w:val="nil"/>
              <w:left w:val="nil"/>
              <w:bottom w:val="single" w:sz="2" w:space="0" w:color="000000" w:themeColor="text1"/>
              <w:right w:val="nil"/>
            </w:tcBorders>
            <w:shd w:val="clear" w:color="auto" w:fill="auto"/>
            <w:noWrap/>
            <w:vAlign w:val="center"/>
            <w:hideMark/>
          </w:tcPr>
          <w:p w14:paraId="5B22D32E"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18</w:t>
            </w:r>
          </w:p>
        </w:tc>
        <w:tc>
          <w:tcPr>
            <w:tcW w:w="788" w:type="pct"/>
            <w:tcBorders>
              <w:top w:val="nil"/>
              <w:left w:val="nil"/>
              <w:bottom w:val="single" w:sz="2" w:space="0" w:color="000000" w:themeColor="text1"/>
              <w:right w:val="nil"/>
            </w:tcBorders>
            <w:vAlign w:val="center"/>
          </w:tcPr>
          <w:p w14:paraId="620C6E17"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69</w:t>
            </w:r>
          </w:p>
        </w:tc>
        <w:tc>
          <w:tcPr>
            <w:tcW w:w="627" w:type="pct"/>
            <w:tcBorders>
              <w:top w:val="nil"/>
              <w:left w:val="nil"/>
              <w:bottom w:val="single" w:sz="2" w:space="0" w:color="000000" w:themeColor="text1"/>
              <w:right w:val="nil"/>
            </w:tcBorders>
            <w:vAlign w:val="center"/>
          </w:tcPr>
          <w:p w14:paraId="11E85528"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28</w:t>
            </w:r>
          </w:p>
        </w:tc>
        <w:tc>
          <w:tcPr>
            <w:tcW w:w="771" w:type="pct"/>
            <w:tcBorders>
              <w:top w:val="nil"/>
              <w:left w:val="nil"/>
              <w:bottom w:val="single" w:sz="2" w:space="0" w:color="000000" w:themeColor="text1"/>
              <w:right w:val="nil"/>
            </w:tcBorders>
            <w:shd w:val="clear" w:color="000000" w:fill="F2F2F2"/>
            <w:noWrap/>
            <w:vAlign w:val="center"/>
            <w:hideMark/>
          </w:tcPr>
          <w:p w14:paraId="1917891F"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44</w:t>
            </w:r>
          </w:p>
        </w:tc>
        <w:tc>
          <w:tcPr>
            <w:tcW w:w="625" w:type="pct"/>
            <w:tcBorders>
              <w:top w:val="nil"/>
              <w:left w:val="nil"/>
              <w:bottom w:val="single" w:sz="2" w:space="0" w:color="000000" w:themeColor="text1"/>
              <w:right w:val="nil"/>
            </w:tcBorders>
            <w:shd w:val="clear" w:color="000000" w:fill="F2F2F2"/>
            <w:noWrap/>
            <w:vAlign w:val="center"/>
            <w:hideMark/>
          </w:tcPr>
          <w:p w14:paraId="36F41678" w14:textId="77777777" w:rsidR="004D2DD7" w:rsidRPr="00B42E15" w:rsidRDefault="004D2DD7" w:rsidP="00F877EE">
            <w:pPr>
              <w:spacing w:after="0" w:line="240" w:lineRule="auto"/>
              <w:jc w:val="right"/>
              <w:rPr>
                <w:rFonts w:ascii="Arial" w:hAnsi="Arial" w:cs="Arial"/>
                <w:sz w:val="16"/>
                <w:szCs w:val="16"/>
              </w:rPr>
            </w:pPr>
            <w:r w:rsidRPr="00B42E15">
              <w:rPr>
                <w:rFonts w:ascii="Arial" w:hAnsi="Arial" w:cs="Arial"/>
                <w:sz w:val="16"/>
                <w:szCs w:val="16"/>
              </w:rPr>
              <w:t>13</w:t>
            </w:r>
          </w:p>
        </w:tc>
      </w:tr>
      <w:tr w:rsidR="00B42E15" w:rsidRPr="00B42E15" w14:paraId="70A4E11D" w14:textId="77777777" w:rsidTr="009F768E">
        <w:trPr>
          <w:trHeight w:val="227"/>
        </w:trPr>
        <w:tc>
          <w:tcPr>
            <w:tcW w:w="857" w:type="pct"/>
            <w:tcBorders>
              <w:top w:val="nil"/>
              <w:left w:val="nil"/>
              <w:bottom w:val="single" w:sz="2" w:space="0" w:color="000000" w:themeColor="text1"/>
              <w:right w:val="nil"/>
            </w:tcBorders>
            <w:shd w:val="clear" w:color="auto" w:fill="auto"/>
            <w:noWrap/>
            <w:vAlign w:val="center"/>
            <w:hideMark/>
          </w:tcPr>
          <w:p w14:paraId="4DC94FE0" w14:textId="77777777" w:rsidR="00AA23A8" w:rsidRPr="00B42E15" w:rsidRDefault="00AA23A8" w:rsidP="00F877EE">
            <w:pPr>
              <w:spacing w:after="0" w:line="240" w:lineRule="auto"/>
              <w:jc w:val="left"/>
              <w:rPr>
                <w:rFonts w:ascii="Arial" w:hAnsi="Arial" w:cs="Arial"/>
                <w:b/>
                <w:bCs/>
                <w:sz w:val="16"/>
                <w:szCs w:val="16"/>
              </w:rPr>
            </w:pPr>
            <w:r w:rsidRPr="00B42E15">
              <w:rPr>
                <w:rFonts w:ascii="Arial" w:hAnsi="Arial" w:cs="Arial"/>
                <w:b/>
                <w:bCs/>
                <w:sz w:val="16"/>
                <w:szCs w:val="16"/>
              </w:rPr>
              <w:t>Total</w:t>
            </w:r>
          </w:p>
        </w:tc>
        <w:tc>
          <w:tcPr>
            <w:tcW w:w="769" w:type="pct"/>
            <w:tcBorders>
              <w:top w:val="single" w:sz="2" w:space="0" w:color="000000" w:themeColor="text1"/>
              <w:left w:val="nil"/>
              <w:bottom w:val="single" w:sz="2" w:space="0" w:color="000000" w:themeColor="text1"/>
              <w:right w:val="nil"/>
            </w:tcBorders>
            <w:shd w:val="clear" w:color="auto" w:fill="auto"/>
            <w:noWrap/>
            <w:vAlign w:val="center"/>
            <w:hideMark/>
          </w:tcPr>
          <w:p w14:paraId="3F0A14A0" w14:textId="77777777" w:rsidR="00AA23A8" w:rsidRPr="00B42E15" w:rsidRDefault="00AA23A8" w:rsidP="00F877EE">
            <w:pPr>
              <w:spacing w:after="0" w:line="240" w:lineRule="auto"/>
              <w:jc w:val="right"/>
              <w:rPr>
                <w:rFonts w:ascii="Arial" w:hAnsi="Arial" w:cs="Arial"/>
                <w:b/>
                <w:bCs/>
                <w:sz w:val="16"/>
                <w:szCs w:val="16"/>
              </w:rPr>
            </w:pPr>
            <w:r w:rsidRPr="00B42E15">
              <w:rPr>
                <w:rFonts w:ascii="Arial" w:hAnsi="Arial" w:cs="Arial"/>
                <w:b/>
                <w:bCs/>
                <w:sz w:val="16"/>
                <w:szCs w:val="16"/>
              </w:rPr>
              <w:t>1,404</w:t>
            </w:r>
          </w:p>
        </w:tc>
        <w:tc>
          <w:tcPr>
            <w:tcW w:w="563" w:type="pct"/>
            <w:tcBorders>
              <w:top w:val="single" w:sz="2" w:space="0" w:color="000000" w:themeColor="text1"/>
              <w:left w:val="nil"/>
              <w:bottom w:val="single" w:sz="2" w:space="0" w:color="000000" w:themeColor="text1"/>
              <w:right w:val="nil"/>
            </w:tcBorders>
            <w:shd w:val="clear" w:color="auto" w:fill="auto"/>
            <w:noWrap/>
            <w:vAlign w:val="center"/>
            <w:hideMark/>
          </w:tcPr>
          <w:p w14:paraId="00C60636" w14:textId="77777777" w:rsidR="00AA23A8" w:rsidRPr="00B42E15" w:rsidRDefault="00AA23A8" w:rsidP="00F877EE">
            <w:pPr>
              <w:spacing w:after="0" w:line="240" w:lineRule="auto"/>
              <w:jc w:val="right"/>
              <w:rPr>
                <w:rFonts w:ascii="Arial" w:hAnsi="Arial" w:cs="Arial"/>
                <w:b/>
                <w:bCs/>
                <w:sz w:val="16"/>
                <w:szCs w:val="16"/>
              </w:rPr>
            </w:pPr>
            <w:r w:rsidRPr="00B42E15">
              <w:rPr>
                <w:rFonts w:ascii="Arial" w:hAnsi="Arial" w:cs="Arial"/>
                <w:b/>
                <w:bCs/>
                <w:sz w:val="16"/>
                <w:szCs w:val="16"/>
              </w:rPr>
              <w:t>600</w:t>
            </w:r>
          </w:p>
        </w:tc>
        <w:tc>
          <w:tcPr>
            <w:tcW w:w="788" w:type="pct"/>
            <w:tcBorders>
              <w:top w:val="single" w:sz="2" w:space="0" w:color="000000" w:themeColor="text1"/>
              <w:left w:val="nil"/>
              <w:bottom w:val="single" w:sz="2" w:space="0" w:color="000000" w:themeColor="text1"/>
              <w:right w:val="nil"/>
            </w:tcBorders>
            <w:vAlign w:val="center"/>
          </w:tcPr>
          <w:p w14:paraId="47E8EF0D" w14:textId="77777777" w:rsidR="00AA23A8" w:rsidRPr="00B42E15" w:rsidRDefault="00AA23A8" w:rsidP="00F877EE">
            <w:pPr>
              <w:spacing w:after="0" w:line="240" w:lineRule="auto"/>
              <w:jc w:val="right"/>
              <w:rPr>
                <w:rFonts w:ascii="Arial" w:hAnsi="Arial" w:cs="Arial"/>
                <w:b/>
                <w:bCs/>
                <w:sz w:val="16"/>
                <w:szCs w:val="16"/>
              </w:rPr>
            </w:pPr>
            <w:r w:rsidRPr="00B42E15">
              <w:rPr>
                <w:rFonts w:ascii="Arial" w:hAnsi="Arial" w:cs="Arial"/>
                <w:b/>
                <w:bCs/>
                <w:sz w:val="16"/>
                <w:szCs w:val="16"/>
              </w:rPr>
              <w:t>1,068</w:t>
            </w:r>
          </w:p>
        </w:tc>
        <w:tc>
          <w:tcPr>
            <w:tcW w:w="627" w:type="pct"/>
            <w:tcBorders>
              <w:top w:val="single" w:sz="2" w:space="0" w:color="000000" w:themeColor="text1"/>
              <w:left w:val="nil"/>
              <w:bottom w:val="single" w:sz="2" w:space="0" w:color="000000" w:themeColor="text1"/>
              <w:right w:val="nil"/>
            </w:tcBorders>
            <w:vAlign w:val="center"/>
          </w:tcPr>
          <w:p w14:paraId="4E27B0B9" w14:textId="77777777" w:rsidR="00AA23A8" w:rsidRPr="00B42E15" w:rsidRDefault="00AA23A8" w:rsidP="00F877EE">
            <w:pPr>
              <w:spacing w:after="0" w:line="240" w:lineRule="auto"/>
              <w:jc w:val="right"/>
              <w:rPr>
                <w:rFonts w:ascii="Arial" w:hAnsi="Arial" w:cs="Arial"/>
                <w:b/>
                <w:bCs/>
                <w:sz w:val="16"/>
                <w:szCs w:val="16"/>
              </w:rPr>
            </w:pPr>
            <w:r w:rsidRPr="00B42E15">
              <w:rPr>
                <w:rFonts w:ascii="Arial" w:hAnsi="Arial" w:cs="Arial"/>
                <w:b/>
                <w:bCs/>
                <w:sz w:val="16"/>
                <w:szCs w:val="16"/>
              </w:rPr>
              <w:t>600</w:t>
            </w:r>
          </w:p>
        </w:tc>
        <w:tc>
          <w:tcPr>
            <w:tcW w:w="771" w:type="pct"/>
            <w:tcBorders>
              <w:top w:val="single" w:sz="2" w:space="0" w:color="000000" w:themeColor="text1"/>
              <w:left w:val="nil"/>
              <w:bottom w:val="single" w:sz="2" w:space="0" w:color="000000" w:themeColor="text1"/>
              <w:right w:val="nil"/>
            </w:tcBorders>
            <w:shd w:val="clear" w:color="000000" w:fill="F2F2F2"/>
            <w:noWrap/>
            <w:vAlign w:val="center"/>
            <w:hideMark/>
          </w:tcPr>
          <w:p w14:paraId="63B376D5" w14:textId="77777777" w:rsidR="00AA23A8" w:rsidRPr="00B42E15" w:rsidRDefault="004D2DD7" w:rsidP="00F877EE">
            <w:pPr>
              <w:spacing w:after="0" w:line="240" w:lineRule="auto"/>
              <w:jc w:val="right"/>
              <w:rPr>
                <w:rFonts w:ascii="Arial" w:hAnsi="Arial" w:cs="Arial"/>
                <w:b/>
                <w:bCs/>
                <w:sz w:val="16"/>
                <w:szCs w:val="16"/>
              </w:rPr>
            </w:pPr>
            <w:r w:rsidRPr="00B42E15">
              <w:rPr>
                <w:rFonts w:ascii="Arial" w:hAnsi="Arial" w:cs="Arial"/>
                <w:b/>
                <w:bCs/>
                <w:sz w:val="16"/>
                <w:szCs w:val="16"/>
              </w:rPr>
              <w:t>620</w:t>
            </w:r>
          </w:p>
        </w:tc>
        <w:tc>
          <w:tcPr>
            <w:tcW w:w="625" w:type="pct"/>
            <w:tcBorders>
              <w:top w:val="single" w:sz="2" w:space="0" w:color="000000" w:themeColor="text1"/>
              <w:left w:val="nil"/>
              <w:bottom w:val="single" w:sz="2" w:space="0" w:color="000000" w:themeColor="text1"/>
              <w:right w:val="nil"/>
            </w:tcBorders>
            <w:shd w:val="clear" w:color="000000" w:fill="F2F2F2"/>
            <w:noWrap/>
            <w:vAlign w:val="center"/>
            <w:hideMark/>
          </w:tcPr>
          <w:p w14:paraId="76E2AA1C" w14:textId="77777777" w:rsidR="00AA23A8" w:rsidRPr="00B42E15" w:rsidRDefault="004D2DD7" w:rsidP="00F877EE">
            <w:pPr>
              <w:spacing w:after="0" w:line="240" w:lineRule="auto"/>
              <w:jc w:val="right"/>
              <w:rPr>
                <w:rFonts w:ascii="Arial" w:hAnsi="Arial" w:cs="Arial"/>
                <w:b/>
                <w:bCs/>
                <w:sz w:val="16"/>
                <w:szCs w:val="16"/>
              </w:rPr>
            </w:pPr>
            <w:r w:rsidRPr="00B42E15">
              <w:rPr>
                <w:rFonts w:ascii="Arial" w:hAnsi="Arial" w:cs="Arial"/>
                <w:b/>
                <w:bCs/>
                <w:sz w:val="16"/>
                <w:szCs w:val="16"/>
              </w:rPr>
              <w:t>259</w:t>
            </w:r>
          </w:p>
        </w:tc>
      </w:tr>
    </w:tbl>
    <w:p w14:paraId="005D19F0" w14:textId="77777777" w:rsidR="00722605" w:rsidRDefault="00722605" w:rsidP="00722605">
      <w:pPr>
        <w:pStyle w:val="Caveat"/>
      </w:pPr>
      <w:r w:rsidRPr="00BF48CD">
        <w:t xml:space="preserve">Before republishing this data or comparing between years, thoroughly review the methodological and data caveats in Appendix B. </w:t>
      </w:r>
    </w:p>
    <w:p w14:paraId="0EB8BE2B" w14:textId="77777777" w:rsidR="00722605" w:rsidRPr="0051581A" w:rsidRDefault="00722605" w:rsidP="00722605">
      <w:pPr>
        <w:pStyle w:val="Caveat"/>
        <w:rPr>
          <w:rFonts w:cs="Arial"/>
          <w:szCs w:val="16"/>
        </w:rPr>
      </w:pPr>
      <w:r w:rsidRPr="0051581A">
        <w:rPr>
          <w:rFonts w:cs="Arial"/>
          <w:szCs w:val="16"/>
        </w:rPr>
        <w:t xml:space="preserve">Note: </w:t>
      </w:r>
      <w:r w:rsidRPr="0051581A">
        <w:rPr>
          <w:rFonts w:cs="Arial"/>
          <w:szCs w:val="16"/>
        </w:rPr>
        <w:tab/>
        <w:t xml:space="preserve">The number of </w:t>
      </w:r>
      <w:r w:rsidRPr="0051581A">
        <w:t>completed investigations and</w:t>
      </w:r>
      <w:r w:rsidRPr="0051581A">
        <w:rPr>
          <w:rFonts w:cs="Arial"/>
          <w:szCs w:val="16"/>
        </w:rPr>
        <w:t xml:space="preserve"> the number of breaches are not directly comparable. The number of breaches is reported by residential property and the number of completed investigations by case. There may be multiple properties involved in a case or multiple cases per property in the event of joint owners.</w:t>
      </w:r>
    </w:p>
    <w:p w14:paraId="60643104" w14:textId="77777777" w:rsidR="00722605" w:rsidRDefault="00722605" w:rsidP="00722605">
      <w:pPr>
        <w:pStyle w:val="BodyText"/>
        <w:spacing w:after="0" w:line="240" w:lineRule="auto"/>
        <w:rPr>
          <w:rFonts w:ascii="Arial" w:hAnsi="Arial" w:cs="Arial"/>
          <w:sz w:val="16"/>
          <w:szCs w:val="16"/>
        </w:rPr>
      </w:pPr>
      <w:r w:rsidRPr="0051581A">
        <w:rPr>
          <w:rFonts w:ascii="Arial" w:hAnsi="Arial" w:cs="Arial"/>
          <w:sz w:val="16"/>
          <w:szCs w:val="16"/>
        </w:rPr>
        <w:t>Data matching figures include vacancy fee investigations.</w:t>
      </w:r>
    </w:p>
    <w:p w14:paraId="7EB953E7" w14:textId="77777777" w:rsidR="006D0C45" w:rsidRPr="0051581A" w:rsidRDefault="006D0C45" w:rsidP="006225EA">
      <w:pPr>
        <w:pStyle w:val="SingleParagraph"/>
      </w:pPr>
    </w:p>
    <w:p w14:paraId="26D4B516" w14:textId="77777777" w:rsidR="00A84283" w:rsidRPr="00FF57BB" w:rsidRDefault="00A84283" w:rsidP="00F16FDC">
      <w:pPr>
        <w:pStyle w:val="Heading4"/>
      </w:pPr>
      <w:r w:rsidRPr="00FF57BB">
        <w:t>Infringement notices</w:t>
      </w:r>
    </w:p>
    <w:p w14:paraId="4933E3AF" w14:textId="40EA57F1" w:rsidR="00A84283" w:rsidRPr="00FF57BB" w:rsidRDefault="00A84283" w:rsidP="0004769B">
      <w:r w:rsidRPr="00FF57BB">
        <w:t xml:space="preserve">There are two levels of infringement notices which impose different financial penalties on a foreign person. A </w:t>
      </w:r>
      <w:r w:rsidR="00E00B63" w:rsidRPr="00FF57BB">
        <w:t>T</w:t>
      </w:r>
      <w:r w:rsidRPr="00FF57BB">
        <w:t>ier</w:t>
      </w:r>
      <w:r w:rsidR="00F15251">
        <w:t> </w:t>
      </w:r>
      <w:r w:rsidRPr="00FF57BB">
        <w:t xml:space="preserve">1 infringement notice may be issued where a foreign person notifies of a breach before an infringement notice is issued, while in cases where the ATO identifies a breach as a result of compliance activity, a </w:t>
      </w:r>
      <w:r w:rsidR="00E00B63" w:rsidRPr="00FF57BB">
        <w:t>T</w:t>
      </w:r>
      <w:r w:rsidRPr="00FF57BB">
        <w:t>ier</w:t>
      </w:r>
      <w:r w:rsidR="00F15251">
        <w:t> </w:t>
      </w:r>
      <w:r w:rsidRPr="00FF57BB">
        <w:t>2 infringement</w:t>
      </w:r>
      <w:r w:rsidR="00DB6C49" w:rsidRPr="00FF57BB">
        <w:t xml:space="preserve"> notice</w:t>
      </w:r>
      <w:r w:rsidRPr="00FF57BB">
        <w:t xml:space="preserve"> may be issued.</w:t>
      </w:r>
      <w:r w:rsidR="00880027">
        <w:t xml:space="preserve"> Table</w:t>
      </w:r>
      <w:r w:rsidR="00F15251">
        <w:t> </w:t>
      </w:r>
      <w:r w:rsidR="00880027">
        <w:t>4.</w:t>
      </w:r>
      <w:r w:rsidR="007323E2">
        <w:t>5</w:t>
      </w:r>
      <w:r w:rsidR="00583722">
        <w:t xml:space="preserve"> provides information on infringement notice outcomes.</w:t>
      </w:r>
    </w:p>
    <w:p w14:paraId="66B2907B" w14:textId="777F28E7" w:rsidR="00D73478" w:rsidRPr="00FF57BB" w:rsidRDefault="00D73478" w:rsidP="006D0C45">
      <w:pPr>
        <w:pStyle w:val="TableMainHeading"/>
        <w:keepLines/>
      </w:pPr>
      <w:bookmarkStart w:id="214" w:name="_Toc32247784"/>
      <w:bookmarkStart w:id="215" w:name="_Toc63798295"/>
      <w:bookmarkStart w:id="216" w:name="_Toc73984753"/>
      <w:r w:rsidRPr="00FF57BB">
        <w:t>Table 4.</w:t>
      </w:r>
      <w:r w:rsidR="007323E2">
        <w:t>5</w:t>
      </w:r>
      <w:r w:rsidRPr="00FF57BB">
        <w:t>: Infringement notices issued in relation to residential real estate</w:t>
      </w:r>
      <w:r w:rsidR="00B748BF" w:rsidRPr="00FF57BB">
        <w:t xml:space="preserve"> in 2017</w:t>
      </w:r>
      <w:r w:rsidR="000207A1">
        <w:t>–</w:t>
      </w:r>
      <w:r w:rsidR="00B748BF" w:rsidRPr="00FF57BB">
        <w:t xml:space="preserve">18 </w:t>
      </w:r>
      <w:r w:rsidR="004A7FDF">
        <w:t>to</w:t>
      </w:r>
      <w:r w:rsidR="00B748BF" w:rsidRPr="00FF57BB">
        <w:t xml:space="preserve"> 201</w:t>
      </w:r>
      <w:r w:rsidR="00A26227" w:rsidRPr="00FF57BB">
        <w:t>9</w:t>
      </w:r>
      <w:r w:rsidR="000207A1">
        <w:t>–</w:t>
      </w:r>
      <w:r w:rsidR="00A26227" w:rsidRPr="00FF57BB">
        <w:t>20</w:t>
      </w:r>
      <w:bookmarkEnd w:id="214"/>
      <w:bookmarkEnd w:id="215"/>
      <w:bookmarkEnd w:id="216"/>
    </w:p>
    <w:tbl>
      <w:tblPr>
        <w:tblW w:w="5000" w:type="pct"/>
        <w:tblLook w:val="04A0" w:firstRow="1" w:lastRow="0" w:firstColumn="1" w:lastColumn="0" w:noHBand="0" w:noVBand="1"/>
      </w:tblPr>
      <w:tblGrid>
        <w:gridCol w:w="2520"/>
        <w:gridCol w:w="483"/>
        <w:gridCol w:w="1257"/>
        <w:gridCol w:w="797"/>
        <w:gridCol w:w="928"/>
        <w:gridCol w:w="797"/>
        <w:gridCol w:w="928"/>
      </w:tblGrid>
      <w:tr w:rsidR="004D2DD7" w:rsidRPr="00FF57BB" w14:paraId="513FF07D" w14:textId="77777777" w:rsidTr="00EC72AC">
        <w:trPr>
          <w:trHeight w:val="227"/>
        </w:trPr>
        <w:tc>
          <w:tcPr>
            <w:tcW w:w="1634" w:type="pct"/>
            <w:tcBorders>
              <w:top w:val="single" w:sz="2" w:space="0" w:color="000000" w:themeColor="text1"/>
            </w:tcBorders>
            <w:shd w:val="clear" w:color="auto" w:fill="auto"/>
            <w:noWrap/>
            <w:vAlign w:val="bottom"/>
            <w:hideMark/>
          </w:tcPr>
          <w:p w14:paraId="6B5DABB4" w14:textId="77777777" w:rsidR="004D2DD7" w:rsidRPr="00FF57BB" w:rsidRDefault="004D2DD7" w:rsidP="006D0C45">
            <w:pPr>
              <w:keepNext/>
              <w:keepLines/>
              <w:spacing w:after="0" w:line="240" w:lineRule="auto"/>
              <w:jc w:val="left"/>
              <w:rPr>
                <w:rFonts w:ascii="Arial" w:hAnsi="Arial" w:cs="Arial"/>
                <w:sz w:val="16"/>
                <w:szCs w:val="16"/>
              </w:rPr>
            </w:pPr>
          </w:p>
        </w:tc>
        <w:tc>
          <w:tcPr>
            <w:tcW w:w="1128" w:type="pct"/>
            <w:gridSpan w:val="2"/>
            <w:tcBorders>
              <w:top w:val="single" w:sz="2" w:space="0" w:color="000000" w:themeColor="text1"/>
            </w:tcBorders>
            <w:shd w:val="clear" w:color="auto" w:fill="auto"/>
            <w:noWrap/>
            <w:vAlign w:val="bottom"/>
            <w:hideMark/>
          </w:tcPr>
          <w:p w14:paraId="0390FD40" w14:textId="77777777" w:rsidR="004D2DD7" w:rsidRPr="00FF57BB" w:rsidRDefault="004D2DD7" w:rsidP="006D0C45">
            <w:pPr>
              <w:keepNext/>
              <w:keepLines/>
              <w:spacing w:after="0" w:line="240" w:lineRule="auto"/>
              <w:jc w:val="center"/>
              <w:rPr>
                <w:rFonts w:ascii="Arial" w:hAnsi="Arial" w:cs="Arial"/>
                <w:sz w:val="16"/>
                <w:szCs w:val="16"/>
              </w:rPr>
            </w:pPr>
            <w:r w:rsidRPr="00FF57BB">
              <w:rPr>
                <w:rFonts w:ascii="Arial" w:hAnsi="Arial" w:cs="Arial"/>
                <w:sz w:val="16"/>
                <w:szCs w:val="16"/>
              </w:rPr>
              <w:t>2017</w:t>
            </w:r>
            <w:r w:rsidR="000207A1">
              <w:rPr>
                <w:rFonts w:ascii="Arial" w:hAnsi="Arial" w:cs="Arial"/>
                <w:sz w:val="16"/>
                <w:szCs w:val="16"/>
              </w:rPr>
              <w:t>–</w:t>
            </w:r>
            <w:r w:rsidRPr="00FF57BB">
              <w:rPr>
                <w:rFonts w:ascii="Arial" w:hAnsi="Arial" w:cs="Arial"/>
                <w:sz w:val="16"/>
                <w:szCs w:val="16"/>
              </w:rPr>
              <w:t>18</w:t>
            </w:r>
          </w:p>
        </w:tc>
        <w:tc>
          <w:tcPr>
            <w:tcW w:w="1119" w:type="pct"/>
            <w:gridSpan w:val="2"/>
            <w:tcBorders>
              <w:top w:val="single" w:sz="2" w:space="0" w:color="000000" w:themeColor="text1"/>
            </w:tcBorders>
            <w:shd w:val="clear" w:color="auto" w:fill="auto"/>
            <w:vAlign w:val="bottom"/>
            <w:hideMark/>
          </w:tcPr>
          <w:p w14:paraId="6C50203E" w14:textId="77777777" w:rsidR="004D2DD7" w:rsidRPr="00FF57BB" w:rsidRDefault="004D2DD7" w:rsidP="006D0C45">
            <w:pPr>
              <w:keepNext/>
              <w:keepLines/>
              <w:spacing w:after="0" w:line="240" w:lineRule="auto"/>
              <w:jc w:val="center"/>
              <w:rPr>
                <w:rFonts w:ascii="Arial" w:hAnsi="Arial" w:cs="Arial"/>
                <w:sz w:val="16"/>
                <w:szCs w:val="16"/>
              </w:rPr>
            </w:pPr>
            <w:r w:rsidRPr="00FF57BB">
              <w:rPr>
                <w:rFonts w:ascii="Arial" w:hAnsi="Arial" w:cs="Arial"/>
                <w:sz w:val="16"/>
                <w:szCs w:val="16"/>
              </w:rPr>
              <w:t>2018</w:t>
            </w:r>
            <w:r w:rsidR="000207A1">
              <w:rPr>
                <w:rFonts w:ascii="Arial" w:hAnsi="Arial" w:cs="Arial"/>
                <w:sz w:val="16"/>
                <w:szCs w:val="16"/>
              </w:rPr>
              <w:t>–</w:t>
            </w:r>
            <w:r w:rsidRPr="00FF57BB">
              <w:rPr>
                <w:rFonts w:ascii="Arial" w:hAnsi="Arial" w:cs="Arial"/>
                <w:sz w:val="16"/>
                <w:szCs w:val="16"/>
              </w:rPr>
              <w:t>19</w:t>
            </w:r>
          </w:p>
        </w:tc>
        <w:tc>
          <w:tcPr>
            <w:tcW w:w="1119" w:type="pct"/>
            <w:gridSpan w:val="2"/>
            <w:tcBorders>
              <w:top w:val="single" w:sz="2" w:space="0" w:color="000000" w:themeColor="text1"/>
            </w:tcBorders>
            <w:shd w:val="clear" w:color="000000" w:fill="F2F2F2"/>
            <w:vAlign w:val="bottom"/>
          </w:tcPr>
          <w:p w14:paraId="58F1D9DE" w14:textId="77777777" w:rsidR="004D2DD7" w:rsidRPr="00FF57BB" w:rsidRDefault="004D2DD7" w:rsidP="006D0C45">
            <w:pPr>
              <w:keepNext/>
              <w:keepLines/>
              <w:spacing w:after="0" w:line="240" w:lineRule="auto"/>
              <w:jc w:val="center"/>
              <w:rPr>
                <w:rFonts w:ascii="Arial" w:hAnsi="Arial" w:cs="Arial"/>
                <w:sz w:val="16"/>
                <w:szCs w:val="16"/>
              </w:rPr>
            </w:pPr>
            <w:r w:rsidRPr="00FF57BB">
              <w:rPr>
                <w:rFonts w:ascii="Arial" w:hAnsi="Arial" w:cs="Arial"/>
                <w:sz w:val="16"/>
                <w:szCs w:val="16"/>
              </w:rPr>
              <w:t>2019</w:t>
            </w:r>
            <w:r w:rsidR="000207A1">
              <w:rPr>
                <w:rFonts w:ascii="Arial" w:hAnsi="Arial" w:cs="Arial"/>
                <w:sz w:val="16"/>
                <w:szCs w:val="16"/>
              </w:rPr>
              <w:t>–</w:t>
            </w:r>
            <w:r w:rsidRPr="00FF57BB">
              <w:rPr>
                <w:rFonts w:ascii="Arial" w:hAnsi="Arial" w:cs="Arial"/>
                <w:sz w:val="16"/>
                <w:szCs w:val="16"/>
              </w:rPr>
              <w:t>20</w:t>
            </w:r>
          </w:p>
        </w:tc>
      </w:tr>
      <w:tr w:rsidR="004D2DD7" w:rsidRPr="00FF57BB" w14:paraId="77A85611" w14:textId="77777777" w:rsidTr="00EC72AC">
        <w:trPr>
          <w:trHeight w:val="227"/>
        </w:trPr>
        <w:tc>
          <w:tcPr>
            <w:tcW w:w="1634" w:type="pct"/>
            <w:shd w:val="clear" w:color="auto" w:fill="auto"/>
            <w:noWrap/>
            <w:vAlign w:val="bottom"/>
            <w:hideMark/>
          </w:tcPr>
          <w:p w14:paraId="1CF9D942" w14:textId="77777777" w:rsidR="004D2DD7" w:rsidRPr="00FF57BB" w:rsidRDefault="004D2DD7" w:rsidP="006D0C45">
            <w:pPr>
              <w:keepNext/>
              <w:keepLines/>
              <w:spacing w:after="0" w:line="240" w:lineRule="auto"/>
              <w:jc w:val="left"/>
              <w:rPr>
                <w:rFonts w:ascii="Arial" w:hAnsi="Arial" w:cs="Arial"/>
                <w:sz w:val="16"/>
                <w:szCs w:val="16"/>
              </w:rPr>
            </w:pPr>
            <w:r w:rsidRPr="00FF57BB">
              <w:rPr>
                <w:rFonts w:ascii="Arial" w:hAnsi="Arial" w:cs="Arial"/>
                <w:sz w:val="16"/>
                <w:szCs w:val="16"/>
              </w:rPr>
              <w:t>Penalty type</w:t>
            </w:r>
          </w:p>
        </w:tc>
        <w:tc>
          <w:tcPr>
            <w:tcW w:w="313" w:type="pct"/>
            <w:tcBorders>
              <w:bottom w:val="single" w:sz="2" w:space="0" w:color="000000" w:themeColor="text1"/>
            </w:tcBorders>
            <w:shd w:val="clear" w:color="auto" w:fill="auto"/>
            <w:noWrap/>
            <w:vAlign w:val="bottom"/>
            <w:hideMark/>
          </w:tcPr>
          <w:p w14:paraId="38107765"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No.</w:t>
            </w:r>
          </w:p>
        </w:tc>
        <w:tc>
          <w:tcPr>
            <w:tcW w:w="815" w:type="pct"/>
            <w:tcBorders>
              <w:bottom w:val="single" w:sz="2" w:space="0" w:color="000000" w:themeColor="text1"/>
            </w:tcBorders>
            <w:shd w:val="clear" w:color="auto" w:fill="auto"/>
            <w:vAlign w:val="bottom"/>
            <w:hideMark/>
          </w:tcPr>
          <w:p w14:paraId="6AC11CEE"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Total Value</w:t>
            </w:r>
            <w:r w:rsidRPr="00FF57BB">
              <w:rPr>
                <w:rFonts w:ascii="Arial" w:hAnsi="Arial" w:cs="Arial"/>
                <w:sz w:val="16"/>
                <w:szCs w:val="16"/>
              </w:rPr>
              <w:br/>
              <w:t>$</w:t>
            </w:r>
          </w:p>
        </w:tc>
        <w:tc>
          <w:tcPr>
            <w:tcW w:w="517" w:type="pct"/>
            <w:tcBorders>
              <w:bottom w:val="single" w:sz="2" w:space="0" w:color="000000" w:themeColor="text1"/>
            </w:tcBorders>
            <w:vAlign w:val="bottom"/>
          </w:tcPr>
          <w:p w14:paraId="0D7FBBFE"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No.</w:t>
            </w:r>
          </w:p>
        </w:tc>
        <w:tc>
          <w:tcPr>
            <w:tcW w:w="602" w:type="pct"/>
            <w:tcBorders>
              <w:bottom w:val="single" w:sz="2" w:space="0" w:color="000000" w:themeColor="text1"/>
            </w:tcBorders>
            <w:vAlign w:val="bottom"/>
          </w:tcPr>
          <w:p w14:paraId="785BB777"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Total Value</w:t>
            </w:r>
            <w:r w:rsidRPr="00FF57BB">
              <w:rPr>
                <w:rFonts w:ascii="Arial" w:hAnsi="Arial" w:cs="Arial"/>
                <w:sz w:val="16"/>
                <w:szCs w:val="16"/>
              </w:rPr>
              <w:br/>
              <w:t>$</w:t>
            </w:r>
          </w:p>
        </w:tc>
        <w:tc>
          <w:tcPr>
            <w:tcW w:w="517" w:type="pct"/>
            <w:tcBorders>
              <w:bottom w:val="single" w:sz="2" w:space="0" w:color="000000" w:themeColor="text1"/>
            </w:tcBorders>
            <w:shd w:val="clear" w:color="auto" w:fill="F2F2F2"/>
            <w:vAlign w:val="bottom"/>
            <w:hideMark/>
          </w:tcPr>
          <w:p w14:paraId="719A5946"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No.</w:t>
            </w:r>
          </w:p>
        </w:tc>
        <w:tc>
          <w:tcPr>
            <w:tcW w:w="602" w:type="pct"/>
            <w:tcBorders>
              <w:bottom w:val="single" w:sz="2" w:space="0" w:color="000000" w:themeColor="text1"/>
            </w:tcBorders>
            <w:shd w:val="clear" w:color="000000" w:fill="F2F2F2"/>
            <w:vAlign w:val="bottom"/>
            <w:hideMark/>
          </w:tcPr>
          <w:p w14:paraId="495FB4CF"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Total Value</w:t>
            </w:r>
            <w:r w:rsidRPr="00FF57BB">
              <w:rPr>
                <w:rFonts w:ascii="Arial" w:hAnsi="Arial" w:cs="Arial"/>
                <w:sz w:val="16"/>
                <w:szCs w:val="16"/>
              </w:rPr>
              <w:br/>
              <w:t>$</w:t>
            </w:r>
          </w:p>
        </w:tc>
      </w:tr>
      <w:tr w:rsidR="00B71D1A" w:rsidRPr="00FF57BB" w14:paraId="58135E83" w14:textId="77777777" w:rsidTr="009F768E">
        <w:trPr>
          <w:trHeight w:val="227"/>
        </w:trPr>
        <w:tc>
          <w:tcPr>
            <w:tcW w:w="1634" w:type="pct"/>
            <w:shd w:val="clear" w:color="auto" w:fill="auto"/>
            <w:noWrap/>
            <w:vAlign w:val="bottom"/>
            <w:hideMark/>
          </w:tcPr>
          <w:p w14:paraId="0FFAC776" w14:textId="77777777" w:rsidR="004D2DD7" w:rsidRPr="00FF57BB" w:rsidRDefault="004D2DD7" w:rsidP="006D0C45">
            <w:pPr>
              <w:keepNext/>
              <w:keepLines/>
              <w:spacing w:after="0" w:line="240" w:lineRule="auto"/>
              <w:jc w:val="left"/>
              <w:rPr>
                <w:rFonts w:ascii="Arial" w:hAnsi="Arial" w:cs="Arial"/>
                <w:sz w:val="16"/>
                <w:szCs w:val="16"/>
              </w:rPr>
            </w:pPr>
            <w:r w:rsidRPr="00FF57BB">
              <w:rPr>
                <w:rFonts w:ascii="Arial" w:hAnsi="Arial" w:cs="Arial"/>
                <w:sz w:val="16"/>
                <w:szCs w:val="16"/>
              </w:rPr>
              <w:t>Tier 1 infringement</w:t>
            </w:r>
          </w:p>
        </w:tc>
        <w:tc>
          <w:tcPr>
            <w:tcW w:w="313" w:type="pct"/>
            <w:tcBorders>
              <w:top w:val="single" w:sz="2" w:space="0" w:color="000000" w:themeColor="text1"/>
            </w:tcBorders>
            <w:shd w:val="clear" w:color="auto" w:fill="auto"/>
            <w:noWrap/>
            <w:vAlign w:val="bottom"/>
            <w:hideMark/>
          </w:tcPr>
          <w:p w14:paraId="22C2A1F5"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347</w:t>
            </w:r>
          </w:p>
        </w:tc>
        <w:tc>
          <w:tcPr>
            <w:tcW w:w="815" w:type="pct"/>
            <w:tcBorders>
              <w:top w:val="single" w:sz="2" w:space="0" w:color="000000" w:themeColor="text1"/>
            </w:tcBorders>
            <w:shd w:val="clear" w:color="auto" w:fill="auto"/>
            <w:noWrap/>
            <w:vAlign w:val="bottom"/>
            <w:hideMark/>
          </w:tcPr>
          <w:p w14:paraId="1FCBEE4D"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1,001,080</w:t>
            </w:r>
          </w:p>
        </w:tc>
        <w:tc>
          <w:tcPr>
            <w:tcW w:w="517" w:type="pct"/>
            <w:tcBorders>
              <w:top w:val="single" w:sz="2" w:space="0" w:color="000000" w:themeColor="text1"/>
            </w:tcBorders>
            <w:vAlign w:val="bottom"/>
          </w:tcPr>
          <w:p w14:paraId="6D81BF96"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346</w:t>
            </w:r>
          </w:p>
        </w:tc>
        <w:tc>
          <w:tcPr>
            <w:tcW w:w="602" w:type="pct"/>
            <w:tcBorders>
              <w:top w:val="single" w:sz="2" w:space="0" w:color="000000" w:themeColor="text1"/>
            </w:tcBorders>
            <w:vAlign w:val="bottom"/>
          </w:tcPr>
          <w:p w14:paraId="259FBF80"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1,288,000</w:t>
            </w:r>
          </w:p>
        </w:tc>
        <w:tc>
          <w:tcPr>
            <w:tcW w:w="517" w:type="pct"/>
            <w:tcBorders>
              <w:top w:val="nil"/>
              <w:left w:val="nil"/>
              <w:bottom w:val="nil"/>
              <w:right w:val="nil"/>
            </w:tcBorders>
            <w:shd w:val="clear" w:color="auto" w:fill="F2F2F2"/>
            <w:vAlign w:val="bottom"/>
            <w:hideMark/>
          </w:tcPr>
          <w:p w14:paraId="7C825B73"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140</w:t>
            </w:r>
          </w:p>
        </w:tc>
        <w:tc>
          <w:tcPr>
            <w:tcW w:w="602" w:type="pct"/>
            <w:tcBorders>
              <w:top w:val="nil"/>
              <w:left w:val="nil"/>
              <w:bottom w:val="nil"/>
              <w:right w:val="nil"/>
            </w:tcBorders>
            <w:shd w:val="clear" w:color="auto" w:fill="F2F2F2"/>
            <w:vAlign w:val="bottom"/>
            <w:hideMark/>
          </w:tcPr>
          <w:p w14:paraId="2FFB55B2"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499,360</w:t>
            </w:r>
          </w:p>
        </w:tc>
      </w:tr>
      <w:tr w:rsidR="00B71D1A" w:rsidRPr="00A26227" w14:paraId="29473FCC" w14:textId="77777777" w:rsidTr="009F768E">
        <w:trPr>
          <w:trHeight w:val="227"/>
        </w:trPr>
        <w:tc>
          <w:tcPr>
            <w:tcW w:w="1634" w:type="pct"/>
            <w:shd w:val="clear" w:color="auto" w:fill="auto"/>
            <w:noWrap/>
            <w:vAlign w:val="bottom"/>
            <w:hideMark/>
          </w:tcPr>
          <w:p w14:paraId="7A1DA10D" w14:textId="77777777" w:rsidR="004D2DD7" w:rsidRPr="00FF57BB" w:rsidRDefault="004D2DD7" w:rsidP="006D0C45">
            <w:pPr>
              <w:keepNext/>
              <w:keepLines/>
              <w:spacing w:after="0" w:line="240" w:lineRule="auto"/>
              <w:jc w:val="left"/>
              <w:rPr>
                <w:rFonts w:ascii="Arial" w:hAnsi="Arial" w:cs="Arial"/>
                <w:sz w:val="16"/>
                <w:szCs w:val="16"/>
              </w:rPr>
            </w:pPr>
            <w:r w:rsidRPr="00FF57BB">
              <w:rPr>
                <w:rFonts w:ascii="Arial" w:hAnsi="Arial" w:cs="Arial"/>
                <w:sz w:val="16"/>
                <w:szCs w:val="16"/>
              </w:rPr>
              <w:t>Tier 2 infringement</w:t>
            </w:r>
          </w:p>
        </w:tc>
        <w:tc>
          <w:tcPr>
            <w:tcW w:w="313" w:type="pct"/>
            <w:tcBorders>
              <w:bottom w:val="single" w:sz="2" w:space="0" w:color="000000" w:themeColor="text1"/>
            </w:tcBorders>
            <w:shd w:val="clear" w:color="auto" w:fill="auto"/>
            <w:noWrap/>
            <w:vAlign w:val="bottom"/>
            <w:hideMark/>
          </w:tcPr>
          <w:p w14:paraId="5DB86B47"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82</w:t>
            </w:r>
          </w:p>
        </w:tc>
        <w:tc>
          <w:tcPr>
            <w:tcW w:w="815" w:type="pct"/>
            <w:tcBorders>
              <w:bottom w:val="single" w:sz="2" w:space="0" w:color="000000" w:themeColor="text1"/>
            </w:tcBorders>
            <w:shd w:val="clear" w:color="auto" w:fill="auto"/>
            <w:noWrap/>
            <w:vAlign w:val="bottom"/>
            <w:hideMark/>
          </w:tcPr>
          <w:p w14:paraId="06F870DE"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1,175,400</w:t>
            </w:r>
          </w:p>
        </w:tc>
        <w:tc>
          <w:tcPr>
            <w:tcW w:w="517" w:type="pct"/>
            <w:tcBorders>
              <w:bottom w:val="single" w:sz="2" w:space="0" w:color="000000" w:themeColor="text1"/>
            </w:tcBorders>
            <w:vAlign w:val="bottom"/>
          </w:tcPr>
          <w:p w14:paraId="040EA19C"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169</w:t>
            </w:r>
          </w:p>
        </w:tc>
        <w:tc>
          <w:tcPr>
            <w:tcW w:w="602" w:type="pct"/>
            <w:tcBorders>
              <w:bottom w:val="single" w:sz="2" w:space="0" w:color="000000" w:themeColor="text1"/>
            </w:tcBorders>
            <w:vAlign w:val="bottom"/>
          </w:tcPr>
          <w:p w14:paraId="405A908C"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2,267,320</w:t>
            </w:r>
          </w:p>
        </w:tc>
        <w:tc>
          <w:tcPr>
            <w:tcW w:w="517" w:type="pct"/>
            <w:tcBorders>
              <w:top w:val="nil"/>
              <w:left w:val="nil"/>
              <w:bottom w:val="nil"/>
              <w:right w:val="nil"/>
            </w:tcBorders>
            <w:shd w:val="clear" w:color="auto" w:fill="F2F2F2"/>
            <w:vAlign w:val="bottom"/>
            <w:hideMark/>
          </w:tcPr>
          <w:p w14:paraId="6D683182" w14:textId="77777777" w:rsidR="004D2DD7" w:rsidRPr="00FF57BB"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36</w:t>
            </w:r>
          </w:p>
        </w:tc>
        <w:tc>
          <w:tcPr>
            <w:tcW w:w="602" w:type="pct"/>
            <w:tcBorders>
              <w:top w:val="nil"/>
              <w:left w:val="nil"/>
              <w:bottom w:val="nil"/>
              <w:right w:val="nil"/>
            </w:tcBorders>
            <w:shd w:val="clear" w:color="auto" w:fill="F2F2F2"/>
            <w:vAlign w:val="bottom"/>
            <w:hideMark/>
          </w:tcPr>
          <w:p w14:paraId="51404295" w14:textId="77777777" w:rsidR="004D2DD7" w:rsidRPr="00A26227" w:rsidRDefault="004D2DD7" w:rsidP="006D0C45">
            <w:pPr>
              <w:keepNext/>
              <w:keepLines/>
              <w:spacing w:after="0" w:line="240" w:lineRule="auto"/>
              <w:jc w:val="right"/>
              <w:rPr>
                <w:rFonts w:ascii="Arial" w:hAnsi="Arial" w:cs="Arial"/>
                <w:sz w:val="16"/>
                <w:szCs w:val="16"/>
              </w:rPr>
            </w:pPr>
            <w:r w:rsidRPr="00FF57BB">
              <w:rPr>
                <w:rFonts w:ascii="Arial" w:hAnsi="Arial" w:cs="Arial"/>
                <w:sz w:val="16"/>
                <w:szCs w:val="16"/>
              </w:rPr>
              <w:t>804,600</w:t>
            </w:r>
          </w:p>
        </w:tc>
      </w:tr>
      <w:tr w:rsidR="004D2DD7" w:rsidRPr="00A26227" w14:paraId="07F01DA0" w14:textId="77777777" w:rsidTr="009F768E">
        <w:trPr>
          <w:trHeight w:val="227"/>
        </w:trPr>
        <w:tc>
          <w:tcPr>
            <w:tcW w:w="1634" w:type="pct"/>
            <w:tcBorders>
              <w:bottom w:val="single" w:sz="2" w:space="0" w:color="000000" w:themeColor="text1"/>
            </w:tcBorders>
            <w:shd w:val="clear" w:color="auto" w:fill="auto"/>
            <w:noWrap/>
            <w:vAlign w:val="bottom"/>
            <w:hideMark/>
          </w:tcPr>
          <w:p w14:paraId="2D673DA4" w14:textId="77777777" w:rsidR="004D2DD7" w:rsidRPr="00A26227" w:rsidRDefault="004D2DD7" w:rsidP="006D0C45">
            <w:pPr>
              <w:keepNext/>
              <w:keepLines/>
              <w:spacing w:after="0" w:line="240" w:lineRule="auto"/>
              <w:jc w:val="left"/>
              <w:rPr>
                <w:rFonts w:ascii="Arial" w:hAnsi="Arial" w:cs="Arial"/>
                <w:b/>
                <w:bCs/>
                <w:sz w:val="16"/>
                <w:szCs w:val="16"/>
              </w:rPr>
            </w:pPr>
            <w:r w:rsidRPr="00A26227">
              <w:rPr>
                <w:rFonts w:ascii="Arial" w:hAnsi="Arial" w:cs="Arial"/>
                <w:b/>
                <w:bCs/>
                <w:sz w:val="16"/>
                <w:szCs w:val="16"/>
              </w:rPr>
              <w:t>Total</w:t>
            </w:r>
          </w:p>
        </w:tc>
        <w:tc>
          <w:tcPr>
            <w:tcW w:w="313" w:type="pct"/>
            <w:tcBorders>
              <w:top w:val="single" w:sz="2" w:space="0" w:color="000000" w:themeColor="text1"/>
              <w:bottom w:val="single" w:sz="2" w:space="0" w:color="000000" w:themeColor="text1"/>
            </w:tcBorders>
            <w:shd w:val="clear" w:color="auto" w:fill="auto"/>
            <w:noWrap/>
            <w:vAlign w:val="bottom"/>
            <w:hideMark/>
          </w:tcPr>
          <w:p w14:paraId="6CB48FD2" w14:textId="77777777" w:rsidR="004D2DD7" w:rsidRPr="00A26227" w:rsidRDefault="004D2DD7" w:rsidP="006D0C45">
            <w:pPr>
              <w:keepNext/>
              <w:keepLines/>
              <w:spacing w:after="0" w:line="240" w:lineRule="auto"/>
              <w:jc w:val="right"/>
              <w:rPr>
                <w:rFonts w:ascii="Arial" w:hAnsi="Arial" w:cs="Arial"/>
                <w:b/>
                <w:bCs/>
                <w:sz w:val="16"/>
                <w:szCs w:val="16"/>
              </w:rPr>
            </w:pPr>
            <w:r w:rsidRPr="00A26227">
              <w:rPr>
                <w:rFonts w:ascii="Arial" w:hAnsi="Arial" w:cs="Arial"/>
                <w:b/>
                <w:bCs/>
                <w:sz w:val="16"/>
                <w:szCs w:val="16"/>
              </w:rPr>
              <w:t>429</w:t>
            </w:r>
          </w:p>
        </w:tc>
        <w:tc>
          <w:tcPr>
            <w:tcW w:w="815" w:type="pct"/>
            <w:tcBorders>
              <w:top w:val="single" w:sz="2" w:space="0" w:color="000000" w:themeColor="text1"/>
              <w:bottom w:val="single" w:sz="2" w:space="0" w:color="000000" w:themeColor="text1"/>
            </w:tcBorders>
            <w:shd w:val="clear" w:color="auto" w:fill="auto"/>
            <w:noWrap/>
            <w:vAlign w:val="bottom"/>
            <w:hideMark/>
          </w:tcPr>
          <w:p w14:paraId="65FE63EC" w14:textId="77777777" w:rsidR="004D2DD7" w:rsidRPr="00A26227" w:rsidRDefault="004D2DD7" w:rsidP="006D0C45">
            <w:pPr>
              <w:keepNext/>
              <w:keepLines/>
              <w:spacing w:after="0" w:line="240" w:lineRule="auto"/>
              <w:jc w:val="right"/>
              <w:rPr>
                <w:rFonts w:ascii="Arial" w:hAnsi="Arial" w:cs="Arial"/>
                <w:b/>
                <w:bCs/>
                <w:sz w:val="16"/>
                <w:szCs w:val="16"/>
              </w:rPr>
            </w:pPr>
            <w:r w:rsidRPr="00A26227">
              <w:rPr>
                <w:rFonts w:ascii="Arial" w:hAnsi="Arial" w:cs="Arial"/>
                <w:b/>
                <w:bCs/>
                <w:sz w:val="16"/>
                <w:szCs w:val="16"/>
              </w:rPr>
              <w:t>2,176,480</w:t>
            </w:r>
          </w:p>
        </w:tc>
        <w:tc>
          <w:tcPr>
            <w:tcW w:w="517" w:type="pct"/>
            <w:tcBorders>
              <w:top w:val="single" w:sz="2" w:space="0" w:color="000000" w:themeColor="text1"/>
              <w:bottom w:val="single" w:sz="2" w:space="0" w:color="000000" w:themeColor="text1"/>
            </w:tcBorders>
            <w:vAlign w:val="bottom"/>
          </w:tcPr>
          <w:p w14:paraId="6B4C3FA8" w14:textId="77777777" w:rsidR="004D2DD7" w:rsidRPr="00A26227" w:rsidRDefault="004D2DD7" w:rsidP="006D0C45">
            <w:pPr>
              <w:keepNext/>
              <w:keepLines/>
              <w:spacing w:after="0" w:line="240" w:lineRule="auto"/>
              <w:jc w:val="right"/>
              <w:rPr>
                <w:rFonts w:ascii="Arial" w:hAnsi="Arial" w:cs="Arial"/>
                <w:b/>
                <w:bCs/>
                <w:sz w:val="16"/>
                <w:szCs w:val="16"/>
              </w:rPr>
            </w:pPr>
            <w:r w:rsidRPr="00A26227">
              <w:rPr>
                <w:rFonts w:ascii="Arial" w:hAnsi="Arial" w:cs="Arial"/>
                <w:b/>
                <w:bCs/>
                <w:sz w:val="16"/>
                <w:szCs w:val="16"/>
              </w:rPr>
              <w:t>515</w:t>
            </w:r>
          </w:p>
        </w:tc>
        <w:tc>
          <w:tcPr>
            <w:tcW w:w="602" w:type="pct"/>
            <w:tcBorders>
              <w:top w:val="single" w:sz="2" w:space="0" w:color="000000" w:themeColor="text1"/>
              <w:bottom w:val="single" w:sz="2" w:space="0" w:color="000000" w:themeColor="text1"/>
            </w:tcBorders>
            <w:vAlign w:val="bottom"/>
          </w:tcPr>
          <w:p w14:paraId="6732F196" w14:textId="77777777" w:rsidR="004D2DD7" w:rsidRPr="00A26227" w:rsidRDefault="004D2DD7" w:rsidP="006D0C45">
            <w:pPr>
              <w:keepNext/>
              <w:keepLines/>
              <w:spacing w:after="0" w:line="240" w:lineRule="auto"/>
              <w:jc w:val="right"/>
              <w:rPr>
                <w:rFonts w:ascii="Arial" w:hAnsi="Arial" w:cs="Arial"/>
                <w:b/>
                <w:bCs/>
                <w:sz w:val="16"/>
                <w:szCs w:val="16"/>
              </w:rPr>
            </w:pPr>
            <w:r w:rsidRPr="00A26227">
              <w:rPr>
                <w:rFonts w:ascii="Arial" w:hAnsi="Arial" w:cs="Arial"/>
                <w:b/>
                <w:bCs/>
                <w:sz w:val="16"/>
                <w:szCs w:val="16"/>
              </w:rPr>
              <w:t>3,555,320</w:t>
            </w:r>
          </w:p>
        </w:tc>
        <w:tc>
          <w:tcPr>
            <w:tcW w:w="517" w:type="pct"/>
            <w:tcBorders>
              <w:top w:val="single" w:sz="2" w:space="0" w:color="000000" w:themeColor="text1"/>
              <w:bottom w:val="single" w:sz="2" w:space="0" w:color="000000" w:themeColor="text1"/>
            </w:tcBorders>
            <w:shd w:val="clear" w:color="000000" w:fill="F2F2F2"/>
            <w:vAlign w:val="bottom"/>
            <w:hideMark/>
          </w:tcPr>
          <w:p w14:paraId="286AF484" w14:textId="77777777" w:rsidR="004D2DD7" w:rsidRPr="00A26227" w:rsidRDefault="004D2DD7" w:rsidP="006D0C45">
            <w:pPr>
              <w:keepNext/>
              <w:keepLines/>
              <w:spacing w:after="0" w:line="240" w:lineRule="auto"/>
              <w:jc w:val="right"/>
              <w:rPr>
                <w:rFonts w:ascii="Arial" w:hAnsi="Arial" w:cs="Arial"/>
                <w:b/>
                <w:bCs/>
                <w:sz w:val="16"/>
                <w:szCs w:val="16"/>
              </w:rPr>
            </w:pPr>
            <w:r w:rsidRPr="00A26227">
              <w:rPr>
                <w:rFonts w:ascii="Arial" w:hAnsi="Arial" w:cs="Arial"/>
                <w:b/>
                <w:bCs/>
                <w:sz w:val="16"/>
                <w:szCs w:val="16"/>
              </w:rPr>
              <w:t>176</w:t>
            </w:r>
          </w:p>
        </w:tc>
        <w:tc>
          <w:tcPr>
            <w:tcW w:w="602" w:type="pct"/>
            <w:tcBorders>
              <w:top w:val="single" w:sz="2" w:space="0" w:color="000000" w:themeColor="text1"/>
              <w:bottom w:val="single" w:sz="2" w:space="0" w:color="000000" w:themeColor="text1"/>
            </w:tcBorders>
            <w:shd w:val="clear" w:color="000000" w:fill="F2F2F2"/>
            <w:vAlign w:val="bottom"/>
            <w:hideMark/>
          </w:tcPr>
          <w:p w14:paraId="2A332A72" w14:textId="77777777" w:rsidR="004D2DD7" w:rsidRPr="00A26227" w:rsidRDefault="004D2DD7" w:rsidP="006D0C45">
            <w:pPr>
              <w:keepNext/>
              <w:keepLines/>
              <w:spacing w:after="0" w:line="240" w:lineRule="auto"/>
              <w:jc w:val="right"/>
              <w:rPr>
                <w:rFonts w:ascii="Arial" w:hAnsi="Arial" w:cs="Arial"/>
                <w:b/>
                <w:bCs/>
                <w:sz w:val="16"/>
                <w:szCs w:val="16"/>
              </w:rPr>
            </w:pPr>
            <w:r w:rsidRPr="00A26227">
              <w:rPr>
                <w:rFonts w:ascii="Arial" w:hAnsi="Arial" w:cs="Arial"/>
                <w:b/>
                <w:bCs/>
                <w:sz w:val="16"/>
                <w:szCs w:val="16"/>
              </w:rPr>
              <w:t>1</w:t>
            </w:r>
            <w:r w:rsidR="0057228F">
              <w:rPr>
                <w:rFonts w:ascii="Arial" w:hAnsi="Arial" w:cs="Arial"/>
                <w:b/>
                <w:bCs/>
                <w:sz w:val="16"/>
                <w:szCs w:val="16"/>
              </w:rPr>
              <w:t>,</w:t>
            </w:r>
            <w:r w:rsidRPr="00A26227">
              <w:rPr>
                <w:rFonts w:ascii="Arial" w:hAnsi="Arial" w:cs="Arial"/>
                <w:b/>
                <w:bCs/>
                <w:sz w:val="16"/>
                <w:szCs w:val="16"/>
              </w:rPr>
              <w:t>303</w:t>
            </w:r>
            <w:r w:rsidR="00A26227" w:rsidRPr="00A26227">
              <w:rPr>
                <w:rFonts w:ascii="Arial" w:hAnsi="Arial" w:cs="Arial"/>
                <w:b/>
                <w:bCs/>
                <w:sz w:val="16"/>
                <w:szCs w:val="16"/>
              </w:rPr>
              <w:t>,</w:t>
            </w:r>
            <w:r w:rsidRPr="00A26227">
              <w:rPr>
                <w:rFonts w:ascii="Arial" w:hAnsi="Arial" w:cs="Arial"/>
                <w:b/>
                <w:bCs/>
                <w:sz w:val="16"/>
                <w:szCs w:val="16"/>
              </w:rPr>
              <w:t>960</w:t>
            </w:r>
          </w:p>
        </w:tc>
      </w:tr>
    </w:tbl>
    <w:p w14:paraId="21AD3E2C" w14:textId="77777777" w:rsidR="00722605" w:rsidRDefault="00722605" w:rsidP="006D0C45">
      <w:pPr>
        <w:pStyle w:val="Caveat"/>
        <w:keepNext/>
        <w:keepLines/>
      </w:pPr>
      <w:r w:rsidRPr="00BF48CD">
        <w:t xml:space="preserve">Before republishing this data or comparing between years, thoroughly review the methodological and data caveats in Appendix B. </w:t>
      </w:r>
    </w:p>
    <w:p w14:paraId="0E36D68F" w14:textId="437D1377" w:rsidR="00722605" w:rsidRPr="0051581A" w:rsidRDefault="00722605" w:rsidP="006D0C45">
      <w:pPr>
        <w:pStyle w:val="Caveat"/>
        <w:keepNext/>
        <w:keepLines/>
        <w:rPr>
          <w:rFonts w:cs="Arial"/>
          <w:szCs w:val="16"/>
        </w:rPr>
      </w:pPr>
      <w:r w:rsidRPr="0051581A">
        <w:rPr>
          <w:rFonts w:cs="Arial"/>
          <w:szCs w:val="16"/>
        </w:rPr>
        <w:t>Tier 1 infringement notices are issued where the breach is self</w:t>
      </w:r>
      <w:r w:rsidR="00BD4D19">
        <w:rPr>
          <w:rFonts w:cs="Arial"/>
          <w:szCs w:val="16"/>
        </w:rPr>
        <w:noBreakHyphen/>
      </w:r>
      <w:r w:rsidRPr="0051581A">
        <w:rPr>
          <w:rFonts w:cs="Arial"/>
          <w:szCs w:val="16"/>
        </w:rPr>
        <w:t>disclosed.</w:t>
      </w:r>
    </w:p>
    <w:p w14:paraId="68D1E4BE" w14:textId="56D88543" w:rsidR="006F0D93" w:rsidRDefault="00722605" w:rsidP="00820C89">
      <w:pPr>
        <w:pStyle w:val="Caveat"/>
        <w:rPr>
          <w:rFonts w:cs="Arial"/>
          <w:szCs w:val="16"/>
        </w:rPr>
      </w:pPr>
      <w:r w:rsidRPr="0051581A">
        <w:rPr>
          <w:rFonts w:cs="Arial"/>
          <w:szCs w:val="16"/>
        </w:rPr>
        <w:t>Tier 2 infringement notices are issued where the breach is identified by the ATO</w:t>
      </w:r>
      <w:r w:rsidR="00BD4D19">
        <w:rPr>
          <w:rFonts w:cs="Arial"/>
          <w:szCs w:val="16"/>
        </w:rPr>
        <w:t>’</w:t>
      </w:r>
      <w:r w:rsidRPr="0051581A">
        <w:rPr>
          <w:rFonts w:cs="Arial"/>
          <w:szCs w:val="16"/>
        </w:rPr>
        <w:t>s compliance activity</w:t>
      </w:r>
      <w:bookmarkStart w:id="217" w:name="_Toc31636031"/>
      <w:bookmarkStart w:id="218" w:name="_Toc31642800"/>
    </w:p>
    <w:p w14:paraId="57414116" w14:textId="77777777" w:rsidR="005C7BBE" w:rsidRPr="00820C89" w:rsidRDefault="005C7BBE" w:rsidP="00820C89">
      <w:pPr>
        <w:pStyle w:val="Caveat"/>
        <w:rPr>
          <w:rFonts w:cs="Arial"/>
          <w:szCs w:val="16"/>
        </w:rPr>
      </w:pPr>
    </w:p>
    <w:p w14:paraId="240C1D90" w14:textId="77777777" w:rsidR="00E043B0" w:rsidRPr="00820C89" w:rsidRDefault="00E043B0" w:rsidP="00820C89">
      <w:pPr>
        <w:sectPr w:rsidR="00E043B0" w:rsidRPr="00820C89" w:rsidSect="00966278">
          <w:headerReference w:type="default" r:id="rId73"/>
          <w:headerReference w:type="first" r:id="rId74"/>
          <w:footerReference w:type="first" r:id="rId75"/>
          <w:type w:val="oddPage"/>
          <w:pgSz w:w="11906" w:h="16838" w:code="9"/>
          <w:pgMar w:top="2466" w:right="2098" w:bottom="2466" w:left="2098" w:header="1899" w:footer="1899" w:gutter="0"/>
          <w:cols w:space="708"/>
          <w:titlePg/>
          <w:docGrid w:linePitch="360"/>
        </w:sectPr>
      </w:pPr>
    </w:p>
    <w:p w14:paraId="7FD6D521" w14:textId="068F0983" w:rsidR="00A84283" w:rsidRPr="00D60D30" w:rsidRDefault="000376F1" w:rsidP="000376F1">
      <w:pPr>
        <w:pStyle w:val="AppendixHeading"/>
      </w:pPr>
      <w:bookmarkStart w:id="219" w:name="_Toc32247811"/>
      <w:bookmarkStart w:id="220" w:name="_Toc63782942"/>
      <w:bookmarkStart w:id="221" w:name="_Toc75244070"/>
      <w:r>
        <w:rPr>
          <w:noProof/>
        </w:rPr>
        <w:drawing>
          <wp:anchor distT="0" distB="0" distL="114300" distR="114300" simplePos="0" relativeHeight="251660288" behindDoc="0" locked="0" layoutInCell="1" allowOverlap="1" wp14:anchorId="1040CD99" wp14:editId="06D36C32">
            <wp:simplePos x="0" y="0"/>
            <wp:positionH relativeFrom="margin">
              <wp:align>right</wp:align>
            </wp:positionH>
            <wp:positionV relativeFrom="paragraph">
              <wp:posOffset>4445</wp:posOffset>
            </wp:positionV>
            <wp:extent cx="4895088" cy="2161032"/>
            <wp:effectExtent l="0" t="0" r="1270" b="0"/>
            <wp:wrapNone/>
            <wp:docPr id="16" name="Picture 16" descr="Chapter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pter header graphic"/>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95088" cy="2161032"/>
                    </a:xfrm>
                    <a:prstGeom prst="rect">
                      <a:avLst/>
                    </a:prstGeom>
                  </pic:spPr>
                </pic:pic>
              </a:graphicData>
            </a:graphic>
          </wp:anchor>
        </w:drawing>
      </w:r>
      <w:r w:rsidR="00A84283" w:rsidRPr="00D60D30">
        <w:t xml:space="preserve">Appendix A: </w:t>
      </w:r>
      <w:r w:rsidR="00EB6181" w:rsidRPr="00D60D30">
        <w:t xml:space="preserve">Board </w:t>
      </w:r>
      <w:r w:rsidR="00A84283" w:rsidRPr="00D60D30">
        <w:t xml:space="preserve">Meetings during </w:t>
      </w:r>
      <w:r w:rsidR="00A84283" w:rsidRPr="006225EA">
        <w:t>20</w:t>
      </w:r>
      <w:r w:rsidR="00F73AA4" w:rsidRPr="006225EA">
        <w:t>19</w:t>
      </w:r>
      <w:r w:rsidR="00BD4D19">
        <w:noBreakHyphen/>
      </w:r>
      <w:r w:rsidR="00F73AA4">
        <w:t>20</w:t>
      </w:r>
      <w:bookmarkEnd w:id="217"/>
      <w:bookmarkEnd w:id="218"/>
      <w:bookmarkEnd w:id="219"/>
      <w:bookmarkEnd w:id="220"/>
      <w:bookmarkEnd w:id="221"/>
    </w:p>
    <w:p w14:paraId="6FBB5F8D" w14:textId="77777777" w:rsidR="00F15251" w:rsidRDefault="00F15251" w:rsidP="00F15251">
      <w:bookmarkStart w:id="222" w:name="_Toc32247785"/>
      <w:bookmarkStart w:id="223" w:name="_Toc63798296"/>
    </w:p>
    <w:p w14:paraId="024D9B23" w14:textId="77777777" w:rsidR="00F15251" w:rsidRDefault="00F15251" w:rsidP="00F15251"/>
    <w:p w14:paraId="76454B61" w14:textId="77777777" w:rsidR="00F15251" w:rsidRDefault="00F15251" w:rsidP="00F15251"/>
    <w:p w14:paraId="5B69B4E3" w14:textId="77777777" w:rsidR="00F15251" w:rsidRDefault="00F15251" w:rsidP="00F15251"/>
    <w:p w14:paraId="014D418F" w14:textId="77777777" w:rsidR="00F15251" w:rsidRDefault="00F15251" w:rsidP="00F15251"/>
    <w:p w14:paraId="0BD8BD4E" w14:textId="77777777" w:rsidR="00F15251" w:rsidRDefault="00F15251" w:rsidP="00F15251">
      <w:pPr>
        <w:spacing w:after="360"/>
      </w:pPr>
    </w:p>
    <w:p w14:paraId="14E30F37" w14:textId="77777777" w:rsidR="00A84283" w:rsidRPr="00A84283" w:rsidRDefault="00A84283" w:rsidP="00457C0B">
      <w:pPr>
        <w:pStyle w:val="TableMainHeading"/>
      </w:pPr>
      <w:bookmarkStart w:id="224" w:name="_Toc73984754"/>
      <w:r w:rsidRPr="00A84283">
        <w:t xml:space="preserve">Table A.1: </w:t>
      </w:r>
      <w:r w:rsidR="00EB6181">
        <w:t>Board</w:t>
      </w:r>
      <w:r w:rsidRPr="00A84283">
        <w:t xml:space="preserve"> meeting attendance during 20</w:t>
      </w:r>
      <w:r w:rsidR="00F73AA4">
        <w:t>19</w:t>
      </w:r>
      <w:r w:rsidR="000207A1">
        <w:t>–</w:t>
      </w:r>
      <w:r w:rsidR="00F73AA4">
        <w:t>20</w:t>
      </w:r>
      <w:bookmarkEnd w:id="222"/>
      <w:bookmarkEnd w:id="223"/>
      <w:bookmarkEnd w:id="22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1: Board meeting attendance during 2018–19"/>
        <w:tblDescription w:val="A table that show the total number of meetings each member of the Baord attended during 2018-19 and the number the number they were eligible ot attend. Alice Williams attended 7 out the 9 meetings she was eligible toi attend, Cheryl Edwards and David Peever attended 8 out of 9 meetings, with all other members attending all the meeting they were eligible to attend."/>
      </w:tblPr>
      <w:tblGrid>
        <w:gridCol w:w="3434"/>
        <w:gridCol w:w="2139"/>
        <w:gridCol w:w="2137"/>
      </w:tblGrid>
      <w:tr w:rsidR="00EA3025" w:rsidRPr="0037739F" w14:paraId="1837E762" w14:textId="77777777" w:rsidTr="00EA3025">
        <w:trPr>
          <w:trHeight w:val="227"/>
          <w:tblHeader/>
        </w:trPr>
        <w:tc>
          <w:tcPr>
            <w:tcW w:w="2227" w:type="pct"/>
            <w:tcBorders>
              <w:top w:val="single" w:sz="2" w:space="0" w:color="000000" w:themeColor="text1"/>
              <w:bottom w:val="single" w:sz="2" w:space="0" w:color="000000" w:themeColor="text1"/>
            </w:tcBorders>
          </w:tcPr>
          <w:p w14:paraId="65CB6098" w14:textId="77777777" w:rsidR="00EA3025" w:rsidRPr="0037739F" w:rsidRDefault="00EA3025" w:rsidP="0037739F">
            <w:pPr>
              <w:spacing w:after="0"/>
              <w:rPr>
                <w:rFonts w:ascii="Arial" w:hAnsi="Arial" w:cs="Arial"/>
                <w:sz w:val="16"/>
                <w:szCs w:val="16"/>
              </w:rPr>
            </w:pPr>
          </w:p>
        </w:tc>
        <w:tc>
          <w:tcPr>
            <w:tcW w:w="1387" w:type="pct"/>
            <w:tcBorders>
              <w:top w:val="single" w:sz="2" w:space="0" w:color="000000" w:themeColor="text1"/>
              <w:bottom w:val="single" w:sz="2" w:space="0" w:color="000000" w:themeColor="text1"/>
            </w:tcBorders>
          </w:tcPr>
          <w:p w14:paraId="4645A4D6" w14:textId="77777777" w:rsidR="00EA3025" w:rsidRPr="0037739F" w:rsidRDefault="00EA3025" w:rsidP="00D66EA5">
            <w:pPr>
              <w:spacing w:after="0"/>
              <w:jc w:val="right"/>
              <w:rPr>
                <w:rFonts w:ascii="Arial" w:hAnsi="Arial" w:cs="Arial"/>
                <w:sz w:val="16"/>
                <w:szCs w:val="16"/>
              </w:rPr>
            </w:pPr>
            <w:r w:rsidRPr="0037739F">
              <w:rPr>
                <w:rFonts w:ascii="Arial" w:hAnsi="Arial" w:cs="Arial"/>
                <w:sz w:val="16"/>
                <w:szCs w:val="16"/>
              </w:rPr>
              <w:t>No. of meetings attended</w:t>
            </w:r>
          </w:p>
        </w:tc>
        <w:tc>
          <w:tcPr>
            <w:tcW w:w="1386" w:type="pct"/>
            <w:tcBorders>
              <w:top w:val="single" w:sz="2" w:space="0" w:color="000000" w:themeColor="text1"/>
              <w:bottom w:val="single" w:sz="2" w:space="0" w:color="000000" w:themeColor="text1"/>
            </w:tcBorders>
          </w:tcPr>
          <w:p w14:paraId="78D18067" w14:textId="77777777" w:rsidR="00EA3025" w:rsidRPr="0037739F" w:rsidRDefault="00EA3025" w:rsidP="00922554">
            <w:pPr>
              <w:spacing w:after="0"/>
              <w:jc w:val="right"/>
              <w:rPr>
                <w:rFonts w:ascii="Arial" w:hAnsi="Arial" w:cs="Arial"/>
                <w:sz w:val="16"/>
                <w:szCs w:val="16"/>
              </w:rPr>
            </w:pPr>
            <w:r w:rsidRPr="0037739F">
              <w:rPr>
                <w:rFonts w:ascii="Arial" w:hAnsi="Arial" w:cs="Arial"/>
                <w:sz w:val="16"/>
                <w:szCs w:val="16"/>
              </w:rPr>
              <w:t>No. of meetings eligible to attend</w:t>
            </w:r>
          </w:p>
        </w:tc>
      </w:tr>
      <w:tr w:rsidR="00EA3025" w:rsidRPr="0037739F" w14:paraId="3CF7AE1F" w14:textId="77777777" w:rsidTr="00EA3025">
        <w:trPr>
          <w:trHeight w:val="227"/>
        </w:trPr>
        <w:tc>
          <w:tcPr>
            <w:tcW w:w="2227" w:type="pct"/>
            <w:tcBorders>
              <w:top w:val="single" w:sz="2" w:space="0" w:color="000000" w:themeColor="text1"/>
            </w:tcBorders>
          </w:tcPr>
          <w:p w14:paraId="33B446BC" w14:textId="77777777" w:rsidR="00EA3025" w:rsidRPr="0037739F" w:rsidRDefault="00EA3025" w:rsidP="00006CA3">
            <w:pPr>
              <w:spacing w:after="0"/>
              <w:jc w:val="left"/>
              <w:rPr>
                <w:rFonts w:ascii="Arial" w:hAnsi="Arial" w:cs="Arial"/>
                <w:sz w:val="16"/>
                <w:szCs w:val="16"/>
              </w:rPr>
            </w:pPr>
            <w:r w:rsidRPr="0037739F">
              <w:rPr>
                <w:rFonts w:ascii="Arial" w:hAnsi="Arial" w:cs="Arial"/>
                <w:sz w:val="16"/>
                <w:szCs w:val="16"/>
              </w:rPr>
              <w:t>David Irvine (Chair)</w:t>
            </w:r>
          </w:p>
        </w:tc>
        <w:tc>
          <w:tcPr>
            <w:tcW w:w="1387" w:type="pct"/>
            <w:tcBorders>
              <w:top w:val="single" w:sz="2" w:space="0" w:color="000000" w:themeColor="text1"/>
            </w:tcBorders>
          </w:tcPr>
          <w:p w14:paraId="260A739D" w14:textId="77777777" w:rsidR="00EA3025" w:rsidRPr="0037739F" w:rsidRDefault="00EA3025" w:rsidP="00D66EA5">
            <w:pPr>
              <w:spacing w:after="0"/>
              <w:jc w:val="right"/>
              <w:rPr>
                <w:rFonts w:ascii="Arial" w:hAnsi="Arial" w:cs="Arial"/>
                <w:sz w:val="16"/>
                <w:szCs w:val="16"/>
              </w:rPr>
            </w:pPr>
            <w:r>
              <w:rPr>
                <w:rFonts w:ascii="Arial" w:hAnsi="Arial" w:cs="Arial"/>
                <w:sz w:val="16"/>
                <w:szCs w:val="16"/>
              </w:rPr>
              <w:t>10</w:t>
            </w:r>
          </w:p>
        </w:tc>
        <w:tc>
          <w:tcPr>
            <w:tcW w:w="1386" w:type="pct"/>
            <w:tcBorders>
              <w:top w:val="single" w:sz="2" w:space="0" w:color="000000" w:themeColor="text1"/>
            </w:tcBorders>
          </w:tcPr>
          <w:p w14:paraId="7A02154A" w14:textId="77777777" w:rsidR="00EA3025" w:rsidRPr="0037739F" w:rsidRDefault="00EA3025" w:rsidP="00922554">
            <w:pPr>
              <w:spacing w:after="0"/>
              <w:jc w:val="right"/>
              <w:rPr>
                <w:rFonts w:ascii="Arial" w:hAnsi="Arial" w:cs="Arial"/>
                <w:sz w:val="16"/>
                <w:szCs w:val="16"/>
              </w:rPr>
            </w:pPr>
            <w:r>
              <w:rPr>
                <w:rFonts w:ascii="Arial" w:hAnsi="Arial" w:cs="Arial"/>
                <w:sz w:val="16"/>
                <w:szCs w:val="16"/>
              </w:rPr>
              <w:t>10</w:t>
            </w:r>
          </w:p>
        </w:tc>
      </w:tr>
      <w:tr w:rsidR="00EA3025" w:rsidRPr="0037739F" w14:paraId="446B2EFD" w14:textId="77777777" w:rsidTr="00EA3025">
        <w:trPr>
          <w:trHeight w:val="227"/>
        </w:trPr>
        <w:tc>
          <w:tcPr>
            <w:tcW w:w="2227" w:type="pct"/>
          </w:tcPr>
          <w:p w14:paraId="04DFA705" w14:textId="77777777" w:rsidR="00EA3025" w:rsidRPr="0037739F" w:rsidRDefault="00EA3025" w:rsidP="00006CA3">
            <w:pPr>
              <w:spacing w:after="0"/>
              <w:jc w:val="left"/>
              <w:rPr>
                <w:rFonts w:ascii="Arial" w:hAnsi="Arial" w:cs="Arial"/>
                <w:sz w:val="16"/>
                <w:szCs w:val="16"/>
              </w:rPr>
            </w:pPr>
            <w:r w:rsidRPr="0037739F">
              <w:rPr>
                <w:rFonts w:ascii="Arial" w:hAnsi="Arial" w:cs="Arial"/>
                <w:sz w:val="16"/>
                <w:szCs w:val="16"/>
              </w:rPr>
              <w:t>Teresa Dyson</w:t>
            </w:r>
          </w:p>
        </w:tc>
        <w:tc>
          <w:tcPr>
            <w:tcW w:w="1387" w:type="pct"/>
          </w:tcPr>
          <w:p w14:paraId="1317106F" w14:textId="77777777" w:rsidR="00EA3025" w:rsidRPr="0037739F" w:rsidRDefault="00EA3025" w:rsidP="00D66EA5">
            <w:pPr>
              <w:spacing w:after="0"/>
              <w:jc w:val="right"/>
              <w:rPr>
                <w:rFonts w:ascii="Arial" w:hAnsi="Arial" w:cs="Arial"/>
                <w:sz w:val="16"/>
                <w:szCs w:val="16"/>
              </w:rPr>
            </w:pPr>
            <w:r>
              <w:rPr>
                <w:rFonts w:ascii="Arial" w:hAnsi="Arial" w:cs="Arial"/>
                <w:sz w:val="16"/>
                <w:szCs w:val="16"/>
              </w:rPr>
              <w:t>10</w:t>
            </w:r>
          </w:p>
        </w:tc>
        <w:tc>
          <w:tcPr>
            <w:tcW w:w="1386" w:type="pct"/>
          </w:tcPr>
          <w:p w14:paraId="76DE2CD7" w14:textId="77777777" w:rsidR="00EA3025" w:rsidRPr="0037739F" w:rsidRDefault="00EA3025" w:rsidP="00922554">
            <w:pPr>
              <w:spacing w:after="0"/>
              <w:jc w:val="right"/>
              <w:rPr>
                <w:rFonts w:ascii="Arial" w:hAnsi="Arial" w:cs="Arial"/>
                <w:sz w:val="16"/>
                <w:szCs w:val="16"/>
              </w:rPr>
            </w:pPr>
            <w:r>
              <w:rPr>
                <w:rFonts w:ascii="Arial" w:hAnsi="Arial" w:cs="Arial"/>
                <w:sz w:val="16"/>
                <w:szCs w:val="16"/>
              </w:rPr>
              <w:t>10</w:t>
            </w:r>
          </w:p>
        </w:tc>
      </w:tr>
      <w:tr w:rsidR="00EA3025" w:rsidRPr="0037739F" w14:paraId="60AA10FE" w14:textId="77777777" w:rsidTr="00EA3025">
        <w:trPr>
          <w:trHeight w:val="227"/>
        </w:trPr>
        <w:tc>
          <w:tcPr>
            <w:tcW w:w="2227" w:type="pct"/>
          </w:tcPr>
          <w:p w14:paraId="5EF6758D" w14:textId="77777777" w:rsidR="00EA3025" w:rsidRPr="0037739F" w:rsidRDefault="00EA3025" w:rsidP="00006CA3">
            <w:pPr>
              <w:spacing w:after="0"/>
              <w:jc w:val="left"/>
              <w:rPr>
                <w:rFonts w:ascii="Arial" w:hAnsi="Arial" w:cs="Arial"/>
                <w:sz w:val="16"/>
                <w:szCs w:val="16"/>
              </w:rPr>
            </w:pPr>
            <w:r w:rsidRPr="0037739F">
              <w:rPr>
                <w:rFonts w:ascii="Arial" w:hAnsi="Arial" w:cs="Arial"/>
                <w:sz w:val="16"/>
                <w:szCs w:val="16"/>
              </w:rPr>
              <w:t>Cheryl Edwardes</w:t>
            </w:r>
          </w:p>
        </w:tc>
        <w:tc>
          <w:tcPr>
            <w:tcW w:w="1387" w:type="pct"/>
          </w:tcPr>
          <w:p w14:paraId="300893AA" w14:textId="77777777" w:rsidR="00EA3025" w:rsidRPr="0037739F" w:rsidRDefault="00EA3025" w:rsidP="00D66EA5">
            <w:pPr>
              <w:spacing w:after="0"/>
              <w:jc w:val="right"/>
              <w:rPr>
                <w:rFonts w:ascii="Arial" w:hAnsi="Arial" w:cs="Arial"/>
                <w:sz w:val="16"/>
                <w:szCs w:val="16"/>
              </w:rPr>
            </w:pPr>
            <w:r>
              <w:rPr>
                <w:rFonts w:ascii="Arial" w:hAnsi="Arial" w:cs="Arial"/>
                <w:sz w:val="16"/>
                <w:szCs w:val="16"/>
              </w:rPr>
              <w:t>10</w:t>
            </w:r>
          </w:p>
        </w:tc>
        <w:tc>
          <w:tcPr>
            <w:tcW w:w="1386" w:type="pct"/>
          </w:tcPr>
          <w:p w14:paraId="5415BABF" w14:textId="77777777" w:rsidR="00EA3025" w:rsidRPr="0037739F" w:rsidRDefault="00EA3025" w:rsidP="00922554">
            <w:pPr>
              <w:spacing w:after="0"/>
              <w:jc w:val="right"/>
              <w:rPr>
                <w:rFonts w:ascii="Arial" w:hAnsi="Arial" w:cs="Arial"/>
                <w:sz w:val="16"/>
                <w:szCs w:val="16"/>
              </w:rPr>
            </w:pPr>
            <w:r>
              <w:rPr>
                <w:rFonts w:ascii="Arial" w:hAnsi="Arial" w:cs="Arial"/>
                <w:sz w:val="16"/>
                <w:szCs w:val="16"/>
              </w:rPr>
              <w:t>10</w:t>
            </w:r>
          </w:p>
        </w:tc>
      </w:tr>
      <w:tr w:rsidR="00EA3025" w:rsidRPr="0037739F" w14:paraId="68525647" w14:textId="77777777" w:rsidTr="00EA3025">
        <w:trPr>
          <w:trHeight w:val="227"/>
        </w:trPr>
        <w:tc>
          <w:tcPr>
            <w:tcW w:w="2227" w:type="pct"/>
          </w:tcPr>
          <w:p w14:paraId="775AD7C8" w14:textId="77777777" w:rsidR="00EA3025" w:rsidRPr="0037739F" w:rsidRDefault="00EA3025" w:rsidP="00006CA3">
            <w:pPr>
              <w:spacing w:after="0"/>
              <w:jc w:val="left"/>
              <w:rPr>
                <w:rFonts w:ascii="Arial" w:hAnsi="Arial" w:cs="Arial"/>
                <w:sz w:val="16"/>
                <w:szCs w:val="16"/>
              </w:rPr>
            </w:pPr>
            <w:r>
              <w:rPr>
                <w:rFonts w:ascii="Arial" w:hAnsi="Arial" w:cs="Arial"/>
                <w:sz w:val="16"/>
                <w:szCs w:val="16"/>
              </w:rPr>
              <w:t>Margaret (Meg) McDonald</w:t>
            </w:r>
          </w:p>
        </w:tc>
        <w:tc>
          <w:tcPr>
            <w:tcW w:w="1387" w:type="pct"/>
          </w:tcPr>
          <w:p w14:paraId="731508FE" w14:textId="77777777" w:rsidR="00EA3025" w:rsidRPr="0037739F" w:rsidRDefault="00EA3025" w:rsidP="00D66EA5">
            <w:pPr>
              <w:spacing w:after="0"/>
              <w:jc w:val="right"/>
              <w:rPr>
                <w:rFonts w:ascii="Arial" w:hAnsi="Arial" w:cs="Arial"/>
                <w:sz w:val="16"/>
                <w:szCs w:val="16"/>
              </w:rPr>
            </w:pPr>
            <w:r>
              <w:rPr>
                <w:rFonts w:ascii="Arial" w:hAnsi="Arial" w:cs="Arial"/>
                <w:sz w:val="16"/>
                <w:szCs w:val="16"/>
              </w:rPr>
              <w:t>10</w:t>
            </w:r>
          </w:p>
        </w:tc>
        <w:tc>
          <w:tcPr>
            <w:tcW w:w="1386" w:type="pct"/>
          </w:tcPr>
          <w:p w14:paraId="0906E380" w14:textId="77777777" w:rsidR="00EA3025" w:rsidRPr="0037739F" w:rsidRDefault="00EA3025" w:rsidP="00922554">
            <w:pPr>
              <w:spacing w:after="0"/>
              <w:jc w:val="right"/>
              <w:rPr>
                <w:rFonts w:ascii="Arial" w:hAnsi="Arial" w:cs="Arial"/>
                <w:sz w:val="16"/>
                <w:szCs w:val="16"/>
              </w:rPr>
            </w:pPr>
            <w:r>
              <w:rPr>
                <w:rFonts w:ascii="Arial" w:hAnsi="Arial" w:cs="Arial"/>
                <w:sz w:val="16"/>
                <w:szCs w:val="16"/>
              </w:rPr>
              <w:t>10</w:t>
            </w:r>
          </w:p>
        </w:tc>
      </w:tr>
      <w:tr w:rsidR="00EA3025" w:rsidRPr="0037739F" w14:paraId="0AFD3F85" w14:textId="77777777" w:rsidTr="00EA3025">
        <w:trPr>
          <w:trHeight w:val="227"/>
        </w:trPr>
        <w:tc>
          <w:tcPr>
            <w:tcW w:w="2227" w:type="pct"/>
          </w:tcPr>
          <w:p w14:paraId="39C4C526" w14:textId="77777777" w:rsidR="00EA3025" w:rsidRPr="0037739F" w:rsidRDefault="00EA3025" w:rsidP="00006CA3">
            <w:pPr>
              <w:spacing w:after="0"/>
              <w:jc w:val="left"/>
              <w:rPr>
                <w:rFonts w:ascii="Arial" w:hAnsi="Arial" w:cs="Arial"/>
                <w:sz w:val="16"/>
                <w:szCs w:val="16"/>
              </w:rPr>
            </w:pPr>
            <w:r>
              <w:rPr>
                <w:rFonts w:ascii="Arial" w:hAnsi="Arial" w:cs="Arial"/>
                <w:sz w:val="16"/>
                <w:szCs w:val="16"/>
              </w:rPr>
              <w:t>Nick Minchin</w:t>
            </w:r>
          </w:p>
        </w:tc>
        <w:tc>
          <w:tcPr>
            <w:tcW w:w="1387" w:type="pct"/>
          </w:tcPr>
          <w:p w14:paraId="4CCC1719" w14:textId="77777777" w:rsidR="00EA3025" w:rsidRPr="0037739F" w:rsidRDefault="00EA3025" w:rsidP="00D66EA5">
            <w:pPr>
              <w:spacing w:after="0"/>
              <w:jc w:val="right"/>
              <w:rPr>
                <w:rFonts w:ascii="Arial" w:hAnsi="Arial" w:cs="Arial"/>
                <w:sz w:val="16"/>
                <w:szCs w:val="16"/>
              </w:rPr>
            </w:pPr>
            <w:r>
              <w:rPr>
                <w:rFonts w:ascii="Arial" w:hAnsi="Arial" w:cs="Arial"/>
                <w:sz w:val="16"/>
                <w:szCs w:val="16"/>
              </w:rPr>
              <w:t>9</w:t>
            </w:r>
          </w:p>
        </w:tc>
        <w:tc>
          <w:tcPr>
            <w:tcW w:w="1386" w:type="pct"/>
          </w:tcPr>
          <w:p w14:paraId="4C9F012F" w14:textId="77777777" w:rsidR="00EA3025" w:rsidRPr="0037739F" w:rsidRDefault="00EA3025" w:rsidP="00922554">
            <w:pPr>
              <w:spacing w:after="0"/>
              <w:jc w:val="right"/>
              <w:rPr>
                <w:rFonts w:ascii="Arial" w:hAnsi="Arial" w:cs="Arial"/>
                <w:sz w:val="16"/>
                <w:szCs w:val="16"/>
              </w:rPr>
            </w:pPr>
            <w:r>
              <w:rPr>
                <w:rFonts w:ascii="Arial" w:hAnsi="Arial" w:cs="Arial"/>
                <w:sz w:val="16"/>
                <w:szCs w:val="16"/>
              </w:rPr>
              <w:t>10</w:t>
            </w:r>
          </w:p>
        </w:tc>
      </w:tr>
      <w:tr w:rsidR="00EA3025" w:rsidRPr="0037739F" w14:paraId="4CC158EE" w14:textId="77777777" w:rsidTr="00EA3025">
        <w:trPr>
          <w:trHeight w:val="227"/>
        </w:trPr>
        <w:tc>
          <w:tcPr>
            <w:tcW w:w="2227" w:type="pct"/>
          </w:tcPr>
          <w:p w14:paraId="307A83D2" w14:textId="77777777" w:rsidR="00EA3025" w:rsidRPr="0037739F" w:rsidRDefault="00EA3025" w:rsidP="00006CA3">
            <w:pPr>
              <w:spacing w:after="0"/>
              <w:jc w:val="left"/>
              <w:rPr>
                <w:rFonts w:ascii="Arial" w:hAnsi="Arial" w:cs="Arial"/>
                <w:sz w:val="16"/>
                <w:szCs w:val="16"/>
              </w:rPr>
            </w:pPr>
            <w:r w:rsidRPr="0037739F">
              <w:rPr>
                <w:rFonts w:ascii="Arial" w:hAnsi="Arial" w:cs="Arial"/>
                <w:sz w:val="16"/>
                <w:szCs w:val="16"/>
              </w:rPr>
              <w:t xml:space="preserve">David </w:t>
            </w:r>
            <w:proofErr w:type="spellStart"/>
            <w:r w:rsidRPr="0037739F">
              <w:rPr>
                <w:rFonts w:ascii="Arial" w:hAnsi="Arial" w:cs="Arial"/>
                <w:sz w:val="16"/>
                <w:szCs w:val="16"/>
              </w:rPr>
              <w:t>Peever</w:t>
            </w:r>
            <w:proofErr w:type="spellEnd"/>
          </w:p>
        </w:tc>
        <w:tc>
          <w:tcPr>
            <w:tcW w:w="1387" w:type="pct"/>
          </w:tcPr>
          <w:p w14:paraId="671FD319" w14:textId="77777777" w:rsidR="00EA3025" w:rsidRPr="0037739F" w:rsidRDefault="00EA3025" w:rsidP="00D66EA5">
            <w:pPr>
              <w:spacing w:after="0"/>
              <w:jc w:val="right"/>
              <w:rPr>
                <w:rFonts w:ascii="Arial" w:hAnsi="Arial" w:cs="Arial"/>
                <w:sz w:val="16"/>
                <w:szCs w:val="16"/>
              </w:rPr>
            </w:pPr>
            <w:r>
              <w:rPr>
                <w:rFonts w:ascii="Arial" w:hAnsi="Arial" w:cs="Arial"/>
                <w:sz w:val="16"/>
                <w:szCs w:val="16"/>
              </w:rPr>
              <w:t>9</w:t>
            </w:r>
          </w:p>
        </w:tc>
        <w:tc>
          <w:tcPr>
            <w:tcW w:w="1386" w:type="pct"/>
          </w:tcPr>
          <w:p w14:paraId="4AF24EAE" w14:textId="77777777" w:rsidR="00EA3025" w:rsidRPr="0037739F" w:rsidRDefault="00EA3025" w:rsidP="00922554">
            <w:pPr>
              <w:spacing w:after="0"/>
              <w:jc w:val="right"/>
              <w:rPr>
                <w:rFonts w:ascii="Arial" w:hAnsi="Arial" w:cs="Arial"/>
                <w:sz w:val="16"/>
                <w:szCs w:val="16"/>
              </w:rPr>
            </w:pPr>
            <w:r>
              <w:rPr>
                <w:rFonts w:ascii="Arial" w:hAnsi="Arial" w:cs="Arial"/>
                <w:sz w:val="16"/>
                <w:szCs w:val="16"/>
              </w:rPr>
              <w:t>10</w:t>
            </w:r>
          </w:p>
        </w:tc>
      </w:tr>
      <w:tr w:rsidR="00EA3025" w:rsidRPr="0037739F" w14:paraId="3BABEF0F" w14:textId="77777777" w:rsidTr="00EA3025">
        <w:trPr>
          <w:trHeight w:val="227"/>
        </w:trPr>
        <w:tc>
          <w:tcPr>
            <w:tcW w:w="2227" w:type="pct"/>
          </w:tcPr>
          <w:p w14:paraId="307D75A2" w14:textId="77777777" w:rsidR="00EA3025" w:rsidRPr="0037739F" w:rsidRDefault="00EA3025" w:rsidP="00006CA3">
            <w:pPr>
              <w:spacing w:after="0"/>
              <w:jc w:val="left"/>
              <w:rPr>
                <w:rFonts w:ascii="Arial" w:hAnsi="Arial" w:cs="Arial"/>
                <w:sz w:val="16"/>
                <w:szCs w:val="16"/>
              </w:rPr>
            </w:pPr>
            <w:r w:rsidRPr="0037739F">
              <w:rPr>
                <w:rFonts w:ascii="Arial" w:hAnsi="Arial" w:cs="Arial"/>
                <w:sz w:val="16"/>
                <w:szCs w:val="16"/>
              </w:rPr>
              <w:t>Alice Williams</w:t>
            </w:r>
          </w:p>
        </w:tc>
        <w:tc>
          <w:tcPr>
            <w:tcW w:w="1387" w:type="pct"/>
          </w:tcPr>
          <w:p w14:paraId="58169327" w14:textId="77777777" w:rsidR="00EA3025" w:rsidRPr="0037739F" w:rsidRDefault="00EA3025" w:rsidP="00D66EA5">
            <w:pPr>
              <w:spacing w:after="0"/>
              <w:jc w:val="right"/>
              <w:rPr>
                <w:rFonts w:ascii="Arial" w:hAnsi="Arial" w:cs="Arial"/>
                <w:sz w:val="16"/>
                <w:szCs w:val="16"/>
              </w:rPr>
            </w:pPr>
            <w:r>
              <w:rPr>
                <w:rFonts w:ascii="Arial" w:hAnsi="Arial" w:cs="Arial"/>
                <w:sz w:val="16"/>
                <w:szCs w:val="16"/>
              </w:rPr>
              <w:t>9</w:t>
            </w:r>
          </w:p>
        </w:tc>
        <w:tc>
          <w:tcPr>
            <w:tcW w:w="1386" w:type="pct"/>
          </w:tcPr>
          <w:p w14:paraId="75182E0F" w14:textId="77777777" w:rsidR="00EA3025" w:rsidRPr="0037739F" w:rsidRDefault="00EA3025" w:rsidP="00922554">
            <w:pPr>
              <w:spacing w:after="0"/>
              <w:jc w:val="right"/>
              <w:rPr>
                <w:rFonts w:ascii="Arial" w:hAnsi="Arial" w:cs="Arial"/>
                <w:sz w:val="16"/>
                <w:szCs w:val="16"/>
              </w:rPr>
            </w:pPr>
            <w:r>
              <w:rPr>
                <w:rFonts w:ascii="Arial" w:hAnsi="Arial" w:cs="Arial"/>
                <w:sz w:val="16"/>
                <w:szCs w:val="16"/>
              </w:rPr>
              <w:t>10</w:t>
            </w:r>
          </w:p>
        </w:tc>
      </w:tr>
      <w:tr w:rsidR="00EA3025" w:rsidRPr="0037739F" w14:paraId="73F054C4" w14:textId="77777777" w:rsidTr="00EA3025">
        <w:trPr>
          <w:trHeight w:val="227"/>
        </w:trPr>
        <w:tc>
          <w:tcPr>
            <w:tcW w:w="2227" w:type="pct"/>
            <w:tcBorders>
              <w:bottom w:val="single" w:sz="2" w:space="0" w:color="000000" w:themeColor="text1"/>
            </w:tcBorders>
          </w:tcPr>
          <w:p w14:paraId="4DFEE4CB" w14:textId="77777777" w:rsidR="00EA3025" w:rsidRPr="0037739F" w:rsidRDefault="00EA3025" w:rsidP="00006CA3">
            <w:pPr>
              <w:spacing w:after="0"/>
              <w:jc w:val="left"/>
              <w:rPr>
                <w:rFonts w:ascii="Arial" w:hAnsi="Arial" w:cs="Arial"/>
                <w:sz w:val="16"/>
                <w:szCs w:val="16"/>
              </w:rPr>
            </w:pPr>
            <w:r w:rsidRPr="0037739F">
              <w:rPr>
                <w:rFonts w:ascii="Arial" w:hAnsi="Arial" w:cs="Arial"/>
                <w:sz w:val="16"/>
                <w:szCs w:val="16"/>
              </w:rPr>
              <w:t>Roger Brake</w:t>
            </w:r>
          </w:p>
        </w:tc>
        <w:tc>
          <w:tcPr>
            <w:tcW w:w="1387" w:type="pct"/>
            <w:tcBorders>
              <w:bottom w:val="single" w:sz="2" w:space="0" w:color="000000" w:themeColor="text1"/>
            </w:tcBorders>
          </w:tcPr>
          <w:p w14:paraId="469C317D" w14:textId="77777777" w:rsidR="00EA3025" w:rsidRPr="0037739F" w:rsidRDefault="00EA3025" w:rsidP="00D66EA5">
            <w:pPr>
              <w:spacing w:after="0"/>
              <w:jc w:val="right"/>
              <w:rPr>
                <w:rFonts w:ascii="Arial" w:hAnsi="Arial" w:cs="Arial"/>
                <w:sz w:val="16"/>
                <w:szCs w:val="16"/>
              </w:rPr>
            </w:pPr>
            <w:r>
              <w:rPr>
                <w:rFonts w:ascii="Arial" w:hAnsi="Arial" w:cs="Arial"/>
                <w:sz w:val="16"/>
                <w:szCs w:val="16"/>
              </w:rPr>
              <w:t>9</w:t>
            </w:r>
          </w:p>
        </w:tc>
        <w:tc>
          <w:tcPr>
            <w:tcW w:w="1386" w:type="pct"/>
            <w:tcBorders>
              <w:bottom w:val="single" w:sz="2" w:space="0" w:color="000000" w:themeColor="text1"/>
            </w:tcBorders>
          </w:tcPr>
          <w:p w14:paraId="712357E8" w14:textId="77777777" w:rsidR="00EA3025" w:rsidRPr="0037739F" w:rsidRDefault="00EA3025" w:rsidP="00922554">
            <w:pPr>
              <w:spacing w:after="0"/>
              <w:jc w:val="right"/>
              <w:rPr>
                <w:rFonts w:ascii="Arial" w:hAnsi="Arial" w:cs="Arial"/>
                <w:sz w:val="16"/>
                <w:szCs w:val="16"/>
              </w:rPr>
            </w:pPr>
            <w:r>
              <w:rPr>
                <w:rFonts w:ascii="Arial" w:hAnsi="Arial" w:cs="Arial"/>
                <w:sz w:val="16"/>
                <w:szCs w:val="16"/>
              </w:rPr>
              <w:t>10</w:t>
            </w:r>
          </w:p>
        </w:tc>
      </w:tr>
    </w:tbl>
    <w:p w14:paraId="65F0DC36" w14:textId="0020DD9F" w:rsidR="00FF3274" w:rsidRDefault="00483AF9" w:rsidP="00EA3025">
      <w:pPr>
        <w:pStyle w:val="Caveat"/>
        <w:keepNext/>
        <w:keepLines/>
      </w:pPr>
      <w:bookmarkStart w:id="225" w:name="_Toc31636032"/>
      <w:bookmarkStart w:id="226" w:name="_Toc31642801"/>
      <w:r>
        <w:t>Due to the impacts of the COVID</w:t>
      </w:r>
      <w:r w:rsidR="00BD4D19">
        <w:noBreakHyphen/>
      </w:r>
      <w:r>
        <w:t>19 pandemic, the Board replaced their monthly face</w:t>
      </w:r>
      <w:r w:rsidR="00BD4D19">
        <w:noBreakHyphen/>
      </w:r>
      <w:r>
        <w:t>to</w:t>
      </w:r>
      <w:r w:rsidR="00BD4D19">
        <w:noBreakHyphen/>
      </w:r>
      <w:r>
        <w:t>face meetings with teleconference meetings between March and October 2020. In the reporting period four face to</w:t>
      </w:r>
      <w:r w:rsidR="00BD4D19">
        <w:noBreakHyphen/>
      </w:r>
      <w:r>
        <w:t>face meetings between March and June 2020 changed to teleconference meetings and are included in the figures in this table.</w:t>
      </w:r>
    </w:p>
    <w:p w14:paraId="05EB430F" w14:textId="77777777" w:rsidR="00EA3025" w:rsidRPr="00EA3025" w:rsidRDefault="00EA3025" w:rsidP="00EA3025">
      <w:pPr>
        <w:sectPr w:rsidR="00EA3025" w:rsidRPr="00EA3025" w:rsidSect="000B6F64">
          <w:headerReference w:type="default" r:id="rId77"/>
          <w:pgSz w:w="11906" w:h="16838" w:code="9"/>
          <w:pgMar w:top="2466" w:right="2098" w:bottom="2466" w:left="2098" w:header="1899" w:footer="1899" w:gutter="0"/>
          <w:cols w:space="708"/>
          <w:titlePg/>
          <w:docGrid w:linePitch="360"/>
        </w:sectPr>
      </w:pPr>
    </w:p>
    <w:p w14:paraId="2D785B62" w14:textId="77777777" w:rsidR="00A84283" w:rsidRPr="000376F1" w:rsidRDefault="000376F1" w:rsidP="000376F1">
      <w:pPr>
        <w:pStyle w:val="AppendixHeading"/>
      </w:pPr>
      <w:bookmarkStart w:id="227" w:name="_Toc32247812"/>
      <w:bookmarkStart w:id="228" w:name="_Toc63782943"/>
      <w:bookmarkStart w:id="229" w:name="_Toc75244071"/>
      <w:r w:rsidRPr="000376F1">
        <w:rPr>
          <w:noProof/>
        </w:rPr>
        <w:drawing>
          <wp:anchor distT="0" distB="0" distL="114300" distR="114300" simplePos="0" relativeHeight="251664384" behindDoc="0" locked="0" layoutInCell="1" allowOverlap="1" wp14:anchorId="291CD72A" wp14:editId="1990910B">
            <wp:simplePos x="0" y="0"/>
            <wp:positionH relativeFrom="margin">
              <wp:posOffset>19050</wp:posOffset>
            </wp:positionH>
            <wp:positionV relativeFrom="paragraph">
              <wp:posOffset>5080</wp:posOffset>
            </wp:positionV>
            <wp:extent cx="4895088" cy="2161032"/>
            <wp:effectExtent l="0" t="0" r="1270" b="0"/>
            <wp:wrapNone/>
            <wp:docPr id="17" name="Picture 17" descr="Chapter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pter header graphic"/>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95088" cy="2161032"/>
                    </a:xfrm>
                    <a:prstGeom prst="rect">
                      <a:avLst/>
                    </a:prstGeom>
                  </pic:spPr>
                </pic:pic>
              </a:graphicData>
            </a:graphic>
          </wp:anchor>
        </w:drawing>
      </w:r>
      <w:r w:rsidRPr="000376F1">
        <w:t xml:space="preserve">Appendix </w:t>
      </w:r>
      <w:r>
        <w:t>B</w:t>
      </w:r>
      <w:r w:rsidRPr="000376F1">
        <w:t xml:space="preserve">: </w:t>
      </w:r>
      <w:r>
        <w:t>M</w:t>
      </w:r>
      <w:r w:rsidRPr="000376F1">
        <w:t>ethodological and data caveats</w:t>
      </w:r>
      <w:bookmarkEnd w:id="225"/>
      <w:bookmarkEnd w:id="226"/>
      <w:bookmarkEnd w:id="227"/>
      <w:bookmarkEnd w:id="228"/>
      <w:bookmarkEnd w:id="229"/>
    </w:p>
    <w:p w14:paraId="7D569CA2" w14:textId="77777777" w:rsidR="00F15251" w:rsidRDefault="00F15251" w:rsidP="00F15251"/>
    <w:p w14:paraId="7EC3F17A" w14:textId="77777777" w:rsidR="00F15251" w:rsidRDefault="00F15251" w:rsidP="00F15251"/>
    <w:p w14:paraId="3E13D4A0" w14:textId="77777777" w:rsidR="00F15251" w:rsidRDefault="00F15251" w:rsidP="00F15251"/>
    <w:p w14:paraId="19D0C8FB" w14:textId="77777777" w:rsidR="00F15251" w:rsidRDefault="00F15251" w:rsidP="00F15251"/>
    <w:p w14:paraId="79BB0A44" w14:textId="77777777" w:rsidR="00F15251" w:rsidRDefault="00F15251" w:rsidP="00F15251"/>
    <w:p w14:paraId="1785BEAD" w14:textId="77777777" w:rsidR="00F15251" w:rsidRDefault="00F15251" w:rsidP="00F15251">
      <w:pPr>
        <w:spacing w:after="360"/>
      </w:pPr>
    </w:p>
    <w:p w14:paraId="00F0C2F3" w14:textId="77777777" w:rsidR="005C7FC0" w:rsidRDefault="005C7FC0" w:rsidP="005C7FC0">
      <w:r w:rsidRPr="00A84283">
        <w:t xml:space="preserve">This appendix provides an overview of the main methodological and data caveats that apply to applications and approvals data in this Annual Report. </w:t>
      </w:r>
      <w:r w:rsidR="005C7BBE">
        <w:t>Care should be taken</w:t>
      </w:r>
      <w:r w:rsidRPr="00A84283">
        <w:t xml:space="preserve"> when making comparisons with earlier years or alternate data sources on foreign inve</w:t>
      </w:r>
      <w:r>
        <w:t>stment.</w:t>
      </w:r>
    </w:p>
    <w:p w14:paraId="2F739E6C" w14:textId="77777777" w:rsidR="005C7FC0" w:rsidRDefault="005C7FC0" w:rsidP="00672036">
      <w:pPr>
        <w:pStyle w:val="Heading2"/>
      </w:pPr>
      <w:bookmarkStart w:id="230" w:name="_Toc75244072"/>
      <w:r>
        <w:t>Methodological Overview</w:t>
      </w:r>
      <w:bookmarkEnd w:id="230"/>
    </w:p>
    <w:p w14:paraId="01916D48" w14:textId="77777777" w:rsidR="005C7FC0" w:rsidRDefault="005C7FC0" w:rsidP="005C7FC0">
      <w:pPr>
        <w:pStyle w:val="Bullet"/>
      </w:pPr>
      <w:r w:rsidRPr="00A84283">
        <w:t>The statistics contained in this Annual Report do not measure total foreign investment made in any year, nor do they measure changes in net foreign ownership levels in Australia. They reflect investor intentions (not actual purchases) to acquire Australian assets</w:t>
      </w:r>
      <w:r>
        <w:t xml:space="preserve"> that are subject to the Act</w:t>
      </w:r>
      <w:r w:rsidRPr="00A84283">
        <w:t>. They can be skewed by very large investment proposals and multiple competing proposals for the same target.</w:t>
      </w:r>
    </w:p>
    <w:p w14:paraId="431A0C2E" w14:textId="77777777" w:rsidR="005C7FC0" w:rsidRDefault="005C7FC0" w:rsidP="005C7FC0">
      <w:pPr>
        <w:pStyle w:val="Bullet"/>
      </w:pPr>
      <w:r w:rsidRPr="00A84283">
        <w:t xml:space="preserve">The data does not necessarily reflect a change from domestic to foreign ownership as in some </w:t>
      </w:r>
      <w:r w:rsidR="00FB3181">
        <w:t>proposal</w:t>
      </w:r>
      <w:r w:rsidR="00FB3181" w:rsidRPr="00A84283">
        <w:t xml:space="preserve">s </w:t>
      </w:r>
      <w:r w:rsidRPr="00A84283">
        <w:t>both the seller and the</w:t>
      </w:r>
      <w:r>
        <w:t xml:space="preserve"> purchaser are foreign persons.</w:t>
      </w:r>
    </w:p>
    <w:p w14:paraId="59521890" w14:textId="77777777" w:rsidR="005C7FC0" w:rsidRPr="00A84283" w:rsidRDefault="005C7FC0" w:rsidP="005C7FC0">
      <w:pPr>
        <w:pStyle w:val="Bullet"/>
      </w:pPr>
      <w:r w:rsidRPr="00A84283">
        <w:t>The statistics may include some transactions that do not actually proceed. They include:</w:t>
      </w:r>
    </w:p>
    <w:p w14:paraId="3D8543D3" w14:textId="77777777" w:rsidR="005C7FC0" w:rsidRPr="00A84283" w:rsidRDefault="005C7FC0" w:rsidP="005C7FC0">
      <w:pPr>
        <w:pStyle w:val="Dash"/>
      </w:pPr>
      <w:r w:rsidRPr="00A84283">
        <w:t>approvals in a given year but which are not actually implemented in that year or at all</w:t>
      </w:r>
      <w:r w:rsidR="001B726B">
        <w:t>;</w:t>
      </w:r>
    </w:p>
    <w:p w14:paraId="3C87C4A1" w14:textId="77777777" w:rsidR="005C7FC0" w:rsidRPr="00A84283" w:rsidRDefault="005C7FC0" w:rsidP="005C7FC0">
      <w:pPr>
        <w:pStyle w:val="Dash"/>
      </w:pPr>
      <w:r w:rsidRPr="00A84283">
        <w:t>approvals for multiple competing potential acquirers of the same target (including for potential consortium participants that are yet to determine their final maximum percentage interest)</w:t>
      </w:r>
      <w:r w:rsidR="001B726B">
        <w:t>;</w:t>
      </w:r>
    </w:p>
    <w:p w14:paraId="3F8F1933" w14:textId="77777777" w:rsidR="005C7FC0" w:rsidRPr="00A84283" w:rsidRDefault="005C7FC0" w:rsidP="005C7FC0">
      <w:pPr>
        <w:pStyle w:val="Dash"/>
      </w:pPr>
      <w:r w:rsidRPr="00A84283">
        <w:t>approvals for shares, units or other interests, where only a portion of those intended may be acquired</w:t>
      </w:r>
      <w:r w:rsidR="001B726B">
        <w:t>; and</w:t>
      </w:r>
    </w:p>
    <w:p w14:paraId="6FC682A8" w14:textId="77777777" w:rsidR="005C7FC0" w:rsidRPr="00A84283" w:rsidRDefault="005C7FC0" w:rsidP="005C7FC0">
      <w:pPr>
        <w:pStyle w:val="Dash"/>
      </w:pPr>
      <w:r w:rsidRPr="00A84283">
        <w:t>proposed investment programs covered by an exemption certificate, where the program is not fully implemented.</w:t>
      </w:r>
    </w:p>
    <w:p w14:paraId="2D8F4BA9" w14:textId="16E3175E" w:rsidR="005C7FC0" w:rsidRDefault="005C7FC0" w:rsidP="005C7FC0">
      <w:pPr>
        <w:pStyle w:val="Bullet"/>
      </w:pPr>
      <w:r>
        <w:t>Hence t</w:t>
      </w:r>
      <w:r w:rsidRPr="00A84283">
        <w:t>here are substantial differences between these st</w:t>
      </w:r>
      <w:r>
        <w:t>atistics on proposed investment</w:t>
      </w:r>
      <w:r w:rsidRPr="00A84283">
        <w:t xml:space="preserve"> and actual investment flows. The latter are captured by the </w:t>
      </w:r>
      <w:r>
        <w:t>ABS</w:t>
      </w:r>
      <w:r w:rsidRPr="00A84283">
        <w:t xml:space="preserve">, which covers investment transactions between </w:t>
      </w:r>
      <w:r w:rsidR="000A035F">
        <w:t xml:space="preserve">Australian residents </w:t>
      </w:r>
      <w:r w:rsidRPr="00A84283">
        <w:t>and non</w:t>
      </w:r>
      <w:r w:rsidR="00BD4D19">
        <w:noBreakHyphen/>
      </w:r>
      <w:r w:rsidRPr="00A84283">
        <w:t>residents.</w:t>
      </w:r>
    </w:p>
    <w:p w14:paraId="6D566A22" w14:textId="77777777" w:rsidR="005C7FC0" w:rsidRPr="008063D6" w:rsidRDefault="005C7FC0" w:rsidP="005C7FC0">
      <w:pPr>
        <w:pStyle w:val="Bullet"/>
      </w:pPr>
      <w:r w:rsidRPr="008063D6">
        <w:t xml:space="preserve">Foreign investment application fees are collected when an application is submitted to the Board. The revenue recognised is based on the receipt of the application and/or payment during the reporting period (including fees paid under New Dwelling Exemption Certificates for acquired properties) less an estimate of future outflows relating to </w:t>
      </w:r>
      <w:r w:rsidR="00FB3181">
        <w:t>application</w:t>
      </w:r>
      <w:r w:rsidR="00FB3181" w:rsidRPr="008063D6">
        <w:t xml:space="preserve">s </w:t>
      </w:r>
      <w:r w:rsidRPr="008063D6">
        <w:t>where the fee might be waived.</w:t>
      </w:r>
    </w:p>
    <w:p w14:paraId="27328F17" w14:textId="77777777" w:rsidR="005C7FC0" w:rsidRPr="00A84283" w:rsidRDefault="005C7FC0" w:rsidP="00672036">
      <w:pPr>
        <w:pStyle w:val="Heading2"/>
      </w:pPr>
      <w:bookmarkStart w:id="231" w:name="_Toc75244073"/>
      <w:r>
        <w:t>General Caveats</w:t>
      </w:r>
      <w:bookmarkEnd w:id="231"/>
    </w:p>
    <w:p w14:paraId="59A83F31" w14:textId="77777777" w:rsidR="005C7FC0" w:rsidRPr="00A84283" w:rsidRDefault="005C7FC0" w:rsidP="005C7FC0">
      <w:pPr>
        <w:pStyle w:val="Bullet"/>
      </w:pPr>
      <w:r w:rsidRPr="00A84283">
        <w:t>Data capture, systems and reporting methodologies change over time.</w:t>
      </w:r>
    </w:p>
    <w:p w14:paraId="268D32D6" w14:textId="77777777" w:rsidR="005C7FC0" w:rsidRPr="00525D45" w:rsidRDefault="005C7FC0" w:rsidP="005C7FC0">
      <w:pPr>
        <w:pStyle w:val="Bullet"/>
      </w:pPr>
      <w:r w:rsidRPr="00525D45">
        <w:t>Data presented for earlier years may have been revised since last published.</w:t>
      </w:r>
    </w:p>
    <w:p w14:paraId="11E41523" w14:textId="079B9D81" w:rsidR="005C7FC0" w:rsidRPr="00525D45" w:rsidRDefault="005C7FC0" w:rsidP="005C7FC0">
      <w:pPr>
        <w:pStyle w:val="Bullet"/>
      </w:pPr>
      <w:r w:rsidRPr="00525D45">
        <w:t xml:space="preserve">An approval category that was not available during a financial year is denoted by </w:t>
      </w:r>
      <w:r w:rsidR="00BD4D19">
        <w:t>‘</w:t>
      </w:r>
      <w:proofErr w:type="spellStart"/>
      <w:r w:rsidRPr="00525D45">
        <w:t>na</w:t>
      </w:r>
      <w:proofErr w:type="spellEnd"/>
      <w:r w:rsidR="00BD4D19">
        <w:t>’</w:t>
      </w:r>
      <w:r w:rsidRPr="00525D45">
        <w:t>.</w:t>
      </w:r>
    </w:p>
    <w:p w14:paraId="760B8793" w14:textId="77777777" w:rsidR="005C7FC0" w:rsidRDefault="005C7FC0" w:rsidP="005C7FC0">
      <w:pPr>
        <w:pStyle w:val="Bullet"/>
      </w:pPr>
      <w:r w:rsidRPr="00525D45">
        <w:t xml:space="preserve">A proposed investment value is not attributed to new business approvals, corporate </w:t>
      </w:r>
      <w:r w:rsidRPr="003964C1">
        <w:t>reorganisations approvals, or variations.</w:t>
      </w:r>
    </w:p>
    <w:p w14:paraId="335D0485" w14:textId="77777777" w:rsidR="005C7FC0" w:rsidRPr="003964C1" w:rsidRDefault="005C7FC0" w:rsidP="005C7FC0">
      <w:pPr>
        <w:pStyle w:val="Bullet"/>
      </w:pPr>
      <w:r>
        <w:t>A r</w:t>
      </w:r>
      <w:r w:rsidRPr="00144EA2">
        <w:t xml:space="preserve">etrospective approval may be given when </w:t>
      </w:r>
      <w:r>
        <w:t>a foreign person failed</w:t>
      </w:r>
      <w:r w:rsidRPr="00144EA2">
        <w:t xml:space="preserve"> to seek foreign investment approval but would have received approval had they </w:t>
      </w:r>
      <w:r>
        <w:t xml:space="preserve">previously </w:t>
      </w:r>
      <w:r w:rsidRPr="00144EA2">
        <w:t>submitted an applicati</w:t>
      </w:r>
      <w:r>
        <w:t>on</w:t>
      </w:r>
      <w:r w:rsidRPr="00144EA2">
        <w:t>. Retrospective applications remain liable to pay the relevant application fee and an infringement notice.</w:t>
      </w:r>
    </w:p>
    <w:p w14:paraId="12832E5F" w14:textId="77777777" w:rsidR="005C7FC0" w:rsidRDefault="005C7FC0" w:rsidP="005C7FC0">
      <w:pPr>
        <w:pStyle w:val="Bullet"/>
      </w:pPr>
      <w:r w:rsidRPr="003964C1">
        <w:t>Totals presented throughout the report may not add due to rounding.</w:t>
      </w:r>
    </w:p>
    <w:p w14:paraId="4D96B400" w14:textId="77777777" w:rsidR="005C7FC0" w:rsidRPr="00351E58" w:rsidRDefault="005C7FC0" w:rsidP="005C7FC0">
      <w:pPr>
        <w:pStyle w:val="Bullet"/>
      </w:pPr>
      <w:r w:rsidRPr="00351E58">
        <w:t xml:space="preserve">Variations are only included in </w:t>
      </w:r>
      <w:r w:rsidR="00F15251">
        <w:t>T</w:t>
      </w:r>
      <w:r w:rsidRPr="00351E58">
        <w:t>ables 3.1</w:t>
      </w:r>
      <w:r w:rsidR="005C7BBE">
        <w:t>8</w:t>
      </w:r>
      <w:r w:rsidRPr="00351E58">
        <w:t xml:space="preserve"> and 3.1</w:t>
      </w:r>
      <w:r w:rsidR="005C7BBE">
        <w:t>9</w:t>
      </w:r>
      <w:r w:rsidRPr="00351E58">
        <w:t>.</w:t>
      </w:r>
    </w:p>
    <w:p w14:paraId="29843466" w14:textId="77777777" w:rsidR="005C7FC0" w:rsidRDefault="005C7FC0" w:rsidP="00672036">
      <w:pPr>
        <w:pStyle w:val="Heading3"/>
      </w:pPr>
      <w:r w:rsidRPr="003964C1">
        <w:t>Country of Control</w:t>
      </w:r>
    </w:p>
    <w:p w14:paraId="4FDB0312" w14:textId="77777777" w:rsidR="005C7FC0" w:rsidRPr="00B57CCF" w:rsidRDefault="005C7FC0" w:rsidP="005C7FC0">
      <w:pPr>
        <w:pStyle w:val="Bullet"/>
      </w:pPr>
      <w:r w:rsidRPr="00B57CCF">
        <w:t xml:space="preserve">Country </w:t>
      </w:r>
      <w:r w:rsidR="00CF5163">
        <w:t xml:space="preserve">of control figures in </w:t>
      </w:r>
      <w:r w:rsidR="00F15251">
        <w:t>T</w:t>
      </w:r>
      <w:r w:rsidR="00CF5163">
        <w:t>able 3.17</w:t>
      </w:r>
      <w:r w:rsidRPr="00B57CCF">
        <w:t xml:space="preserve"> indicate the total number of approvals in which investors from the particular country have a disclosed beneficial interest in or where widely held interests have been allocated to a country based on factors such as the largest interest holder or country of control of the investor. Approvals involving investment originating from more than one country are generally counted as one approval for each of the countries concerned where they include investment from foreign persons greater than five per cent or where there is shared control. For consortium approvals, or where there is shared control, the proposed investment may be counted against a number of countries with the investment value apportioned between those countries involved.</w:t>
      </w:r>
      <w:r w:rsidRPr="00B57CCF">
        <w:rPr>
          <w:rFonts w:eastAsia="Calibri"/>
          <w:noProof/>
        </w:rPr>
        <w:t xml:space="preserve"> </w:t>
      </w:r>
    </w:p>
    <w:p w14:paraId="2011B776" w14:textId="77777777" w:rsidR="005C7FC0" w:rsidRDefault="005C7FC0" w:rsidP="005C7FC0">
      <w:pPr>
        <w:pStyle w:val="Bullet"/>
      </w:pPr>
      <w:r>
        <w:t>The t</w:t>
      </w:r>
      <w:r w:rsidRPr="006D6210">
        <w:t xml:space="preserve">otal number of approvals in </w:t>
      </w:r>
      <w:r w:rsidR="00F15251">
        <w:t>T</w:t>
      </w:r>
      <w:r w:rsidRPr="006D6210">
        <w:t>able</w:t>
      </w:r>
      <w:r>
        <w:t xml:space="preserve"> 3.1</w:t>
      </w:r>
      <w:r w:rsidR="00CF5163">
        <w:t>7</w:t>
      </w:r>
      <w:r w:rsidRPr="006D6210">
        <w:t xml:space="preserve"> may </w:t>
      </w:r>
      <w:r>
        <w:t>differ from</w:t>
      </w:r>
      <w:r w:rsidRPr="006D6210">
        <w:t xml:space="preserve"> the total number of approvals in Tables 3.1, 3.</w:t>
      </w:r>
      <w:r w:rsidR="00CF5163">
        <w:t>5</w:t>
      </w:r>
      <w:r w:rsidRPr="006D6210">
        <w:t>, and 3.</w:t>
      </w:r>
      <w:r w:rsidR="00CF5163">
        <w:t>7</w:t>
      </w:r>
      <w:r w:rsidRPr="006D6210">
        <w:t xml:space="preserve"> as the data is recorded by </w:t>
      </w:r>
      <w:r>
        <w:t>country</w:t>
      </w:r>
      <w:r w:rsidRPr="006D6210">
        <w:t>. For instance, one application from two investor countries will app</w:t>
      </w:r>
      <w:r>
        <w:t xml:space="preserve">ear as one approval </w:t>
      </w:r>
      <w:r w:rsidRPr="006D6210">
        <w:t xml:space="preserve">per country (that is, it will be reflected as </w:t>
      </w:r>
      <w:r>
        <w:t>two</w:t>
      </w:r>
      <w:r w:rsidRPr="006D6210">
        <w:t xml:space="preserve"> approvals</w:t>
      </w:r>
      <w:r>
        <w:t>).</w:t>
      </w:r>
    </w:p>
    <w:p w14:paraId="62B7EF40" w14:textId="77777777" w:rsidR="005C7FC0" w:rsidRPr="00F53E39" w:rsidRDefault="005C7FC0" w:rsidP="005C7FC0">
      <w:pPr>
        <w:pStyle w:val="Bullet"/>
      </w:pPr>
      <w:r w:rsidRPr="00F53E39">
        <w:t xml:space="preserve">Data on specific </w:t>
      </w:r>
      <w:r w:rsidR="005C7BBE">
        <w:t>countries</w:t>
      </w:r>
      <w:r w:rsidRPr="00F53E39">
        <w:t xml:space="preserve"> includes their overseas territories. Data on China excludes Special Administrative Regions and Taiwan.</w:t>
      </w:r>
    </w:p>
    <w:p w14:paraId="45624BBB" w14:textId="77777777" w:rsidR="005C7FC0" w:rsidRPr="00F53E39" w:rsidRDefault="005C7FC0" w:rsidP="005C7FC0">
      <w:pPr>
        <w:pStyle w:val="Bullet"/>
      </w:pPr>
      <w:r>
        <w:t>Australia</w:t>
      </w:r>
      <w:r w:rsidRPr="00F53E39">
        <w:t xml:space="preserve"> appears in the list of countries due to approvals where:</w:t>
      </w:r>
    </w:p>
    <w:p w14:paraId="67002AD6" w14:textId="77777777" w:rsidR="005C7FC0" w:rsidRPr="00F53E39" w:rsidRDefault="005C7FC0" w:rsidP="005C7FC0">
      <w:pPr>
        <w:pStyle w:val="Dash"/>
      </w:pPr>
      <w:r w:rsidRPr="00F53E39">
        <w:t>Australians hold disclosed beneficial interests in the investor</w:t>
      </w:r>
      <w:r>
        <w:t>;</w:t>
      </w:r>
    </w:p>
    <w:p w14:paraId="0C782EC9" w14:textId="77777777" w:rsidR="005C7FC0" w:rsidRPr="00F53E39" w:rsidRDefault="005C7FC0" w:rsidP="005C7FC0">
      <w:pPr>
        <w:pStyle w:val="Dash"/>
      </w:pPr>
      <w:r w:rsidRPr="00F53E39">
        <w:t>widely held interests have been allocated to Australia based on other factors such as locat</w:t>
      </w:r>
      <w:r>
        <w:t>ion or control of the investor;</w:t>
      </w:r>
    </w:p>
    <w:p w14:paraId="79A77CBA" w14:textId="77777777" w:rsidR="005C7FC0" w:rsidRPr="00F53E39" w:rsidRDefault="005C7FC0" w:rsidP="005C7FC0">
      <w:pPr>
        <w:pStyle w:val="Dash"/>
      </w:pPr>
      <w:r w:rsidRPr="00F53E39">
        <w:t xml:space="preserve">an Australian investor(s) jointly intends to make a proposed investment with a foreign </w:t>
      </w:r>
      <w:r>
        <w:t>person through a new entity; or</w:t>
      </w:r>
    </w:p>
    <w:p w14:paraId="2968F61D" w14:textId="77777777" w:rsidR="005C7FC0" w:rsidRDefault="005C7FC0" w:rsidP="005C7FC0">
      <w:pPr>
        <w:pStyle w:val="Dash"/>
      </w:pPr>
      <w:r w:rsidRPr="00F53E39">
        <w:t>an Australian investor(s) intends to jointly establish a new business with a foreign government investor.</w:t>
      </w:r>
    </w:p>
    <w:p w14:paraId="3AB68AD5" w14:textId="77777777" w:rsidR="005C7FC0" w:rsidRDefault="005C7FC0" w:rsidP="00672036">
      <w:pPr>
        <w:pStyle w:val="Heading3"/>
      </w:pPr>
      <w:r>
        <w:t>Industry Sectors</w:t>
      </w:r>
    </w:p>
    <w:p w14:paraId="07F8CE1F" w14:textId="2540E9A7" w:rsidR="005C7FC0" w:rsidRPr="003964C1" w:rsidRDefault="005C7FC0" w:rsidP="005C7FC0">
      <w:pPr>
        <w:pStyle w:val="Bullet"/>
      </w:pPr>
      <w:r w:rsidRPr="003964C1">
        <w:t>Figures on approvals by industry sector in this report are recorded by target acquired, reflecting the industry sector of the target. For example, one application to acquire two</w:t>
      </w:r>
      <w:r w:rsidR="001D14C8">
        <w:t> </w:t>
      </w:r>
      <w:r w:rsidRPr="003964C1">
        <w:t>targets (under the single agreement) that operate in separate sectors will appear as two</w:t>
      </w:r>
      <w:r w:rsidR="001D14C8">
        <w:t> </w:t>
      </w:r>
      <w:r w:rsidRPr="003964C1">
        <w:t xml:space="preserve">approvals, with one approval recorded per sector. If they operate in the same sector, this will appear as two approvals recorded against the sector. Hence the total number of approvals in </w:t>
      </w:r>
      <w:r w:rsidR="00042A27">
        <w:t>T</w:t>
      </w:r>
      <w:r w:rsidRPr="003964C1">
        <w:t>able</w:t>
      </w:r>
      <w:r w:rsidR="00042A27">
        <w:t> </w:t>
      </w:r>
      <w:r w:rsidRPr="003964C1">
        <w:t>3.</w:t>
      </w:r>
      <w:r w:rsidR="005C7BBE">
        <w:t>7</w:t>
      </w:r>
      <w:r w:rsidRPr="003964C1">
        <w:t xml:space="preserve"> may be greater than or equal to the total number of approvals in </w:t>
      </w:r>
      <w:r w:rsidR="00042A27">
        <w:t>T</w:t>
      </w:r>
      <w:r w:rsidRPr="003964C1">
        <w:t>able</w:t>
      </w:r>
      <w:r w:rsidR="005C7BBE">
        <w:t>s</w:t>
      </w:r>
      <w:r w:rsidR="00042A27">
        <w:t> </w:t>
      </w:r>
      <w:r w:rsidRPr="003964C1">
        <w:t>3.1 and 3.3.</w:t>
      </w:r>
    </w:p>
    <w:p w14:paraId="6F082C56" w14:textId="77777777" w:rsidR="005C7FC0" w:rsidRPr="003964C1" w:rsidRDefault="005C7FC0" w:rsidP="005C7FC0">
      <w:pPr>
        <w:pStyle w:val="Bullet"/>
      </w:pPr>
      <w:r w:rsidRPr="003964C1">
        <w:t xml:space="preserve">Proposed acquisitions of diversified company groups are classified into a single industry sector according to the major activity of the group, such as in a diversified mining company with interests in various minerals. </w:t>
      </w:r>
    </w:p>
    <w:p w14:paraId="2799DE79" w14:textId="77777777" w:rsidR="005C7FC0" w:rsidRPr="003964C1" w:rsidRDefault="005C7FC0" w:rsidP="005C7FC0">
      <w:pPr>
        <w:pStyle w:val="Bullet"/>
      </w:pPr>
      <w:r w:rsidRPr="003964C1">
        <w:t>Proposed acquisitions of land, including land entities and mining, production or exploration entities, are classified as follows:</w:t>
      </w:r>
    </w:p>
    <w:p w14:paraId="54F88BEB" w14:textId="77777777" w:rsidR="005C7FC0" w:rsidRPr="003964C1" w:rsidRDefault="005C7FC0" w:rsidP="005C7FC0">
      <w:pPr>
        <w:pStyle w:val="Dash"/>
      </w:pPr>
      <w:r w:rsidRPr="003964C1">
        <w:t>commercial land and residential land are reported in the real estate sector;</w:t>
      </w:r>
    </w:p>
    <w:p w14:paraId="5E1C868B" w14:textId="77777777" w:rsidR="005C7FC0" w:rsidRPr="003964C1" w:rsidRDefault="005C7FC0" w:rsidP="005C7FC0">
      <w:pPr>
        <w:pStyle w:val="Dash"/>
      </w:pPr>
      <w:r w:rsidRPr="003964C1">
        <w:t>agricultural land is included in the agriculture, forestry and fishing sector and within this industry, is allocated based on actual use, or if not currently being used for a primary production business, based on its likely use as agricultural land; and</w:t>
      </w:r>
    </w:p>
    <w:p w14:paraId="076269FA" w14:textId="77777777" w:rsidR="005C7BBE" w:rsidRPr="003964C1" w:rsidRDefault="005C7BBE" w:rsidP="005C7BBE">
      <w:pPr>
        <w:pStyle w:val="Dash"/>
      </w:pPr>
      <w:r w:rsidRPr="003964C1">
        <w:t>tenements are included in the mineral exploration and development sector and within this industry are allocated based on the mineral, oil or gas that can be recovered</w:t>
      </w:r>
      <w:r w:rsidR="00E80665">
        <w:t>.</w:t>
      </w:r>
    </w:p>
    <w:p w14:paraId="65884960" w14:textId="56D07312" w:rsidR="005C7FC0" w:rsidRDefault="005C7FC0" w:rsidP="005C7FC0">
      <w:pPr>
        <w:pStyle w:val="Bullet"/>
      </w:pPr>
      <w:r w:rsidRPr="003964C1">
        <w:t xml:space="preserve">One new dwelling exemption certificate (previously advanced </w:t>
      </w:r>
      <w:r w:rsidR="00BD4D19">
        <w:t>‘</w:t>
      </w:r>
      <w:r w:rsidRPr="003964C1">
        <w:t>off</w:t>
      </w:r>
      <w:r w:rsidR="00BD4D19">
        <w:noBreakHyphen/>
      </w:r>
      <w:r w:rsidRPr="003964C1">
        <w:t>the</w:t>
      </w:r>
      <w:r w:rsidR="00BD4D19">
        <w:noBreakHyphen/>
      </w:r>
      <w:r w:rsidRPr="003964C1">
        <w:t>plan</w:t>
      </w:r>
      <w:r w:rsidR="00BD4D19">
        <w:t>’</w:t>
      </w:r>
      <w:r w:rsidRPr="003964C1">
        <w:t xml:space="preserve"> certificate) equates to one approval in terms of the number of approvals but the value reflects the maximum amount that foreign persons may acquire under the certificate in the proposed development. </w:t>
      </w:r>
    </w:p>
    <w:p w14:paraId="3873D280" w14:textId="77777777" w:rsidR="005C7FC0" w:rsidRDefault="005C7FC0" w:rsidP="005C7FC0">
      <w:pPr>
        <w:pStyle w:val="Bullet"/>
      </w:pPr>
      <w:r>
        <w:t>Tables</w:t>
      </w:r>
      <w:r w:rsidR="00042A27">
        <w:t> </w:t>
      </w:r>
      <w:r>
        <w:t>3.</w:t>
      </w:r>
      <w:r w:rsidR="00CF5163">
        <w:t>7</w:t>
      </w:r>
      <w:r>
        <w:t xml:space="preserve"> to 3.1</w:t>
      </w:r>
      <w:r w:rsidR="00CF5163">
        <w:t>5</w:t>
      </w:r>
      <w:r>
        <w:t xml:space="preserve">, and their corresponding charts, exclude approvals of new businesses and internal reorganisations. An industry breakdown of new business approvals is provided in </w:t>
      </w:r>
      <w:r w:rsidR="00042A27">
        <w:t>Table </w:t>
      </w:r>
      <w:r>
        <w:t>3.1</w:t>
      </w:r>
      <w:r w:rsidR="00CF5163">
        <w:t>6</w:t>
      </w:r>
      <w:r>
        <w:t>.</w:t>
      </w:r>
    </w:p>
    <w:p w14:paraId="4E5F3E2F" w14:textId="403B1124" w:rsidR="005C7FC0" w:rsidRPr="003964C1" w:rsidRDefault="005C7FC0" w:rsidP="005C7FC0">
      <w:pPr>
        <w:pStyle w:val="Bullet"/>
      </w:pPr>
      <w:r>
        <w:t xml:space="preserve">In tables providing breakdowns by states and territories, </w:t>
      </w:r>
      <w:r w:rsidR="00BD4D19">
        <w:t>‘</w:t>
      </w:r>
      <w:r>
        <w:t>Various</w:t>
      </w:r>
      <w:r w:rsidR="00BD4D19">
        <w:t>’</w:t>
      </w:r>
      <w:r>
        <w:t xml:space="preserve"> refers to</w:t>
      </w:r>
      <w:r w:rsidRPr="00F3272D">
        <w:t xml:space="preserve"> approvals where the proposed investment is to be undertaken in more than one state or territory.</w:t>
      </w:r>
    </w:p>
    <w:p w14:paraId="36E16811" w14:textId="77777777" w:rsidR="005C7FC0" w:rsidRDefault="005C7FC0" w:rsidP="00672036">
      <w:pPr>
        <w:pStyle w:val="Heading3"/>
      </w:pPr>
      <w:r>
        <w:t>Consideration Value</w:t>
      </w:r>
    </w:p>
    <w:p w14:paraId="00622999" w14:textId="77777777" w:rsidR="005C7FC0" w:rsidRPr="00A84283" w:rsidRDefault="005C7FC0" w:rsidP="005C7FC0">
      <w:pPr>
        <w:pStyle w:val="Bullet"/>
      </w:pPr>
      <w:r w:rsidRPr="00A84283">
        <w:t xml:space="preserve">The value ascribed to a proposed investment which has received approval is the amount agreed to in any contract entered into or a reasonable estimate advised by the applicant based on the available information. It represents an estimate of the expected proposed investment in the 12 months from the approval unless the approval is granted for a longer period (and assumes full implementation). In </w:t>
      </w:r>
      <w:r w:rsidR="00FB3181">
        <w:t>application</w:t>
      </w:r>
      <w:r w:rsidR="00FB3181" w:rsidRPr="00A84283">
        <w:t xml:space="preserve">s </w:t>
      </w:r>
      <w:r w:rsidRPr="00A84283">
        <w:t>where the acquisition has already been completed, it is the amount paid for the interest acquired.</w:t>
      </w:r>
    </w:p>
    <w:p w14:paraId="50E288C1" w14:textId="77777777" w:rsidR="005C7FC0" w:rsidRPr="00A84283" w:rsidRDefault="005C7FC0" w:rsidP="005C7FC0">
      <w:pPr>
        <w:pStyle w:val="Dash"/>
      </w:pPr>
      <w:r w:rsidRPr="00A84283">
        <w:t>Where an approved acquisition is a part of an offshore acquisition, the proposed investment figure is calculated based on the share attributable to the approved acquisition in Australia.</w:t>
      </w:r>
    </w:p>
    <w:p w14:paraId="1DA53A78" w14:textId="77777777" w:rsidR="005C7FC0" w:rsidRPr="00A84283" w:rsidRDefault="005C7FC0" w:rsidP="005C7FC0">
      <w:pPr>
        <w:pStyle w:val="Dash"/>
      </w:pPr>
      <w:r w:rsidRPr="00A84283">
        <w:t>Where amounts are in a foreign currency, this is converted to Australian dollars based on the exchange rate at the time of the contract or when the application was made.</w:t>
      </w:r>
    </w:p>
    <w:p w14:paraId="66C0D419" w14:textId="77777777" w:rsidR="005C7FC0" w:rsidRDefault="005C7FC0" w:rsidP="005C7FC0">
      <w:pPr>
        <w:pStyle w:val="Dash"/>
      </w:pPr>
      <w:r w:rsidRPr="00A84283">
        <w:t>There are some approvals for which proposed investment is treated as nil. Examples include internal corporate reorganisation and financing arrangement approvals.</w:t>
      </w:r>
    </w:p>
    <w:p w14:paraId="0E95C05E" w14:textId="77777777" w:rsidR="005C7FC0" w:rsidRPr="00A84283" w:rsidRDefault="005C7FC0" w:rsidP="005C7FC0">
      <w:pPr>
        <w:pStyle w:val="Bullet"/>
      </w:pPr>
      <w:r w:rsidRPr="00A84283">
        <w:t>Proposed investment recorded for exemption certificates is the maximum investment that may be made by foreign persons covered by the certificate over the duration of the certificate. Actual foreign investment under new dwelling exemption certificates is likely to take place over multiple years during the sale phase of the covered de</w:t>
      </w:r>
      <w:r>
        <w:t>velopment. Also, as of December </w:t>
      </w:r>
      <w:r w:rsidRPr="00A84283">
        <w:t>2015, exemption certificates for foreign persons (formerly known as annual programs) are no longer limited to a maximum 12</w:t>
      </w:r>
      <w:r w:rsidR="00042A27">
        <w:t> </w:t>
      </w:r>
      <w:r w:rsidRPr="00A84283">
        <w:t>month period and so investments under these certificates may take place over a longer period</w:t>
      </w:r>
      <w:r w:rsidR="004C76E6">
        <w:t>, gen</w:t>
      </w:r>
      <w:r w:rsidR="00042A27">
        <w:t>erally up to a maximum of three </w:t>
      </w:r>
      <w:r w:rsidR="004C76E6">
        <w:t>years</w:t>
      </w:r>
      <w:r w:rsidRPr="00A84283">
        <w:t>.</w:t>
      </w:r>
    </w:p>
    <w:p w14:paraId="22017E3D" w14:textId="6FDEFD46" w:rsidR="005C7FC0" w:rsidRPr="00A84283" w:rsidRDefault="005C7FC0" w:rsidP="005C7FC0">
      <w:pPr>
        <w:pStyle w:val="Dash"/>
      </w:pPr>
      <w:r w:rsidRPr="00A84283">
        <w:t>For new dwelling exemption certificates which allow developers to receive pre</w:t>
      </w:r>
      <w:r w:rsidR="00BD4D19">
        <w:noBreakHyphen/>
      </w:r>
      <w:r w:rsidRPr="00A84283">
        <w:t>approval on behalf of foreign persons to enable foreign persons to purchase up to 50</w:t>
      </w:r>
      <w:r>
        <w:t> per </w:t>
      </w:r>
      <w:r w:rsidRPr="00A84283">
        <w:t>cent of new dwellings within a development up to a cumulative val</w:t>
      </w:r>
      <w:r>
        <w:t>ue of $3 </w:t>
      </w:r>
      <w:r w:rsidRPr="00A84283">
        <w:t>million</w:t>
      </w:r>
      <w:r>
        <w:t> per </w:t>
      </w:r>
      <w:r w:rsidRPr="00A84283">
        <w:t>investor in a single development, the approved investment figure may overstate the extent of actual foreign purchases.</w:t>
      </w:r>
    </w:p>
    <w:p w14:paraId="2E54A475" w14:textId="263667E9" w:rsidR="005C7FC0" w:rsidRPr="00A84283" w:rsidRDefault="005C7FC0" w:rsidP="005C7FC0">
      <w:pPr>
        <w:pStyle w:val="Dash"/>
      </w:pPr>
      <w:r w:rsidRPr="00A84283">
        <w:t>Near</w:t>
      </w:r>
      <w:r w:rsidR="00BD4D19">
        <w:noBreakHyphen/>
      </w:r>
      <w:r w:rsidRPr="00A84283">
        <w:t>new dwelling exemption certificates will generally be given a nil value as the maximum value of proposed investment for the development will have been attributed to any associated new dwelling exemption certificate in the year th</w:t>
      </w:r>
      <w:r>
        <w:t>at the certificate was granted.</w:t>
      </w:r>
    </w:p>
    <w:p w14:paraId="0035DC1F" w14:textId="77777777" w:rsidR="005C7FC0" w:rsidRPr="003964C1" w:rsidRDefault="005C7FC0" w:rsidP="005C7FC0">
      <w:pPr>
        <w:pStyle w:val="Bullet"/>
      </w:pPr>
      <w:r w:rsidRPr="00A84283">
        <w:t xml:space="preserve">Proposed investment values allocated against source countries assume that investment funds will be sourced from overseas. The extent to which approved proposed investment will actually be funded from outside of Australia and result in foreign capital inflows depends not only upon whether they are implemented, but also upon the proportion that is financed from foreign sources. The proposed funds to be invested may be contributed by Australians, for example, where they are in partnership with foreign interests, or where the investment is </w:t>
      </w:r>
      <w:r w:rsidRPr="003964C1">
        <w:t>financed from existing Australian operations.</w:t>
      </w:r>
    </w:p>
    <w:p w14:paraId="2D4A4CE8" w14:textId="77777777" w:rsidR="005C7FC0" w:rsidRPr="003964C1" w:rsidRDefault="005C7FC0" w:rsidP="005C7FC0">
      <w:pPr>
        <w:pStyle w:val="Bullet"/>
      </w:pPr>
      <w:r w:rsidRPr="003964C1">
        <w:t xml:space="preserve">The value ascribed to a new dwelling exemption certificate is the total estimated sales value of the new dwellings in the development available for purchase by foreign persons. The value recorded is as provided by the applicant when applying for the exemption certificate. </w:t>
      </w:r>
    </w:p>
    <w:p w14:paraId="16752A3D" w14:textId="624E484B" w:rsidR="005C7FC0" w:rsidRPr="00E25F71" w:rsidRDefault="005C7FC0" w:rsidP="005C7FC0">
      <w:pPr>
        <w:pStyle w:val="Bullet"/>
      </w:pPr>
      <w:r w:rsidRPr="003964C1">
        <w:t xml:space="preserve">Throughout this report </w:t>
      </w:r>
      <w:r w:rsidR="00BD4D19">
        <w:t>‘</w:t>
      </w:r>
      <w:r w:rsidRPr="003964C1">
        <w:t>0.0</w:t>
      </w:r>
      <w:r w:rsidR="00BD4D19">
        <w:t>’</w:t>
      </w:r>
      <w:r w:rsidRPr="003964C1">
        <w:t xml:space="preserve"> indicates a figure of less than $50</w:t>
      </w:r>
      <w:r w:rsidR="00042A27">
        <w:t> </w:t>
      </w:r>
      <w:r w:rsidRPr="003964C1">
        <w:t>million.</w:t>
      </w:r>
      <w:r w:rsidRPr="00E25F71">
        <w:t xml:space="preserve"> </w:t>
      </w:r>
    </w:p>
    <w:p w14:paraId="27E232BD" w14:textId="77777777" w:rsidR="005C7FC0" w:rsidRDefault="005C7FC0" w:rsidP="00672036">
      <w:pPr>
        <w:pStyle w:val="Heading2"/>
      </w:pPr>
      <w:bookmarkStart w:id="232" w:name="_Toc75244074"/>
      <w:r>
        <w:t>Policy Changes</w:t>
      </w:r>
      <w:bookmarkEnd w:id="232"/>
    </w:p>
    <w:p w14:paraId="2BC14890" w14:textId="77777777" w:rsidR="005C7FC0" w:rsidRPr="00A84283" w:rsidRDefault="005C7FC0" w:rsidP="005C7FC0">
      <w:r w:rsidRPr="00A84283">
        <w:t>The breadth of the data on proposed investment in this annual report reflects the requirements under the foreign investment framework during the applicable reporting period. The requirements have changed over time, and in some instances, during a reporting period.</w:t>
      </w:r>
    </w:p>
    <w:p w14:paraId="3109963A" w14:textId="16171C70" w:rsidR="005B04A9" w:rsidRPr="00A84283" w:rsidRDefault="005B04A9" w:rsidP="005B04A9">
      <w:r w:rsidRPr="00A84283">
        <w:t>The data does not cover foreign investments considered or made below the various screening thresholds that apply unde</w:t>
      </w:r>
      <w:r>
        <w:t>r the Act. The 29</w:t>
      </w:r>
      <w:r w:rsidR="00042A27">
        <w:t> March </w:t>
      </w:r>
      <w:r>
        <w:t xml:space="preserve">2020 introduction of </w:t>
      </w:r>
      <w:r w:rsidR="000B25FC">
        <w:t xml:space="preserve">the </w:t>
      </w:r>
      <w:r w:rsidR="00292E5C">
        <w:t>zero dollar threshold</w:t>
      </w:r>
      <w:r>
        <w:t xml:space="preserve"> for all investment categories, however, impacted data in the final quarter of the 201</w:t>
      </w:r>
      <w:r w:rsidR="00042A27">
        <w:t>9</w:t>
      </w:r>
      <w:r w:rsidR="00BD4D19">
        <w:noBreakHyphen/>
      </w:r>
      <w:r>
        <w:t>20 reporting period.</w:t>
      </w:r>
    </w:p>
    <w:p w14:paraId="57D507B6" w14:textId="26C47DC5" w:rsidR="005C7FC0" w:rsidRPr="00A84283" w:rsidRDefault="00D1746D" w:rsidP="005C7FC0">
      <w:r>
        <w:t>T</w:t>
      </w:r>
      <w:r w:rsidR="005C7FC0" w:rsidRPr="00A84283">
        <w:t xml:space="preserve">he data </w:t>
      </w:r>
      <w:r w:rsidR="005C7FC0">
        <w:t xml:space="preserve">does not </w:t>
      </w:r>
      <w:r w:rsidR="005C7FC0" w:rsidRPr="00A84283">
        <w:t>cover follow</w:t>
      </w:r>
      <w:r w:rsidR="00BD4D19">
        <w:noBreakHyphen/>
      </w:r>
      <w:r w:rsidR="005C7FC0" w:rsidRPr="00A84283">
        <w:t>on investments to expand the capital stock of existing foreign owned businesses (both in existing areas and into related areas) such as pro</w:t>
      </w:r>
      <w:r w:rsidR="00BD4D19">
        <w:noBreakHyphen/>
      </w:r>
      <w:r w:rsidR="005C7FC0" w:rsidRPr="00A84283">
        <w:t xml:space="preserve">rata capital injections. For example, additional investment by a foreign owned miner expanding </w:t>
      </w:r>
      <w:r w:rsidR="005C7FC0">
        <w:t>its</w:t>
      </w:r>
      <w:r w:rsidR="005C7FC0" w:rsidRPr="00A84283">
        <w:t xml:space="preserve"> mining operations by reinvesting </w:t>
      </w:r>
      <w:r w:rsidR="005C7FC0">
        <w:t>its</w:t>
      </w:r>
      <w:r w:rsidR="005C7FC0" w:rsidRPr="00A84283">
        <w:t xml:space="preserve"> Australian profits in </w:t>
      </w:r>
      <w:r w:rsidR="005C7FC0">
        <w:t>its</w:t>
      </w:r>
      <w:r w:rsidR="005C7FC0" w:rsidRPr="00A84283">
        <w:t xml:space="preserve"> operations is not reflected in the data.</w:t>
      </w:r>
    </w:p>
    <w:p w14:paraId="2295A663" w14:textId="3D2E8EBF" w:rsidR="005C7FC0" w:rsidRPr="00A84283" w:rsidRDefault="00D1746D" w:rsidP="005C7FC0">
      <w:r>
        <w:t>P</w:t>
      </w:r>
      <w:r w:rsidR="005C7FC0" w:rsidRPr="00A84283">
        <w:t>olicy and legislative change can have a considerable impact on the continuity of data. For in</w:t>
      </w:r>
      <w:r w:rsidR="005C7FC0">
        <w:t>stance, changes in Australia</w:t>
      </w:r>
      <w:r w:rsidR="00BD4D19">
        <w:t>’</w:t>
      </w:r>
      <w:r w:rsidR="005C7FC0">
        <w:t>s f</w:t>
      </w:r>
      <w:r w:rsidR="005C7FC0" w:rsidRPr="00A84283">
        <w:t xml:space="preserve">oreign </w:t>
      </w:r>
      <w:r w:rsidR="005C7FC0">
        <w:t>i</w:t>
      </w:r>
      <w:r w:rsidR="005C7FC0" w:rsidRPr="00A84283">
        <w:t xml:space="preserve">nvestment </w:t>
      </w:r>
      <w:r w:rsidR="005C7FC0">
        <w:t>p</w:t>
      </w:r>
      <w:r w:rsidR="005C7FC0" w:rsidRPr="00A84283">
        <w:t>olicy since the mid</w:t>
      </w:r>
      <w:r w:rsidR="00BD4D19">
        <w:noBreakHyphen/>
      </w:r>
      <w:r w:rsidR="005C7FC0" w:rsidRPr="00A84283">
        <w:t xml:space="preserve">1980s have affected the number of some types of proposals, limiting comparability over time. </w:t>
      </w:r>
    </w:p>
    <w:p w14:paraId="621CF290" w14:textId="77777777" w:rsidR="00672036" w:rsidRDefault="005C7FC0" w:rsidP="00FB1377">
      <w:pPr>
        <w:pStyle w:val="ChartMainHeading"/>
      </w:pPr>
      <w:bookmarkStart w:id="233" w:name="_Toc68697702"/>
      <w:r>
        <w:t>Timeline of Methodology and Policy Changes</w:t>
      </w:r>
      <w:bookmarkEnd w:id="233"/>
    </w:p>
    <w:p w14:paraId="0B926CE9" w14:textId="77777777" w:rsidR="005100A7" w:rsidRDefault="00672036" w:rsidP="000376F1">
      <w:pPr>
        <w:pStyle w:val="ChartGraphic"/>
      </w:pPr>
      <w:r>
        <w:rPr>
          <w:noProof/>
        </w:rPr>
        <w:drawing>
          <wp:inline distT="0" distB="0" distL="0" distR="0" wp14:anchorId="4546C95C" wp14:editId="31B1F16D">
            <wp:extent cx="4897960" cy="720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897960" cy="7203600"/>
                    </a:xfrm>
                    <a:prstGeom prst="rect">
                      <a:avLst/>
                    </a:prstGeom>
                  </pic:spPr>
                </pic:pic>
              </a:graphicData>
            </a:graphic>
          </wp:inline>
        </w:drawing>
      </w:r>
    </w:p>
    <w:p w14:paraId="0B68DE05" w14:textId="77777777" w:rsidR="005C7FC0" w:rsidRPr="00DE56DC" w:rsidRDefault="005C7FC0" w:rsidP="00DE56DC">
      <w:pPr>
        <w:pStyle w:val="Bullet"/>
        <w:numPr>
          <w:ilvl w:val="0"/>
          <w:numId w:val="0"/>
        </w:numPr>
        <w:ind w:left="284" w:hanging="284"/>
        <w:rPr>
          <w:sz w:val="24"/>
          <w:highlight w:val="yellow"/>
        </w:rPr>
      </w:pPr>
    </w:p>
    <w:p w14:paraId="60AF00BF" w14:textId="77777777" w:rsidR="006F0D93" w:rsidRDefault="006F0D93" w:rsidP="000814CB">
      <w:pPr>
        <w:sectPr w:rsidR="006F0D93" w:rsidSect="00FF3274">
          <w:headerReference w:type="default" r:id="rId80"/>
          <w:type w:val="oddPage"/>
          <w:pgSz w:w="11906" w:h="16838" w:code="9"/>
          <w:pgMar w:top="2466" w:right="2098" w:bottom="2466" w:left="2098" w:header="1899" w:footer="1899" w:gutter="0"/>
          <w:cols w:space="708"/>
          <w:titlePg/>
          <w:docGrid w:linePitch="360"/>
        </w:sectPr>
      </w:pPr>
      <w:bookmarkStart w:id="234" w:name="_Toc31636034"/>
      <w:bookmarkStart w:id="235" w:name="_Toc31642803"/>
    </w:p>
    <w:p w14:paraId="34BC9A32" w14:textId="77777777" w:rsidR="00A84283" w:rsidRPr="00D60D30" w:rsidRDefault="000376F1" w:rsidP="000376F1">
      <w:pPr>
        <w:pStyle w:val="AppendixHeading"/>
      </w:pPr>
      <w:bookmarkStart w:id="236" w:name="_Toc32247814"/>
      <w:bookmarkStart w:id="237" w:name="_Toc63782944"/>
      <w:bookmarkStart w:id="238" w:name="_Toc75244075"/>
      <w:r>
        <w:rPr>
          <w:noProof/>
        </w:rPr>
        <w:drawing>
          <wp:anchor distT="0" distB="0" distL="114300" distR="114300" simplePos="0" relativeHeight="251668480" behindDoc="0" locked="0" layoutInCell="1" allowOverlap="1" wp14:anchorId="71372CCB" wp14:editId="6F208104">
            <wp:simplePos x="0" y="0"/>
            <wp:positionH relativeFrom="margin">
              <wp:align>right</wp:align>
            </wp:positionH>
            <wp:positionV relativeFrom="paragraph">
              <wp:posOffset>3810</wp:posOffset>
            </wp:positionV>
            <wp:extent cx="4895088" cy="2161032"/>
            <wp:effectExtent l="0" t="0" r="1270" b="0"/>
            <wp:wrapNone/>
            <wp:docPr id="18" name="Picture 18" descr="Chapter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pter header graphic"/>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895088" cy="2161032"/>
                    </a:xfrm>
                    <a:prstGeom prst="rect">
                      <a:avLst/>
                    </a:prstGeom>
                  </pic:spPr>
                </pic:pic>
              </a:graphicData>
            </a:graphic>
          </wp:anchor>
        </w:drawing>
      </w:r>
      <w:r w:rsidR="00A84283" w:rsidRPr="00D60D30">
        <w:t xml:space="preserve">Appendix C: </w:t>
      </w:r>
      <w:r w:rsidR="00A84283" w:rsidRPr="006225EA">
        <w:t>Examination</w:t>
      </w:r>
      <w:r w:rsidR="00A84283" w:rsidRPr="00D60D30">
        <w:t xml:space="preserve"> and Approval Process</w:t>
      </w:r>
      <w:bookmarkEnd w:id="234"/>
      <w:bookmarkEnd w:id="235"/>
      <w:bookmarkEnd w:id="236"/>
      <w:bookmarkEnd w:id="237"/>
      <w:bookmarkEnd w:id="238"/>
    </w:p>
    <w:p w14:paraId="42743ED7" w14:textId="77777777" w:rsidR="00F84E6C" w:rsidRDefault="00F84E6C" w:rsidP="00F84E6C"/>
    <w:p w14:paraId="009B8D4F" w14:textId="77777777" w:rsidR="00F84E6C" w:rsidRDefault="00F84E6C" w:rsidP="00F84E6C"/>
    <w:p w14:paraId="6A88C2F3" w14:textId="77777777" w:rsidR="00F84E6C" w:rsidRDefault="00F84E6C" w:rsidP="00F84E6C"/>
    <w:p w14:paraId="1BABC769" w14:textId="77777777" w:rsidR="00F84E6C" w:rsidRDefault="00F84E6C" w:rsidP="00F84E6C"/>
    <w:p w14:paraId="280DD200" w14:textId="77777777" w:rsidR="00F84E6C" w:rsidRDefault="00F84E6C" w:rsidP="00F84E6C"/>
    <w:p w14:paraId="353E0F16" w14:textId="77777777" w:rsidR="00F84E6C" w:rsidRDefault="00F84E6C" w:rsidP="00F84E6C">
      <w:pPr>
        <w:spacing w:after="360"/>
      </w:pPr>
    </w:p>
    <w:p w14:paraId="28D5849A" w14:textId="78C2954B" w:rsidR="00DD1363" w:rsidRDefault="00DD1363" w:rsidP="00DD1363">
      <w:r w:rsidRPr="00CB43B3">
        <w:t>The assessment of foreign investment applications is a rigorous process and seeks to ensure that proposed investments are not contrary to Australia</w:t>
      </w:r>
      <w:r w:rsidR="00BD4D19">
        <w:t>’</w:t>
      </w:r>
      <w:r w:rsidRPr="00CB43B3">
        <w:t>s national interest. In fulfilling this objective, proposed investments are examined with a view to identifying any sensitivity regarding the national interest and determining whether these sensitivities can be mitigated or</w:t>
      </w:r>
      <w:r w:rsidR="00F84E6C">
        <w:t xml:space="preserve"> </w:t>
      </w:r>
      <w:r w:rsidRPr="00CB43B3">
        <w:t>managed.</w:t>
      </w:r>
    </w:p>
    <w:p w14:paraId="224CD7F9" w14:textId="77777777" w:rsidR="00FB6E25" w:rsidRPr="00CB43B3" w:rsidRDefault="00FB6E25" w:rsidP="00DD1363">
      <w:r>
        <w:t>This section sets out the assessment process</w:t>
      </w:r>
      <w:r w:rsidR="005E265A">
        <w:t xml:space="preserve"> during 2019</w:t>
      </w:r>
      <w:r w:rsidR="00730A7A">
        <w:t>–</w:t>
      </w:r>
      <w:r w:rsidR="005E265A">
        <w:t>20</w:t>
      </w:r>
      <w:r>
        <w:t>. Readers should note significant changes and amendments to the foreign investment framework commenced on 1</w:t>
      </w:r>
      <w:r w:rsidR="00F84E6C">
        <w:t> </w:t>
      </w:r>
      <w:r>
        <w:t>January</w:t>
      </w:r>
      <w:r w:rsidR="00F84E6C">
        <w:t> </w:t>
      </w:r>
      <w:r>
        <w:t>2021, which will impact future examination and approvals processes.</w:t>
      </w:r>
    </w:p>
    <w:p w14:paraId="79061EA1" w14:textId="77777777" w:rsidR="00DD1363" w:rsidRPr="00A84283" w:rsidRDefault="00DD1363" w:rsidP="00DD1363">
      <w:pPr>
        <w:pStyle w:val="Heading2"/>
      </w:pPr>
      <w:bookmarkStart w:id="239" w:name="_Toc63782945"/>
      <w:bookmarkStart w:id="240" w:name="_Toc75244076"/>
      <w:r>
        <w:t>Board</w:t>
      </w:r>
      <w:r w:rsidRPr="00A84283">
        <w:t xml:space="preserve"> involvement</w:t>
      </w:r>
      <w:bookmarkEnd w:id="239"/>
      <w:bookmarkEnd w:id="240"/>
    </w:p>
    <w:p w14:paraId="7AD20903" w14:textId="30E76656" w:rsidR="00D1746D" w:rsidRPr="00D1746D" w:rsidRDefault="00D1746D" w:rsidP="00D1746D">
      <w:pPr>
        <w:pStyle w:val="CommentText"/>
      </w:pPr>
      <w:r w:rsidRPr="00D1746D">
        <w:t>The Board provides advice to the Treasurer on significant applications received. It performs this role with the benefit of weekly reports on applications received and through regular meetings and discussions with the Board</w:t>
      </w:r>
      <w:r w:rsidR="00BD4D19">
        <w:t>’</w:t>
      </w:r>
      <w:r w:rsidRPr="00D1746D">
        <w:t>s Executive Member and Treasury or ATO officers. Formal Board meetings are generally held monthly</w:t>
      </w:r>
      <w:r w:rsidR="000B25FC">
        <w:t xml:space="preserve"> (and over the period these included meetings by videoconference)</w:t>
      </w:r>
      <w:r w:rsidRPr="00D1746D">
        <w:t>. The Board members draw on their considerable collective and individual professional and commercial experience in discharging their advisory role.</w:t>
      </w:r>
    </w:p>
    <w:p w14:paraId="66B0A21D" w14:textId="77777777" w:rsidR="00DD1363" w:rsidRPr="00A84283" w:rsidRDefault="00DD1363" w:rsidP="00DD1363">
      <w:pPr>
        <w:pStyle w:val="Heading2"/>
      </w:pPr>
      <w:bookmarkStart w:id="241" w:name="_Toc63782946"/>
      <w:bookmarkStart w:id="242" w:name="_Toc75244077"/>
      <w:r w:rsidRPr="00A84283">
        <w:t>Handling of commercially sensitive and personal information</w:t>
      </w:r>
      <w:bookmarkEnd w:id="241"/>
      <w:bookmarkEnd w:id="242"/>
    </w:p>
    <w:p w14:paraId="21480D47" w14:textId="77777777" w:rsidR="00D1746D" w:rsidRPr="00CB43B3" w:rsidRDefault="00D1746D" w:rsidP="00D1746D">
      <w:r>
        <w:t>I</w:t>
      </w:r>
      <w:r w:rsidRPr="00CB43B3">
        <w:t xml:space="preserve">nformation required to assess an application </w:t>
      </w:r>
      <w:r>
        <w:t xml:space="preserve">is </w:t>
      </w:r>
      <w:r w:rsidRPr="00CB43B3">
        <w:t>commercially sensitive or of a private or confidential nature. Consequently, appropriate measures are in place to ensure that confidentiality is protected.</w:t>
      </w:r>
    </w:p>
    <w:p w14:paraId="64320EFE" w14:textId="77777777" w:rsidR="00D1746D" w:rsidRPr="00CB43B3" w:rsidRDefault="00D1746D" w:rsidP="00D1746D">
      <w:r w:rsidRPr="00CB43B3">
        <w:t xml:space="preserve">In the event that access to confidential information is sought for purposes other than the assessment of an application, </w:t>
      </w:r>
      <w:r>
        <w:t xml:space="preserve">Treasury and the ATO </w:t>
      </w:r>
      <w:r w:rsidRPr="00CB43B3">
        <w:t xml:space="preserve">are subject to legislative provisions that govern </w:t>
      </w:r>
      <w:r>
        <w:t>how</w:t>
      </w:r>
      <w:r w:rsidRPr="00CB43B3">
        <w:t xml:space="preserve"> information received under the framework may be used or disclosed. Circumstances in which information can be disclosed include for the administration of specified Commonwealth statutes, to certain law enforcement bodies and in aggregate form, such as the public reporting of data in this report. Unauthorised disclosure of protected information under the framework is an offence subject to a maximum of two years imprisonment, a $2</w:t>
      </w:r>
      <w:r w:rsidR="002E5760">
        <w:t>6</w:t>
      </w:r>
      <w:r w:rsidRPr="00CB43B3">
        <w:t>,</w:t>
      </w:r>
      <w:r w:rsidR="002E5760">
        <w:t>64</w:t>
      </w:r>
      <w:r w:rsidRPr="00CB43B3">
        <w:t>0 fine, or</w:t>
      </w:r>
      <w:r w:rsidR="00F84E6C">
        <w:t xml:space="preserve"> </w:t>
      </w:r>
      <w:r w:rsidRPr="00CB43B3">
        <w:t>both.</w:t>
      </w:r>
    </w:p>
    <w:p w14:paraId="6F761AEF" w14:textId="77777777" w:rsidR="00DD1363" w:rsidRPr="00A84283" w:rsidRDefault="00DD1363" w:rsidP="00DD1363">
      <w:pPr>
        <w:pStyle w:val="Heading2"/>
      </w:pPr>
      <w:bookmarkStart w:id="243" w:name="_Toc63782947"/>
      <w:bookmarkStart w:id="244" w:name="_Toc75244078"/>
      <w:r w:rsidRPr="00A84283">
        <w:t>Application screening process</w:t>
      </w:r>
      <w:bookmarkEnd w:id="243"/>
      <w:bookmarkEnd w:id="244"/>
    </w:p>
    <w:p w14:paraId="20F43BE9" w14:textId="77777777" w:rsidR="00DD1363" w:rsidRPr="001E6053" w:rsidRDefault="00DD1363" w:rsidP="00DD1363">
      <w:pPr>
        <w:pStyle w:val="Heading3"/>
      </w:pPr>
      <w:r w:rsidRPr="001E6053">
        <w:t>Initial examination</w:t>
      </w:r>
    </w:p>
    <w:p w14:paraId="54AB2180" w14:textId="77777777" w:rsidR="00DD1363" w:rsidRPr="00CB43B3" w:rsidRDefault="00DD1363" w:rsidP="00DD1363">
      <w:r w:rsidRPr="00CB43B3">
        <w:t>The initial examination seeks to determine whether an application meets the notification requirements specified in the Act, whether the application contains sufficient detail and that the correct application fee has been paid. Timing is also considered, including deadlines that are commercially important to the applicant. The Board has direct and early involvement in significant or sensitive applications.</w:t>
      </w:r>
    </w:p>
    <w:p w14:paraId="44310CC2" w14:textId="77777777" w:rsidR="00DD1363" w:rsidRPr="00A84283" w:rsidRDefault="00DD1363" w:rsidP="00DD1363">
      <w:pPr>
        <w:pStyle w:val="Heading3"/>
      </w:pPr>
      <w:r w:rsidRPr="00A84283">
        <w:t>Consultation arrangements</w:t>
      </w:r>
    </w:p>
    <w:p w14:paraId="28C33F7A" w14:textId="77777777" w:rsidR="00DD1363" w:rsidRPr="00CB43B3" w:rsidRDefault="00DD1363" w:rsidP="00DD1363">
      <w:r w:rsidRPr="00CB43B3">
        <w:t>For significant applications, consultations are undertaken with Australian Government departments, state and territory government departments, national security agencies and authorities with responsibilities relevant to the proposed investment. Advice and comments provided by these agencies are important in assessing the implications of proposed investments and in particular, in determining whether they raise any national interest issues. The Board may also receive unsolicited submissions from third parties.</w:t>
      </w:r>
    </w:p>
    <w:p w14:paraId="6566EC5B" w14:textId="77777777" w:rsidR="00DD1363" w:rsidRPr="00A84283" w:rsidRDefault="00DD1363" w:rsidP="00DD1363">
      <w:pPr>
        <w:pStyle w:val="Heading3"/>
      </w:pPr>
      <w:r w:rsidRPr="00A84283">
        <w:t>National interest factors</w:t>
      </w:r>
    </w:p>
    <w:p w14:paraId="38865260" w14:textId="16EE4A6C" w:rsidR="00DD1363" w:rsidRPr="00CB43B3" w:rsidRDefault="00DD1363" w:rsidP="00DD1363">
      <w:r w:rsidRPr="00CB43B3">
        <w:t>The Act empowers the Treasurer to prohibit an investment if satisfied it would be contrary to the national interest. However, the general presumption is that foreign investment is beneficial, given the important role it plays in Australia</w:t>
      </w:r>
      <w:r w:rsidR="00BD4D19">
        <w:t>’</w:t>
      </w:r>
      <w:r w:rsidRPr="00CB43B3">
        <w:t>s economy.</w:t>
      </w:r>
    </w:p>
    <w:p w14:paraId="1412F542" w14:textId="69AC1A7B" w:rsidR="00DD1363" w:rsidRPr="00CB43B3" w:rsidRDefault="00DD1363" w:rsidP="00DD1363">
      <w:r w:rsidRPr="00CB43B3">
        <w:t>The national interest, and what would be contrary to it, is not defined in the Act. Instead, the Treasurer can decide in each case whether the investment would be contrary to the national interest. Across all applications the Government typically considers the following factors:</w:t>
      </w:r>
    </w:p>
    <w:p w14:paraId="3657AA49" w14:textId="77777777" w:rsidR="00DD1363" w:rsidRPr="00CB43B3" w:rsidRDefault="00DD1363" w:rsidP="00DD1363">
      <w:pPr>
        <w:pStyle w:val="Bullet"/>
      </w:pPr>
      <w:r w:rsidRPr="00CB43B3">
        <w:t>national security;</w:t>
      </w:r>
    </w:p>
    <w:p w14:paraId="5C2C8D08" w14:textId="77777777" w:rsidR="00DD1363" w:rsidRPr="00CB43B3" w:rsidRDefault="00DD1363" w:rsidP="00DD1363">
      <w:pPr>
        <w:pStyle w:val="Bullet"/>
      </w:pPr>
      <w:r w:rsidRPr="00CB43B3">
        <w:t>competition;</w:t>
      </w:r>
    </w:p>
    <w:p w14:paraId="342B55EE" w14:textId="77777777" w:rsidR="00DD1363" w:rsidRPr="00CB43B3" w:rsidRDefault="00DD1363" w:rsidP="00DD1363">
      <w:pPr>
        <w:pStyle w:val="Bullet"/>
      </w:pPr>
      <w:r w:rsidRPr="00CB43B3">
        <w:t>other government policies (including taxation);</w:t>
      </w:r>
    </w:p>
    <w:p w14:paraId="7D8C661F" w14:textId="77777777" w:rsidR="00DD1363" w:rsidRPr="00CB43B3" w:rsidRDefault="00DD1363" w:rsidP="00DD1363">
      <w:pPr>
        <w:pStyle w:val="Bullet"/>
      </w:pPr>
      <w:r w:rsidRPr="00CB43B3">
        <w:t>impact on the economy and the community; and</w:t>
      </w:r>
    </w:p>
    <w:p w14:paraId="0E36AB3A" w14:textId="77777777" w:rsidR="00DD1363" w:rsidRPr="00CB43B3" w:rsidRDefault="00DD1363" w:rsidP="00DD1363">
      <w:pPr>
        <w:pStyle w:val="Bullet"/>
      </w:pPr>
      <w:r w:rsidRPr="00CB43B3">
        <w:t>the character of the investor.</w:t>
      </w:r>
    </w:p>
    <w:p w14:paraId="62537C34" w14:textId="6387594B" w:rsidR="00DD1363" w:rsidRDefault="00DD1363" w:rsidP="00DD1363">
      <w:r w:rsidRPr="00CB43B3">
        <w:t>Recognising their significance, additional factors are considered as part of the national interest test for proposed investments in the agricultural sector and for residential land as well as for applications made by foreign government investors. General guidance on the national interest factors is published in Australia</w:t>
      </w:r>
      <w:r w:rsidR="00BD4D19">
        <w:t>’</w:t>
      </w:r>
      <w:r w:rsidRPr="00CB43B3">
        <w:t>s foreign investment policy.</w:t>
      </w:r>
    </w:p>
    <w:p w14:paraId="37D0B035" w14:textId="77777777" w:rsidR="00DD1363" w:rsidRPr="00A84283" w:rsidRDefault="00DD1363" w:rsidP="00DD1363">
      <w:pPr>
        <w:pStyle w:val="Heading3"/>
      </w:pPr>
      <w:r>
        <w:t>S</w:t>
      </w:r>
      <w:r w:rsidRPr="00A84283">
        <w:t>tatutory timeframe</w:t>
      </w:r>
    </w:p>
    <w:p w14:paraId="5C04A882" w14:textId="626CD7C6" w:rsidR="00DD1363" w:rsidRPr="001F5C9B" w:rsidRDefault="00DD1363" w:rsidP="00DD1363">
      <w:pPr>
        <w:rPr>
          <w:color w:val="auto"/>
        </w:rPr>
      </w:pPr>
      <w:r w:rsidRPr="00CB43B3">
        <w:t>The Act requires a decision to be made on applications within 30</w:t>
      </w:r>
      <w:r w:rsidR="00F84E6C">
        <w:t> calendar </w:t>
      </w:r>
      <w:r w:rsidRPr="00CB43B3">
        <w:t>days of the correct fee being paid, unless the application is a variation application</w:t>
      </w:r>
      <w:r w:rsidR="001F5C9B">
        <w:t>. The Act provides a further 10 </w:t>
      </w:r>
      <w:r w:rsidRPr="00CB43B3">
        <w:t>calendar</w:t>
      </w:r>
      <w:r w:rsidR="00F84E6C">
        <w:t> </w:t>
      </w:r>
      <w:r w:rsidRPr="00CB43B3">
        <w:t xml:space="preserve">days for the applicant to be notified of the decision. If a decision is not made within this time or the applicant has </w:t>
      </w:r>
      <w:r w:rsidRPr="001F5C9B">
        <w:rPr>
          <w:color w:val="auto"/>
        </w:rPr>
        <w:t xml:space="preserve">not been advised, the application is deemed to be </w:t>
      </w:r>
      <w:r w:rsidR="00BD4D19">
        <w:rPr>
          <w:color w:val="auto"/>
        </w:rPr>
        <w:t>‘</w:t>
      </w:r>
      <w:r w:rsidRPr="001F5C9B">
        <w:rPr>
          <w:color w:val="auto"/>
        </w:rPr>
        <w:t>approved</w:t>
      </w:r>
      <w:r w:rsidR="00BD4D19">
        <w:rPr>
          <w:color w:val="auto"/>
        </w:rPr>
        <w:t>’</w:t>
      </w:r>
      <w:r w:rsidRPr="001F5C9B">
        <w:rPr>
          <w:color w:val="auto"/>
        </w:rPr>
        <w:t xml:space="preserve"> since </w:t>
      </w:r>
      <w:r w:rsidR="00BD4D19">
        <w:rPr>
          <w:color w:val="auto"/>
        </w:rPr>
        <w:t>‘</w:t>
      </w:r>
      <w:r w:rsidRPr="001F5C9B">
        <w:rPr>
          <w:color w:val="auto"/>
        </w:rPr>
        <w:t>no objection</w:t>
      </w:r>
      <w:r w:rsidR="00BD4D19">
        <w:rPr>
          <w:color w:val="auto"/>
        </w:rPr>
        <w:t>’</w:t>
      </w:r>
      <w:r w:rsidRPr="001F5C9B">
        <w:rPr>
          <w:color w:val="auto"/>
        </w:rPr>
        <w:t xml:space="preserve"> to the proposal has been made</w:t>
      </w:r>
      <w:r w:rsidR="000B25FC" w:rsidRPr="001F5C9B">
        <w:rPr>
          <w:color w:val="auto"/>
        </w:rPr>
        <w:t>,</w:t>
      </w:r>
      <w:r w:rsidRPr="001F5C9B">
        <w:rPr>
          <w:color w:val="auto"/>
        </w:rPr>
        <w:t xml:space="preserve"> or an exemption certificate is deemed granted.</w:t>
      </w:r>
    </w:p>
    <w:p w14:paraId="39C17977" w14:textId="77777777" w:rsidR="00DD1363" w:rsidRPr="001F5C9B" w:rsidRDefault="00DD1363" w:rsidP="00DD1363">
      <w:pPr>
        <w:pStyle w:val="Default"/>
        <w:rPr>
          <w:rFonts w:cs="Helvetica"/>
          <w:color w:val="auto"/>
          <w:sz w:val="20"/>
          <w:szCs w:val="20"/>
          <w:lang w:val="en"/>
        </w:rPr>
      </w:pPr>
      <w:r w:rsidRPr="001F5C9B">
        <w:rPr>
          <w:color w:val="auto"/>
          <w:sz w:val="20"/>
          <w:szCs w:val="20"/>
        </w:rPr>
        <w:t>If such applications cannot be decided within 30</w:t>
      </w:r>
      <w:r w:rsidR="00F84E6C">
        <w:rPr>
          <w:color w:val="auto"/>
          <w:sz w:val="20"/>
          <w:szCs w:val="20"/>
        </w:rPr>
        <w:t> </w:t>
      </w:r>
      <w:r w:rsidRPr="001F5C9B">
        <w:rPr>
          <w:color w:val="auto"/>
          <w:sz w:val="20"/>
          <w:szCs w:val="20"/>
        </w:rPr>
        <w:t>days, because they are complex or further information is needed to properly assess them, the applicant can voluntarily extend in writing the decision period where it is clear that more time will be required. In practice, this is the common way of extending the statutory timeframes. Alternatively, the Treasurer can issue an Interim Order extending t</w:t>
      </w:r>
      <w:r w:rsidR="00F84E6C">
        <w:rPr>
          <w:color w:val="auto"/>
          <w:sz w:val="20"/>
          <w:szCs w:val="20"/>
        </w:rPr>
        <w:t>he timeframe up to a further 90 </w:t>
      </w:r>
      <w:r w:rsidRPr="001F5C9B">
        <w:rPr>
          <w:color w:val="auto"/>
          <w:sz w:val="20"/>
          <w:szCs w:val="20"/>
        </w:rPr>
        <w:t>days</w:t>
      </w:r>
      <w:r w:rsidR="006225EA">
        <w:rPr>
          <w:color w:val="auto"/>
          <w:sz w:val="20"/>
          <w:szCs w:val="20"/>
        </w:rPr>
        <w:t xml:space="preserve">. </w:t>
      </w:r>
    </w:p>
    <w:p w14:paraId="4E5D95D5" w14:textId="77777777" w:rsidR="00DD1363" w:rsidRPr="00A84283" w:rsidRDefault="00DD1363" w:rsidP="00DD1363">
      <w:pPr>
        <w:pStyle w:val="Heading3"/>
      </w:pPr>
      <w:r>
        <w:t>Approvals and c</w:t>
      </w:r>
      <w:r w:rsidRPr="00A84283">
        <w:t>onditions</w:t>
      </w:r>
    </w:p>
    <w:p w14:paraId="7749F0C8" w14:textId="77777777" w:rsidR="00DD1363" w:rsidRPr="00CB43B3" w:rsidRDefault="00DD1363" w:rsidP="00DD1363">
      <w:r w:rsidRPr="00CB43B3">
        <w:t>The Board, Treasury and the ATO work closely with applicants, and in some cases, vendors. If a proposed investment raises potential national interest concerns, these concerns are discussed with the applicant and the applicant is provided an opportunity to comment. If the applicant proposes mitigating actions, these will also be taken into account.</w:t>
      </w:r>
    </w:p>
    <w:p w14:paraId="6AA711C7" w14:textId="77777777" w:rsidR="00DD1363" w:rsidRPr="004B0334" w:rsidRDefault="00DD1363" w:rsidP="00DD1363">
      <w:r w:rsidRPr="00CB43B3">
        <w:t>Where a proposed investment raises no national interest concerns or concerns are adequately addressed by conditions, the applicant is notified in writing of no objection or no objection subject to conditions or granted an exemption certificate. Once an applicant receives a no objection or no objection subject to condition notification or is granted an exemption certificate, the applicant may proceed with the proposed investment. If national interest concerns remain and may not be able to be addressed, the proposed investment may be prohibited by the Treasurer, or in the case of an exemption certificate, the Treasurer may decline to grant the exemption certificate. The Treasurer declining to grant an exemption certificate is without prejudice to future applications for specified targets that the foreign person may lodge.</w:t>
      </w:r>
      <w:r>
        <w:t xml:space="preserve"> </w:t>
      </w:r>
    </w:p>
    <w:p w14:paraId="2661F981" w14:textId="427C5E3E" w:rsidR="00DD1363" w:rsidRPr="001E6053" w:rsidRDefault="00DD1363" w:rsidP="001E6053">
      <w:pPr>
        <w:pStyle w:val="Heading3"/>
        <w:rPr>
          <w:b w:val="0"/>
          <w:bCs w:val="0"/>
        </w:rPr>
      </w:pPr>
      <w:r w:rsidRPr="001E6053">
        <w:t xml:space="preserve">Temporary measures in response to </w:t>
      </w:r>
      <w:r w:rsidR="007A5574">
        <w:t xml:space="preserve">the </w:t>
      </w:r>
      <w:r w:rsidR="00035E25" w:rsidRPr="001E6053">
        <w:t>COVID</w:t>
      </w:r>
      <w:r w:rsidR="00BD4D19">
        <w:noBreakHyphen/>
      </w:r>
      <w:r w:rsidR="00035E25" w:rsidRPr="001E6053">
        <w:t>19</w:t>
      </w:r>
      <w:r w:rsidRPr="001E6053">
        <w:t xml:space="preserve"> </w:t>
      </w:r>
      <w:r w:rsidR="007A5574">
        <w:t xml:space="preserve">pandemic </w:t>
      </w:r>
      <w:r w:rsidRPr="001E6053">
        <w:t xml:space="preserve">and its impact on </w:t>
      </w:r>
      <w:r w:rsidR="003F6262">
        <w:t xml:space="preserve">the </w:t>
      </w:r>
      <w:r w:rsidRPr="001E6053">
        <w:t>application screening process</w:t>
      </w:r>
    </w:p>
    <w:p w14:paraId="17AD8728" w14:textId="5844CC4D" w:rsidR="00DD1363" w:rsidRDefault="00DD1363" w:rsidP="00DD1363">
      <w:pPr>
        <w:rPr>
          <w:lang w:val="en"/>
        </w:rPr>
      </w:pPr>
      <w:r>
        <w:rPr>
          <w:rFonts w:cs="Helvetica"/>
          <w:color w:val="212529"/>
          <w:lang w:val="en"/>
        </w:rPr>
        <w:t xml:space="preserve">On </w:t>
      </w:r>
      <w:r w:rsidRPr="004B0334">
        <w:rPr>
          <w:rFonts w:cs="Helvetica"/>
          <w:color w:val="212529"/>
          <w:lang w:val="en"/>
        </w:rPr>
        <w:t>29 March 2020</w:t>
      </w:r>
      <w:r>
        <w:rPr>
          <w:rFonts w:cs="Helvetica"/>
          <w:color w:val="212529"/>
          <w:lang w:val="en"/>
        </w:rPr>
        <w:t>, t</w:t>
      </w:r>
      <w:r w:rsidRPr="004B0334">
        <w:rPr>
          <w:rFonts w:cs="Helvetica"/>
          <w:color w:val="212529"/>
          <w:lang w:val="en"/>
        </w:rPr>
        <w:t>he Treasurer announced changes to Australia</w:t>
      </w:r>
      <w:r w:rsidR="00BD4D19">
        <w:rPr>
          <w:rFonts w:cs="Helvetica"/>
          <w:color w:val="212529"/>
          <w:lang w:val="en"/>
        </w:rPr>
        <w:t>’</w:t>
      </w:r>
      <w:r w:rsidRPr="004B0334">
        <w:rPr>
          <w:rFonts w:cs="Helvetica"/>
          <w:color w:val="212529"/>
          <w:lang w:val="en"/>
        </w:rPr>
        <w:t xml:space="preserve">s foreign investment review framework in response to the </w:t>
      </w:r>
      <w:r w:rsidR="00C5391D">
        <w:rPr>
          <w:rFonts w:cs="Helvetica"/>
          <w:color w:val="212529"/>
          <w:lang w:val="en"/>
        </w:rPr>
        <w:t>COV</w:t>
      </w:r>
      <w:r w:rsidR="00F84E6C">
        <w:rPr>
          <w:rFonts w:cs="Helvetica"/>
          <w:color w:val="212529"/>
          <w:lang w:val="en"/>
        </w:rPr>
        <w:t>ID</w:t>
      </w:r>
      <w:r w:rsidR="00BD4D19">
        <w:rPr>
          <w:rFonts w:cs="Helvetica"/>
          <w:color w:val="212529"/>
          <w:lang w:val="en"/>
        </w:rPr>
        <w:noBreakHyphen/>
      </w:r>
      <w:r w:rsidR="00C5391D">
        <w:rPr>
          <w:rFonts w:cs="Helvetica"/>
          <w:color w:val="212529"/>
          <w:lang w:val="en"/>
        </w:rPr>
        <w:t>19</w:t>
      </w:r>
      <w:r w:rsidR="00C5391D" w:rsidRPr="004B0334">
        <w:rPr>
          <w:rFonts w:cs="Helvetica"/>
          <w:color w:val="212529"/>
          <w:lang w:val="en"/>
        </w:rPr>
        <w:t xml:space="preserve"> </w:t>
      </w:r>
      <w:r w:rsidR="007A5574">
        <w:rPr>
          <w:rFonts w:cs="Helvetica"/>
          <w:color w:val="212529"/>
          <w:lang w:val="en"/>
        </w:rPr>
        <w:t>pandemic</w:t>
      </w:r>
      <w:r>
        <w:rPr>
          <w:rFonts w:cs="Helvetica"/>
          <w:color w:val="212529"/>
          <w:lang w:val="en"/>
        </w:rPr>
        <w:t xml:space="preserve">, </w:t>
      </w:r>
      <w:r>
        <w:rPr>
          <w:lang w:val="en"/>
        </w:rPr>
        <w:t>with a</w:t>
      </w:r>
      <w:r w:rsidRPr="004B0334">
        <w:rPr>
          <w:lang w:val="en"/>
        </w:rPr>
        <w:t>ll monetary screening thresholds temporarily reduced to $0</w:t>
      </w:r>
      <w:r w:rsidRPr="005E22F5">
        <w:rPr>
          <w:lang w:val="en"/>
        </w:rPr>
        <w:t xml:space="preserve"> </w:t>
      </w:r>
      <w:r>
        <w:rPr>
          <w:lang w:val="en"/>
        </w:rPr>
        <w:t>during the pandemic, a time of heightened risk for distressed Australian businesses</w:t>
      </w:r>
      <w:r w:rsidRPr="004B0334">
        <w:rPr>
          <w:lang w:val="en"/>
        </w:rPr>
        <w:t>.</w:t>
      </w:r>
      <w:r>
        <w:rPr>
          <w:lang w:val="en"/>
        </w:rPr>
        <w:t xml:space="preserve"> </w:t>
      </w:r>
      <w:r w:rsidRPr="004B0334">
        <w:rPr>
          <w:lang w:val="en"/>
        </w:rPr>
        <w:t xml:space="preserve">The </w:t>
      </w:r>
      <w:r w:rsidRPr="004B0334">
        <w:rPr>
          <w:rStyle w:val="Emphasis"/>
          <w:lang w:val="en"/>
        </w:rPr>
        <w:t>Foreign Acquisitions and Takeovers Amendment (Threshold Test) Regulations 2020</w:t>
      </w:r>
      <w:r w:rsidRPr="004B0334">
        <w:rPr>
          <w:lang w:val="en"/>
        </w:rPr>
        <w:t xml:space="preserve"> gave effect to this temporary change. </w:t>
      </w:r>
    </w:p>
    <w:p w14:paraId="7726D355" w14:textId="77777777" w:rsidR="00DD1363" w:rsidRDefault="00DD1363" w:rsidP="00DD1363">
      <w:pPr>
        <w:rPr>
          <w:lang w:val="en"/>
        </w:rPr>
      </w:pPr>
      <w:r>
        <w:rPr>
          <w:lang w:val="en"/>
        </w:rPr>
        <w:t>The Treasury and ATO subsequently implemented administrative measures</w:t>
      </w:r>
      <w:r w:rsidR="006225EA">
        <w:rPr>
          <w:lang w:val="en"/>
        </w:rPr>
        <w:t xml:space="preserve"> — </w:t>
      </w:r>
      <w:r>
        <w:rPr>
          <w:lang w:val="en"/>
        </w:rPr>
        <w:t>adapting business structures and processes to support a</w:t>
      </w:r>
      <w:r w:rsidR="00D1746D">
        <w:rPr>
          <w:lang w:val="en"/>
        </w:rPr>
        <w:t>n</w:t>
      </w:r>
      <w:r>
        <w:rPr>
          <w:lang w:val="en"/>
        </w:rPr>
        <w:t xml:space="preserve"> increase in the volume of new applications and enquiries, when compared with the same quarter last year. </w:t>
      </w:r>
    </w:p>
    <w:p w14:paraId="278660DC" w14:textId="77777777" w:rsidR="00DD1363" w:rsidRPr="005D0482" w:rsidRDefault="00DD1363" w:rsidP="00DD1363">
      <w:pPr>
        <w:rPr>
          <w:lang w:val="en"/>
        </w:rPr>
      </w:pPr>
      <w:r w:rsidRPr="004B0334">
        <w:rPr>
          <w:lang w:val="en"/>
        </w:rPr>
        <w:t>T</w:t>
      </w:r>
      <w:r>
        <w:rPr>
          <w:lang w:val="en"/>
        </w:rPr>
        <w:t>he T</w:t>
      </w:r>
      <w:r w:rsidRPr="004B0334">
        <w:rPr>
          <w:lang w:val="en"/>
        </w:rPr>
        <w:t>reasury and the ATO triag</w:t>
      </w:r>
      <w:r>
        <w:rPr>
          <w:lang w:val="en"/>
        </w:rPr>
        <w:t>ed</w:t>
      </w:r>
      <w:r w:rsidRPr="004B0334">
        <w:rPr>
          <w:lang w:val="en"/>
        </w:rPr>
        <w:t xml:space="preserve"> </w:t>
      </w:r>
      <w:r w:rsidR="00FB3181">
        <w:rPr>
          <w:lang w:val="en"/>
        </w:rPr>
        <w:t>application</w:t>
      </w:r>
      <w:r w:rsidR="00FB3181" w:rsidRPr="004B0334">
        <w:rPr>
          <w:lang w:val="en"/>
        </w:rPr>
        <w:t xml:space="preserve">s </w:t>
      </w:r>
      <w:r>
        <w:rPr>
          <w:lang w:val="en"/>
        </w:rPr>
        <w:t xml:space="preserve">on the basis of their commercial deadlines and risk profile, with priority </w:t>
      </w:r>
      <w:r w:rsidRPr="004B0334">
        <w:rPr>
          <w:lang w:val="en"/>
        </w:rPr>
        <w:t xml:space="preserve">given to the applications for investments that protect and support Australian businesses and jobs. In particular, the potential impact on the community and employment </w:t>
      </w:r>
      <w:r>
        <w:rPr>
          <w:lang w:val="en"/>
        </w:rPr>
        <w:t>was</w:t>
      </w:r>
      <w:r w:rsidRPr="004B0334">
        <w:rPr>
          <w:lang w:val="en"/>
        </w:rPr>
        <w:t xml:space="preserve"> considered when screening applications. The Government </w:t>
      </w:r>
      <w:r>
        <w:rPr>
          <w:lang w:val="en"/>
        </w:rPr>
        <w:t>remained</w:t>
      </w:r>
      <w:r w:rsidRPr="004B0334">
        <w:rPr>
          <w:lang w:val="en"/>
        </w:rPr>
        <w:t xml:space="preserve"> committed to meeting commercial deadlines wherever possible</w:t>
      </w:r>
      <w:r>
        <w:rPr>
          <w:lang w:val="en"/>
        </w:rPr>
        <w:t>.</w:t>
      </w:r>
      <w:r w:rsidRPr="004B0334">
        <w:rPr>
          <w:lang w:val="en"/>
        </w:rPr>
        <w:t xml:space="preserve"> </w:t>
      </w:r>
    </w:p>
    <w:p w14:paraId="693EB0DC" w14:textId="3905C254" w:rsidR="00DD1363" w:rsidRDefault="00DD1363" w:rsidP="00DD1363">
      <w:pPr>
        <w:rPr>
          <w:lang w:val="en"/>
        </w:rPr>
      </w:pPr>
      <w:r w:rsidRPr="009B1247">
        <w:rPr>
          <w:lang w:val="en"/>
        </w:rPr>
        <w:t>To ensure sufficient time for screening applications, the Treasury and ATO worked with some applicants to extend statutory timeframes for reviewing applica</w:t>
      </w:r>
      <w:r w:rsidR="00817CF9" w:rsidRPr="009B1247">
        <w:rPr>
          <w:lang w:val="en"/>
        </w:rPr>
        <w:t>tions from 30 days to up to six </w:t>
      </w:r>
      <w:r w:rsidRPr="009B1247">
        <w:rPr>
          <w:lang w:val="en"/>
        </w:rPr>
        <w:t>months.</w:t>
      </w:r>
      <w:r w:rsidR="00817CF9" w:rsidRPr="009B1247">
        <w:rPr>
          <w:lang w:val="en"/>
        </w:rPr>
        <w:t xml:space="preserve"> </w:t>
      </w:r>
      <w:r w:rsidRPr="009B1247">
        <w:rPr>
          <w:lang w:val="en"/>
        </w:rPr>
        <w:t>However, to ensure the great majority of applications were processed much faster</w:t>
      </w:r>
      <w:r>
        <w:rPr>
          <w:lang w:val="en"/>
        </w:rPr>
        <w:t xml:space="preserve"> Treasury and the ATO</w:t>
      </w:r>
      <w:r w:rsidRPr="004B0334">
        <w:rPr>
          <w:lang w:val="en"/>
        </w:rPr>
        <w:t xml:space="preserve"> </w:t>
      </w:r>
      <w:r>
        <w:rPr>
          <w:lang w:val="en"/>
        </w:rPr>
        <w:t>significantly</w:t>
      </w:r>
      <w:r w:rsidRPr="004B0334">
        <w:rPr>
          <w:lang w:val="en"/>
        </w:rPr>
        <w:t xml:space="preserve"> </w:t>
      </w:r>
      <w:r>
        <w:rPr>
          <w:lang w:val="en"/>
        </w:rPr>
        <w:t>increased</w:t>
      </w:r>
      <w:r w:rsidRPr="004B0334">
        <w:rPr>
          <w:lang w:val="en"/>
        </w:rPr>
        <w:t xml:space="preserve"> staff to manage the workload </w:t>
      </w:r>
      <w:r>
        <w:rPr>
          <w:lang w:val="en"/>
        </w:rPr>
        <w:t xml:space="preserve">for </w:t>
      </w:r>
      <w:r w:rsidRPr="004B0334">
        <w:rPr>
          <w:lang w:val="en"/>
        </w:rPr>
        <w:t xml:space="preserve">both urgent </w:t>
      </w:r>
      <w:r w:rsidR="00FB3181">
        <w:rPr>
          <w:lang w:val="en"/>
        </w:rPr>
        <w:t>proposal</w:t>
      </w:r>
      <w:r w:rsidR="00FB3181" w:rsidRPr="004B0334">
        <w:rPr>
          <w:lang w:val="en"/>
        </w:rPr>
        <w:t xml:space="preserve">s </w:t>
      </w:r>
      <w:r w:rsidRPr="004B0334">
        <w:rPr>
          <w:lang w:val="en"/>
        </w:rPr>
        <w:t>that support Australian businesses and routine applications.</w:t>
      </w:r>
      <w:r w:rsidR="009B1247">
        <w:rPr>
          <w:lang w:val="en"/>
        </w:rPr>
        <w:t xml:space="preserve"> They also</w:t>
      </w:r>
      <w:r w:rsidR="009B1247">
        <w:t xml:space="preserve"> reviewed business practices and capability needs, introducing a </w:t>
      </w:r>
      <w:r w:rsidR="009B1247" w:rsidRPr="00ED253E">
        <w:t>risk</w:t>
      </w:r>
      <w:r w:rsidR="00BD4D19">
        <w:noBreakHyphen/>
      </w:r>
      <w:r w:rsidR="009B1247" w:rsidRPr="00ED253E">
        <w:t>based triaging</w:t>
      </w:r>
      <w:r w:rsidR="009B1247" w:rsidRPr="00ED253E" w:rsidDel="00152A9F">
        <w:t xml:space="preserve"> </w:t>
      </w:r>
      <w:r w:rsidR="009B1247">
        <w:t>process,</w:t>
      </w:r>
      <w:r w:rsidR="009B1247" w:rsidDel="0087119F">
        <w:t xml:space="preserve"> </w:t>
      </w:r>
      <w:r w:rsidR="009B1247">
        <w:t>and</w:t>
      </w:r>
      <w:r w:rsidR="009B1247" w:rsidRPr="00ED253E" w:rsidDel="00152A9F">
        <w:t xml:space="preserve"> </w:t>
      </w:r>
      <w:r w:rsidR="009B1247">
        <w:t>developed initiatives to improve IT, staff development and training.</w:t>
      </w:r>
      <w:r>
        <w:rPr>
          <w:lang w:val="en"/>
        </w:rPr>
        <w:t xml:space="preserve"> </w:t>
      </w:r>
      <w:r w:rsidR="00817CF9">
        <w:rPr>
          <w:lang w:val="en"/>
        </w:rPr>
        <w:t>Where the statutory timeframes</w:t>
      </w:r>
      <w:r w:rsidR="00817CF9" w:rsidRPr="004B0334">
        <w:rPr>
          <w:lang w:val="en"/>
        </w:rPr>
        <w:t xml:space="preserve"> </w:t>
      </w:r>
      <w:r w:rsidR="00817CF9">
        <w:rPr>
          <w:lang w:val="en"/>
        </w:rPr>
        <w:t xml:space="preserve">were extended to six months, </w:t>
      </w:r>
      <w:r w:rsidR="00FB3181">
        <w:rPr>
          <w:lang w:val="en"/>
        </w:rPr>
        <w:t xml:space="preserve">proposals </w:t>
      </w:r>
      <w:r w:rsidR="00817CF9">
        <w:rPr>
          <w:lang w:val="en"/>
        </w:rPr>
        <w:t>were completed well within the six month timeframe.</w:t>
      </w:r>
    </w:p>
    <w:p w14:paraId="2513D911" w14:textId="77777777" w:rsidR="00DD1363" w:rsidRPr="00070B84" w:rsidRDefault="00DD1363" w:rsidP="00DD1363">
      <w:pPr>
        <w:pStyle w:val="CommentText"/>
      </w:pPr>
      <w:r w:rsidRPr="00DD1363">
        <w:t xml:space="preserve">The temporary measures did not substantially change the foreign investment assessment and approval process. </w:t>
      </w:r>
      <w:r w:rsidR="00D1746D">
        <w:t xml:space="preserve">The measures were </w:t>
      </w:r>
      <w:r w:rsidR="00D1746D" w:rsidRPr="00DD1363">
        <w:t xml:space="preserve">lifted </w:t>
      </w:r>
      <w:r w:rsidR="00F84E6C">
        <w:t>on 1 January </w:t>
      </w:r>
      <w:r w:rsidRPr="00DD1363">
        <w:t>2021 when the forei</w:t>
      </w:r>
      <w:r>
        <w:t xml:space="preserve">gn investment reforms </w:t>
      </w:r>
      <w:r w:rsidR="003F6262">
        <w:t xml:space="preserve">announced and passed in 2020 </w:t>
      </w:r>
      <w:r>
        <w:t>commence</w:t>
      </w:r>
      <w:r w:rsidR="00BD4F57">
        <w:t>d</w:t>
      </w:r>
      <w:r>
        <w:t>.</w:t>
      </w:r>
    </w:p>
    <w:p w14:paraId="057B1F4C" w14:textId="77777777" w:rsidR="00A84283" w:rsidRPr="00A84283" w:rsidRDefault="00A84283" w:rsidP="001C7EE6">
      <w:pPr>
        <w:pStyle w:val="Circletext"/>
      </w:pPr>
    </w:p>
    <w:p w14:paraId="5F6C49F9" w14:textId="77777777" w:rsidR="006F0D93" w:rsidRDefault="006F0D93" w:rsidP="000814CB">
      <w:pPr>
        <w:sectPr w:rsidR="006F0D93" w:rsidSect="000E08BC">
          <w:type w:val="oddPage"/>
          <w:pgSz w:w="11906" w:h="16838" w:code="9"/>
          <w:pgMar w:top="2466" w:right="2098" w:bottom="2466" w:left="2098" w:header="1899" w:footer="1899" w:gutter="0"/>
          <w:cols w:space="708"/>
          <w:titlePg/>
          <w:docGrid w:linePitch="360"/>
        </w:sectPr>
      </w:pPr>
      <w:bookmarkStart w:id="245" w:name="_Toc31636038"/>
      <w:bookmarkStart w:id="246" w:name="_Toc31642807"/>
    </w:p>
    <w:p w14:paraId="585ECB78" w14:textId="77777777" w:rsidR="00D1746D" w:rsidRPr="00957264" w:rsidRDefault="000376F1" w:rsidP="000376F1">
      <w:pPr>
        <w:pStyle w:val="AppendixHeading"/>
      </w:pPr>
      <w:bookmarkStart w:id="247" w:name="_Toc32247818"/>
      <w:bookmarkStart w:id="248" w:name="_Toc63782948"/>
      <w:bookmarkStart w:id="249" w:name="_Toc75244079"/>
      <w:bookmarkEnd w:id="245"/>
      <w:bookmarkEnd w:id="246"/>
      <w:r>
        <w:rPr>
          <w:noProof/>
        </w:rPr>
        <w:drawing>
          <wp:anchor distT="0" distB="0" distL="114300" distR="114300" simplePos="0" relativeHeight="251672576" behindDoc="0" locked="0" layoutInCell="1" allowOverlap="1" wp14:anchorId="01CCB9BA" wp14:editId="5C58A295">
            <wp:simplePos x="0" y="0"/>
            <wp:positionH relativeFrom="margin">
              <wp:align>right</wp:align>
            </wp:positionH>
            <wp:positionV relativeFrom="paragraph">
              <wp:posOffset>3175</wp:posOffset>
            </wp:positionV>
            <wp:extent cx="4895088" cy="2161032"/>
            <wp:effectExtent l="0" t="0" r="1270" b="0"/>
            <wp:wrapNone/>
            <wp:docPr id="19" name="Picture 19" descr="Chapter head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pter header graphic"/>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95088" cy="2161032"/>
                    </a:xfrm>
                    <a:prstGeom prst="rect">
                      <a:avLst/>
                    </a:prstGeom>
                  </pic:spPr>
                </pic:pic>
              </a:graphicData>
            </a:graphic>
          </wp:anchor>
        </w:drawing>
      </w:r>
      <w:r w:rsidR="00D1746D" w:rsidRPr="00957264">
        <w:t xml:space="preserve">Appendix D: </w:t>
      </w:r>
      <w:r w:rsidR="00D1746D" w:rsidRPr="006225EA">
        <w:t>Glossary</w:t>
      </w:r>
      <w:bookmarkEnd w:id="247"/>
      <w:r w:rsidR="00FB0C2E" w:rsidRPr="006225EA">
        <w:rPr>
          <w:rStyle w:val="FootnoteReference"/>
        </w:rPr>
        <w:footnoteReference w:id="13"/>
      </w:r>
      <w:bookmarkEnd w:id="248"/>
      <w:bookmarkEnd w:id="249"/>
    </w:p>
    <w:p w14:paraId="5CB6D26F" w14:textId="77777777" w:rsidR="009068CD" w:rsidRDefault="009068CD" w:rsidP="001C7EE6"/>
    <w:p w14:paraId="6CB3D453" w14:textId="77777777" w:rsidR="009068CD" w:rsidRDefault="009068CD" w:rsidP="001C7EE6"/>
    <w:p w14:paraId="49E5527D" w14:textId="77777777" w:rsidR="000376F1" w:rsidRDefault="000376F1" w:rsidP="001C7EE6"/>
    <w:p w14:paraId="7D9A5342" w14:textId="77777777" w:rsidR="009068CD" w:rsidRDefault="009068CD" w:rsidP="001C7EE6"/>
    <w:p w14:paraId="2479009E" w14:textId="77777777" w:rsidR="009068CD" w:rsidRDefault="009068CD" w:rsidP="001C7EE6"/>
    <w:p w14:paraId="511967C4" w14:textId="77777777" w:rsidR="009068CD" w:rsidRPr="004C50AE" w:rsidRDefault="009068CD" w:rsidP="001C7EE6">
      <w:pPr>
        <w:spacing w:after="360"/>
      </w:pPr>
      <w: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Glossary of Terms"/>
        <w:tblDescription w:val="Lists and defines certain terms used in the report "/>
      </w:tblPr>
      <w:tblGrid>
        <w:gridCol w:w="1413"/>
        <w:gridCol w:w="6287"/>
      </w:tblGrid>
      <w:tr w:rsidR="007F5798" w:rsidRPr="000814CB" w14:paraId="4767F2A1" w14:textId="77777777" w:rsidTr="000376F1">
        <w:trPr>
          <w:cantSplit/>
        </w:trPr>
        <w:tc>
          <w:tcPr>
            <w:tcW w:w="1413" w:type="dxa"/>
          </w:tcPr>
          <w:p w14:paraId="56AEB726" w14:textId="77777777" w:rsidR="007F5798" w:rsidRPr="000814CB" w:rsidRDefault="007F5798" w:rsidP="000302FB">
            <w:pPr>
              <w:pStyle w:val="TableTextLeft"/>
            </w:pPr>
            <w:r w:rsidRPr="000814CB">
              <w:t>Act</w:t>
            </w:r>
          </w:p>
        </w:tc>
        <w:tc>
          <w:tcPr>
            <w:tcW w:w="6287" w:type="dxa"/>
          </w:tcPr>
          <w:p w14:paraId="07B50AB2" w14:textId="77777777" w:rsidR="007F5798" w:rsidRPr="000814CB" w:rsidRDefault="007F5798" w:rsidP="00A922DA">
            <w:pPr>
              <w:pStyle w:val="TableTextLeft"/>
            </w:pPr>
            <w:r w:rsidRPr="000814CB">
              <w:t xml:space="preserve">The </w:t>
            </w:r>
            <w:r w:rsidRPr="000814CB">
              <w:rPr>
                <w:i/>
              </w:rPr>
              <w:t>Foreign Acquisitions and Takeovers Act 1975</w:t>
            </w:r>
            <w:r w:rsidRPr="000814CB">
              <w:t xml:space="preserve"> (as in force during 201</w:t>
            </w:r>
            <w:r w:rsidR="00A922DA">
              <w:t>9</w:t>
            </w:r>
            <w:r w:rsidRPr="000814CB">
              <w:t>–</w:t>
            </w:r>
            <w:r w:rsidR="00A922DA">
              <w:t>20</w:t>
            </w:r>
            <w:r w:rsidRPr="000814CB">
              <w:t>)</w:t>
            </w:r>
            <w:r w:rsidR="00ED2F16">
              <w:t>.</w:t>
            </w:r>
          </w:p>
        </w:tc>
      </w:tr>
      <w:tr w:rsidR="007F5798" w:rsidRPr="000814CB" w14:paraId="45D88C7B" w14:textId="77777777" w:rsidTr="000376F1">
        <w:trPr>
          <w:cantSplit/>
        </w:trPr>
        <w:tc>
          <w:tcPr>
            <w:tcW w:w="1413" w:type="dxa"/>
          </w:tcPr>
          <w:p w14:paraId="79D3EB84" w14:textId="77777777" w:rsidR="007F5798" w:rsidRPr="000814CB" w:rsidRDefault="007F5798" w:rsidP="000302FB">
            <w:pPr>
              <w:pStyle w:val="TableTextLeft"/>
            </w:pPr>
            <w:r w:rsidRPr="000814CB">
              <w:t>Agricultural land</w:t>
            </w:r>
          </w:p>
        </w:tc>
        <w:tc>
          <w:tcPr>
            <w:tcW w:w="6287" w:type="dxa"/>
          </w:tcPr>
          <w:p w14:paraId="51FF2FC5" w14:textId="77777777" w:rsidR="007F5798" w:rsidRPr="000814CB" w:rsidRDefault="007F5798" w:rsidP="000302FB">
            <w:pPr>
              <w:pStyle w:val="TableTextLeft"/>
            </w:pPr>
            <w:r w:rsidRPr="000814CB">
              <w:t>Land in Australia that is used, or that could reasonably be used, for a primary production business. The regulations may provide that land of a specified kind is not agricultural land.</w:t>
            </w:r>
          </w:p>
        </w:tc>
      </w:tr>
      <w:tr w:rsidR="007F5798" w:rsidRPr="000814CB" w14:paraId="7B2ACA18" w14:textId="77777777" w:rsidTr="000376F1">
        <w:trPr>
          <w:cantSplit/>
        </w:trPr>
        <w:tc>
          <w:tcPr>
            <w:tcW w:w="1413" w:type="dxa"/>
          </w:tcPr>
          <w:p w14:paraId="1F922473" w14:textId="77777777" w:rsidR="007F5798" w:rsidRPr="000814CB" w:rsidRDefault="007F5798" w:rsidP="000302FB">
            <w:pPr>
              <w:pStyle w:val="TableTextLeft"/>
            </w:pPr>
            <w:r w:rsidRPr="000814CB">
              <w:t>Commercial land</w:t>
            </w:r>
          </w:p>
        </w:tc>
        <w:tc>
          <w:tcPr>
            <w:tcW w:w="6287" w:type="dxa"/>
          </w:tcPr>
          <w:p w14:paraId="448D1A7B" w14:textId="77777777" w:rsidR="007F5798" w:rsidRPr="000814CB" w:rsidRDefault="007F5798" w:rsidP="000302FB">
            <w:pPr>
              <w:pStyle w:val="TableTextLeft"/>
            </w:pPr>
            <w:r w:rsidRPr="000814CB">
              <w:t>Land in Australia or the seabed of the offshore area, other than land:</w:t>
            </w:r>
          </w:p>
          <w:p w14:paraId="743DBE31" w14:textId="77777777" w:rsidR="007F5798" w:rsidRPr="000814CB" w:rsidRDefault="007F5798" w:rsidP="007149D6">
            <w:pPr>
              <w:pStyle w:val="TableTextLeft"/>
              <w:numPr>
                <w:ilvl w:val="0"/>
                <w:numId w:val="18"/>
              </w:numPr>
            </w:pPr>
            <w:r w:rsidRPr="000814CB">
              <w:t>used wholly and exclusively for a primary production business; or</w:t>
            </w:r>
          </w:p>
          <w:p w14:paraId="7FB65203" w14:textId="77777777" w:rsidR="007F5798" w:rsidRPr="000814CB" w:rsidRDefault="007F5798" w:rsidP="007149D6">
            <w:pPr>
              <w:pStyle w:val="TableTextLeft"/>
              <w:numPr>
                <w:ilvl w:val="0"/>
                <w:numId w:val="18"/>
              </w:numPr>
            </w:pPr>
            <w:r w:rsidRPr="000814CB">
              <w:t>on which there is at least one dwelling (except commercial residential premises); or</w:t>
            </w:r>
          </w:p>
          <w:p w14:paraId="107532CE" w14:textId="77777777" w:rsidR="007F5798" w:rsidRPr="000814CB" w:rsidRDefault="007F5798" w:rsidP="007149D6">
            <w:pPr>
              <w:pStyle w:val="TableTextLeft"/>
              <w:numPr>
                <w:ilvl w:val="0"/>
                <w:numId w:val="18"/>
              </w:numPr>
              <w:rPr>
                <w:color w:val="auto"/>
              </w:rPr>
            </w:pPr>
            <w:r w:rsidRPr="000814CB">
              <w:t>on which the number of dwellings (except commercial residential premises) that could reasonably be built is less than the number prescribed by the regulations (10, during 2018–19).</w:t>
            </w:r>
          </w:p>
        </w:tc>
      </w:tr>
      <w:tr w:rsidR="00086882" w:rsidRPr="00086882" w14:paraId="75F0CE36" w14:textId="77777777" w:rsidTr="000376F1">
        <w:trPr>
          <w:cantSplit/>
        </w:trPr>
        <w:tc>
          <w:tcPr>
            <w:tcW w:w="1413" w:type="dxa"/>
          </w:tcPr>
          <w:p w14:paraId="339802F1" w14:textId="77777777" w:rsidR="00086882" w:rsidRPr="000814CB" w:rsidRDefault="00086882" w:rsidP="00086882">
            <w:pPr>
              <w:pStyle w:val="TableTextLeft"/>
            </w:pPr>
            <w:r>
              <w:t>Compliant</w:t>
            </w:r>
          </w:p>
        </w:tc>
        <w:tc>
          <w:tcPr>
            <w:tcW w:w="6287" w:type="dxa"/>
          </w:tcPr>
          <w:p w14:paraId="69B593B7" w14:textId="77777777" w:rsidR="00086882" w:rsidRPr="000814CB" w:rsidRDefault="00086882" w:rsidP="00086882">
            <w:pPr>
              <w:pStyle w:val="TableTextLeft"/>
            </w:pPr>
            <w:r w:rsidRPr="00086882">
              <w:t>Sufficient appropriate evidence has been provided by the applicant to demonstrate compliance with a condition.</w:t>
            </w:r>
          </w:p>
        </w:tc>
      </w:tr>
      <w:tr w:rsidR="00086882" w:rsidRPr="00086882" w14:paraId="17727F49" w14:textId="77777777" w:rsidTr="000376F1">
        <w:trPr>
          <w:cantSplit/>
        </w:trPr>
        <w:tc>
          <w:tcPr>
            <w:tcW w:w="1413" w:type="dxa"/>
          </w:tcPr>
          <w:p w14:paraId="3223DBB0" w14:textId="77777777" w:rsidR="00086882" w:rsidRPr="000814CB" w:rsidRDefault="00086882" w:rsidP="000302FB">
            <w:pPr>
              <w:pStyle w:val="TableTextLeft"/>
            </w:pPr>
            <w:r>
              <w:t>Compliant with caveats</w:t>
            </w:r>
          </w:p>
        </w:tc>
        <w:tc>
          <w:tcPr>
            <w:tcW w:w="6287" w:type="dxa"/>
          </w:tcPr>
          <w:p w14:paraId="24AFC256" w14:textId="77777777" w:rsidR="00086882" w:rsidRDefault="00086882" w:rsidP="00086882">
            <w:pPr>
              <w:pStyle w:val="TableTextLeft"/>
            </w:pPr>
            <w:r w:rsidRPr="00086882">
              <w:t>Compliance with the condition has been observed. However, the wording of the condition means:</w:t>
            </w:r>
          </w:p>
          <w:p w14:paraId="05BF1717" w14:textId="77777777" w:rsidR="00086882" w:rsidRDefault="00086882" w:rsidP="00086882">
            <w:pPr>
              <w:pStyle w:val="TableTextLeft"/>
              <w:numPr>
                <w:ilvl w:val="0"/>
                <w:numId w:val="18"/>
              </w:numPr>
            </w:pPr>
            <w:r w:rsidRPr="00086882">
              <w:t>there is limited sources of appropriate evidence that can be provided by the applicant to evidence compliance; or</w:t>
            </w:r>
          </w:p>
          <w:p w14:paraId="0EE58987" w14:textId="77777777" w:rsidR="00086882" w:rsidRDefault="00086882" w:rsidP="00086882">
            <w:pPr>
              <w:pStyle w:val="TableTextLeft"/>
              <w:numPr>
                <w:ilvl w:val="0"/>
                <w:numId w:val="18"/>
              </w:numPr>
            </w:pPr>
            <w:r w:rsidRPr="00086882">
              <w:t>there is potential for misinterpretation of a condition; or</w:t>
            </w:r>
          </w:p>
          <w:p w14:paraId="16D9AE0D" w14:textId="77777777" w:rsidR="00086882" w:rsidRDefault="00086882" w:rsidP="00086882">
            <w:pPr>
              <w:pStyle w:val="TableTextLeft"/>
              <w:numPr>
                <w:ilvl w:val="0"/>
                <w:numId w:val="18"/>
              </w:numPr>
            </w:pPr>
            <w:r w:rsidRPr="00086882">
              <w:t>the controls implemented by the applicant, whilst technically in accordance with the condition, may not effectively address the underlying risk.</w:t>
            </w:r>
          </w:p>
          <w:p w14:paraId="37F6F06E" w14:textId="60374AC4" w:rsidR="00086882" w:rsidRPr="000814CB" w:rsidRDefault="00086882" w:rsidP="00086882">
            <w:pPr>
              <w:pStyle w:val="TableTextLeft"/>
            </w:pPr>
            <w:r w:rsidRPr="00086882">
              <w:t>Further consideration of the condition, and possible variations, will need to be considered in the context of Treasury</w:t>
            </w:r>
            <w:r w:rsidR="00BD4D19">
              <w:t>’</w:t>
            </w:r>
            <w:r w:rsidRPr="00086882">
              <w:t>s foreign investment compliance risk</w:t>
            </w:r>
            <w:r>
              <w:t>.</w:t>
            </w:r>
          </w:p>
        </w:tc>
      </w:tr>
      <w:tr w:rsidR="007F5798" w:rsidRPr="000814CB" w14:paraId="08F9BEF8" w14:textId="77777777" w:rsidTr="000376F1">
        <w:trPr>
          <w:cantSplit/>
        </w:trPr>
        <w:tc>
          <w:tcPr>
            <w:tcW w:w="1413" w:type="dxa"/>
          </w:tcPr>
          <w:p w14:paraId="1E89C666" w14:textId="77777777" w:rsidR="007F5798" w:rsidRPr="000814CB" w:rsidRDefault="007F5798" w:rsidP="000302FB">
            <w:pPr>
              <w:pStyle w:val="TableTextLeft"/>
            </w:pPr>
            <w:r w:rsidRPr="000814CB">
              <w:t>Established dwelling</w:t>
            </w:r>
          </w:p>
        </w:tc>
        <w:tc>
          <w:tcPr>
            <w:tcW w:w="6287" w:type="dxa"/>
          </w:tcPr>
          <w:p w14:paraId="268CF758" w14:textId="77777777" w:rsidR="007F5798" w:rsidRPr="000814CB" w:rsidRDefault="007F5798" w:rsidP="000302FB">
            <w:pPr>
              <w:pStyle w:val="TableTextLeft"/>
            </w:pPr>
            <w:r w:rsidRPr="000814CB">
              <w:t>A dwelling (except commercial residential premises) on residential land that is not a new dwelling.</w:t>
            </w:r>
          </w:p>
        </w:tc>
      </w:tr>
      <w:tr w:rsidR="007F5798" w:rsidRPr="000814CB" w14:paraId="0E2C5BE8" w14:textId="77777777" w:rsidTr="000376F1">
        <w:trPr>
          <w:cantSplit/>
        </w:trPr>
        <w:tc>
          <w:tcPr>
            <w:tcW w:w="1413" w:type="dxa"/>
          </w:tcPr>
          <w:p w14:paraId="701FD4F5" w14:textId="77777777" w:rsidR="007F5798" w:rsidRPr="000814CB" w:rsidRDefault="007F5798" w:rsidP="000302FB">
            <w:pPr>
              <w:pStyle w:val="TableTextLeft"/>
            </w:pPr>
            <w:r w:rsidRPr="000814CB">
              <w:t>Exemption certificates</w:t>
            </w:r>
          </w:p>
        </w:tc>
        <w:tc>
          <w:tcPr>
            <w:tcW w:w="6287" w:type="dxa"/>
          </w:tcPr>
          <w:p w14:paraId="1039A2EF" w14:textId="77777777" w:rsidR="007F5798" w:rsidRPr="000814CB" w:rsidRDefault="007F5798" w:rsidP="000302FB">
            <w:pPr>
              <w:pStyle w:val="TableTextLeft"/>
            </w:pPr>
            <w:r w:rsidRPr="000814CB">
              <w:t>Advance approval to allow foreign persons to undertake a program of acquisitions of land and/or business and entities. These are granted with a specified monetary limit within a defined region or sector and generally include conditions requiring the foreign person to report actual acquisitions and any other conditions that would normally be applied for the type of land and/or business and entity to be acquired. Business exemption certificates were introduced on 1 July 2017. Prior to 1 December 2015, the equivalent to land exemption certificates was known as an annual program certificate.</w:t>
            </w:r>
          </w:p>
        </w:tc>
      </w:tr>
      <w:tr w:rsidR="007F5798" w:rsidRPr="000814CB" w14:paraId="34D73154" w14:textId="77777777" w:rsidTr="000376F1">
        <w:trPr>
          <w:cantSplit/>
        </w:trPr>
        <w:tc>
          <w:tcPr>
            <w:tcW w:w="1413" w:type="dxa"/>
            <w:tcBorders>
              <w:bottom w:val="nil"/>
            </w:tcBorders>
          </w:tcPr>
          <w:p w14:paraId="56CE85C8" w14:textId="77777777" w:rsidR="007F5798" w:rsidRPr="000814CB" w:rsidRDefault="005F2DD2" w:rsidP="000302FB">
            <w:pPr>
              <w:pStyle w:val="TableTextLeft"/>
              <w:rPr>
                <w:color w:val="auto"/>
              </w:rPr>
            </w:pPr>
            <w:r w:rsidRPr="000814CB">
              <w:rPr>
                <w:color w:val="auto"/>
              </w:rPr>
              <w:t>Foreign government investor</w:t>
            </w:r>
          </w:p>
        </w:tc>
        <w:tc>
          <w:tcPr>
            <w:tcW w:w="6287" w:type="dxa"/>
            <w:tcBorders>
              <w:bottom w:val="nil"/>
            </w:tcBorders>
          </w:tcPr>
          <w:p w14:paraId="4BEF33D4" w14:textId="77777777" w:rsidR="005F2DD2" w:rsidRPr="000814CB" w:rsidRDefault="005F2DD2" w:rsidP="000302FB">
            <w:pPr>
              <w:pStyle w:val="TableTextLeft"/>
            </w:pPr>
            <w:r w:rsidRPr="000814CB">
              <w:t>A foreign government investor includes:</w:t>
            </w:r>
          </w:p>
          <w:p w14:paraId="32A4349E" w14:textId="77777777" w:rsidR="005F2DD2" w:rsidRPr="000814CB" w:rsidRDefault="005F2DD2" w:rsidP="007149D6">
            <w:pPr>
              <w:pStyle w:val="TableTextLeft"/>
              <w:numPr>
                <w:ilvl w:val="0"/>
                <w:numId w:val="18"/>
              </w:numPr>
            </w:pPr>
            <w:r w:rsidRPr="000814CB">
              <w:t>a foreign government or separate government entity; or</w:t>
            </w:r>
          </w:p>
          <w:p w14:paraId="60835AC0" w14:textId="77777777" w:rsidR="005F2DD2" w:rsidRPr="000814CB" w:rsidRDefault="005F2DD2" w:rsidP="007149D6">
            <w:pPr>
              <w:pStyle w:val="TableTextLeft"/>
              <w:numPr>
                <w:ilvl w:val="0"/>
                <w:numId w:val="18"/>
              </w:numPr>
            </w:pPr>
            <w:r w:rsidRPr="000814CB">
              <w:t>a corporation or trustee of a trust in which:</w:t>
            </w:r>
          </w:p>
          <w:p w14:paraId="2A3D7149" w14:textId="77777777" w:rsidR="005F2DD2" w:rsidRPr="000814CB" w:rsidRDefault="005F2DD2" w:rsidP="007149D6">
            <w:pPr>
              <w:pStyle w:val="TableTextLeft"/>
              <w:numPr>
                <w:ilvl w:val="0"/>
                <w:numId w:val="19"/>
              </w:numPr>
            </w:pPr>
            <w:r w:rsidRPr="000814CB">
              <w:t>a foreign government or separate government entity, alone or together with one</w:t>
            </w:r>
            <w:r w:rsidR="001B726B">
              <w:t> </w:t>
            </w:r>
            <w:r w:rsidRPr="000814CB">
              <w:t>or more associates, holds a substantial interest (that is, an interest of at least 20</w:t>
            </w:r>
            <w:r w:rsidR="006C539E">
              <w:t> </w:t>
            </w:r>
            <w:r w:rsidRPr="000814CB">
              <w:t>per cent);</w:t>
            </w:r>
          </w:p>
          <w:p w14:paraId="122FC8D3" w14:textId="77777777" w:rsidR="005F2DD2" w:rsidRPr="000814CB" w:rsidRDefault="005F2DD2" w:rsidP="007149D6">
            <w:pPr>
              <w:pStyle w:val="TableTextLeft"/>
              <w:numPr>
                <w:ilvl w:val="0"/>
                <w:numId w:val="19"/>
              </w:numPr>
            </w:pPr>
            <w:r w:rsidRPr="000814CB">
              <w:t>foreign governments or separate government entities of more than one foreign country (or parts of more than one foreign country), together with any one or more associates, hold an aggregate substantial interest (that is, an interest of at least 40 per cent); or</w:t>
            </w:r>
          </w:p>
          <w:p w14:paraId="4E380F2F" w14:textId="77777777" w:rsidR="005F2DD2" w:rsidRPr="000814CB" w:rsidRDefault="005F2DD2" w:rsidP="007149D6">
            <w:pPr>
              <w:pStyle w:val="TableTextLeft"/>
              <w:numPr>
                <w:ilvl w:val="0"/>
                <w:numId w:val="18"/>
              </w:numPr>
            </w:pPr>
            <w:r w:rsidRPr="000814CB">
              <w:t>a general partner of a limited partnership in which:</w:t>
            </w:r>
          </w:p>
          <w:p w14:paraId="57AB5152" w14:textId="77777777" w:rsidR="005F2DD2" w:rsidRPr="000814CB" w:rsidRDefault="005F2DD2" w:rsidP="007149D6">
            <w:pPr>
              <w:pStyle w:val="TableTextLeft"/>
              <w:numPr>
                <w:ilvl w:val="0"/>
                <w:numId w:val="19"/>
              </w:numPr>
            </w:pPr>
            <w:r w:rsidRPr="000814CB">
              <w:t>a foreign government or separate government entity, alone or together with one or more associates, holds an interest of at least 20 per cent;</w:t>
            </w:r>
          </w:p>
          <w:p w14:paraId="625B890F" w14:textId="77777777" w:rsidR="003D5B91" w:rsidRDefault="005F2DD2" w:rsidP="001C7EE6">
            <w:pPr>
              <w:pStyle w:val="TableTextLeft"/>
              <w:numPr>
                <w:ilvl w:val="0"/>
                <w:numId w:val="19"/>
              </w:numPr>
            </w:pPr>
            <w:r w:rsidRPr="000814CB">
              <w:t>foreign governments or separate government entities of more than one foreign country (or parts of more than one foreign country), together with any one or more associates, hold an aggregate interest of 40 per cent or more; or</w:t>
            </w:r>
          </w:p>
          <w:p w14:paraId="6CA5EF38" w14:textId="77777777" w:rsidR="007F5798" w:rsidRPr="000814CB" w:rsidRDefault="003D5B91" w:rsidP="003D5B91">
            <w:pPr>
              <w:pStyle w:val="TableTextLeft"/>
              <w:numPr>
                <w:ilvl w:val="0"/>
                <w:numId w:val="18"/>
              </w:numPr>
            </w:pPr>
            <w:r w:rsidRPr="000814CB">
              <w:t>a corporation, trustee or general partner of a kind described in the two dot points above, assuming the references to foreign government (or foreign governments) in those dot points include references to a foreign government investor (or foreign government investors) within the meaning of those dot points.</w:t>
            </w:r>
          </w:p>
        </w:tc>
      </w:tr>
      <w:tr w:rsidR="007F5798" w:rsidRPr="000814CB" w14:paraId="2C1D1BC0" w14:textId="77777777" w:rsidTr="000376F1">
        <w:trPr>
          <w:cantSplit/>
        </w:trPr>
        <w:tc>
          <w:tcPr>
            <w:tcW w:w="1413" w:type="dxa"/>
          </w:tcPr>
          <w:p w14:paraId="3E8C3244" w14:textId="77777777" w:rsidR="007F5798" w:rsidRPr="000814CB" w:rsidRDefault="00FC01B8" w:rsidP="000302FB">
            <w:pPr>
              <w:pStyle w:val="TableTextLeft"/>
              <w:rPr>
                <w:color w:val="auto"/>
              </w:rPr>
            </w:pPr>
            <w:r w:rsidRPr="000814CB">
              <w:rPr>
                <w:color w:val="auto"/>
              </w:rPr>
              <w:t>Foreign person</w:t>
            </w:r>
          </w:p>
        </w:tc>
        <w:tc>
          <w:tcPr>
            <w:tcW w:w="6287" w:type="dxa"/>
          </w:tcPr>
          <w:p w14:paraId="237130DF" w14:textId="77777777" w:rsidR="00FC01B8" w:rsidRPr="000814CB" w:rsidRDefault="00FC01B8" w:rsidP="000302FB">
            <w:pPr>
              <w:pStyle w:val="TableTextLeft"/>
            </w:pPr>
            <w:r w:rsidRPr="000814CB">
              <w:t>Foreign person means:</w:t>
            </w:r>
          </w:p>
          <w:p w14:paraId="486CB081" w14:textId="77777777" w:rsidR="00FC01B8" w:rsidRPr="000814CB" w:rsidRDefault="00FC01B8" w:rsidP="007149D6">
            <w:pPr>
              <w:pStyle w:val="TableTextLeft"/>
              <w:numPr>
                <w:ilvl w:val="0"/>
                <w:numId w:val="18"/>
              </w:numPr>
            </w:pPr>
            <w:r w:rsidRPr="000814CB">
              <w:t>an individual not ordinarily resident in Australia;</w:t>
            </w:r>
          </w:p>
          <w:p w14:paraId="0CBC285F" w14:textId="77777777" w:rsidR="00FC01B8" w:rsidRPr="000814CB" w:rsidRDefault="00FC01B8" w:rsidP="007149D6">
            <w:pPr>
              <w:pStyle w:val="TableTextLeft"/>
              <w:numPr>
                <w:ilvl w:val="0"/>
                <w:numId w:val="18"/>
              </w:numPr>
            </w:pPr>
            <w:r w:rsidRPr="000814CB">
              <w:t>a corporation in which an individual not ordinarily resident in Australia, a foreign corporation or a foreign government holds a substantial interest;</w:t>
            </w:r>
          </w:p>
          <w:p w14:paraId="29658062" w14:textId="77777777" w:rsidR="00FC01B8" w:rsidRPr="000814CB" w:rsidRDefault="00FC01B8" w:rsidP="007149D6">
            <w:pPr>
              <w:pStyle w:val="TableTextLeft"/>
              <w:numPr>
                <w:ilvl w:val="0"/>
                <w:numId w:val="18"/>
              </w:numPr>
            </w:pPr>
            <w:r w:rsidRPr="000814CB">
              <w:t>a corporation in which two or more persons, each of whom is an individual not ordinarily resident in Australia, a foreign corporation or a foreign government, hold an aggregate substantial interest;</w:t>
            </w:r>
          </w:p>
          <w:p w14:paraId="35FAE819" w14:textId="77777777" w:rsidR="00FC01B8" w:rsidRPr="000814CB" w:rsidRDefault="00FC01B8" w:rsidP="007149D6">
            <w:pPr>
              <w:pStyle w:val="TableTextLeft"/>
              <w:numPr>
                <w:ilvl w:val="0"/>
                <w:numId w:val="18"/>
              </w:numPr>
            </w:pPr>
            <w:r w:rsidRPr="000814CB">
              <w:t>the trustee of a trust in which an individual not ordinarily resident in Australia, a foreign corporation or a foreign government holds a substantial interest;</w:t>
            </w:r>
          </w:p>
          <w:p w14:paraId="75A6DF45" w14:textId="77777777" w:rsidR="00FC01B8" w:rsidRPr="000814CB" w:rsidRDefault="00FC01B8" w:rsidP="007149D6">
            <w:pPr>
              <w:pStyle w:val="TableTextLeft"/>
              <w:numPr>
                <w:ilvl w:val="0"/>
                <w:numId w:val="18"/>
              </w:numPr>
            </w:pPr>
            <w:r w:rsidRPr="000814CB">
              <w:t>the trustee of a trust in which two or more persons, each of whom is an individual not ordinarily resident in Australia, a foreign corporation or a foreign government, hold an aggregate substantial interest;</w:t>
            </w:r>
          </w:p>
          <w:p w14:paraId="1DD05241" w14:textId="77777777" w:rsidR="00FC01B8" w:rsidRPr="000814CB" w:rsidRDefault="00FC01B8" w:rsidP="007149D6">
            <w:pPr>
              <w:pStyle w:val="TableTextLeft"/>
              <w:numPr>
                <w:ilvl w:val="0"/>
                <w:numId w:val="18"/>
              </w:numPr>
            </w:pPr>
            <w:r w:rsidRPr="000814CB">
              <w:t>a foreign government; or</w:t>
            </w:r>
          </w:p>
          <w:p w14:paraId="5BF04893" w14:textId="77777777" w:rsidR="007F5798" w:rsidRPr="000814CB" w:rsidRDefault="00FC01B8" w:rsidP="007149D6">
            <w:pPr>
              <w:pStyle w:val="TableTextLeft"/>
              <w:numPr>
                <w:ilvl w:val="0"/>
                <w:numId w:val="18"/>
              </w:numPr>
            </w:pPr>
            <w:r w:rsidRPr="000814CB">
              <w:t>any other person, or any other person that meets the conditions, prescribed by the regulations.</w:t>
            </w:r>
          </w:p>
        </w:tc>
      </w:tr>
      <w:tr w:rsidR="007F5798" w:rsidRPr="000814CB" w14:paraId="67D5994B" w14:textId="77777777" w:rsidTr="000376F1">
        <w:trPr>
          <w:cantSplit/>
        </w:trPr>
        <w:tc>
          <w:tcPr>
            <w:tcW w:w="1413" w:type="dxa"/>
          </w:tcPr>
          <w:p w14:paraId="73BE6140" w14:textId="77777777" w:rsidR="007F5798" w:rsidRPr="000814CB" w:rsidRDefault="00FC01B8" w:rsidP="000302FB">
            <w:pPr>
              <w:pStyle w:val="TableTextLeft"/>
              <w:rPr>
                <w:color w:val="auto"/>
              </w:rPr>
            </w:pPr>
            <w:r w:rsidRPr="000814CB">
              <w:rPr>
                <w:color w:val="auto"/>
              </w:rPr>
              <w:t>New dwelling</w:t>
            </w:r>
          </w:p>
        </w:tc>
        <w:tc>
          <w:tcPr>
            <w:tcW w:w="6287" w:type="dxa"/>
          </w:tcPr>
          <w:p w14:paraId="69A5BF8C" w14:textId="77777777" w:rsidR="00FC01B8" w:rsidRPr="000814CB" w:rsidRDefault="00FC01B8" w:rsidP="000302FB">
            <w:pPr>
              <w:pStyle w:val="TableTextLeft"/>
            </w:pPr>
            <w:r w:rsidRPr="000814CB">
              <w:t>A dwelling (except commercial residential premises) that will be, is being or has been built on residential land and that:</w:t>
            </w:r>
          </w:p>
          <w:p w14:paraId="16B23BE6" w14:textId="77777777" w:rsidR="00FC01B8" w:rsidRPr="000814CB" w:rsidRDefault="00FC01B8" w:rsidP="007149D6">
            <w:pPr>
              <w:pStyle w:val="TableTextLeft"/>
              <w:numPr>
                <w:ilvl w:val="0"/>
                <w:numId w:val="18"/>
              </w:numPr>
            </w:pPr>
            <w:r w:rsidRPr="000814CB">
              <w:t>has not been previously sold as a dwelling; and</w:t>
            </w:r>
          </w:p>
          <w:p w14:paraId="4EB09875" w14:textId="77777777" w:rsidR="007F5798" w:rsidRPr="000814CB" w:rsidRDefault="00FC01B8" w:rsidP="007149D6">
            <w:pPr>
              <w:pStyle w:val="TableTextLeft"/>
              <w:numPr>
                <w:ilvl w:val="0"/>
                <w:numId w:val="18"/>
              </w:numPr>
              <w:rPr>
                <w:color w:val="auto"/>
              </w:rPr>
            </w:pPr>
            <w:r w:rsidRPr="000814CB">
              <w:t>either has not been previously occupied; or if the dwelling is contained in a development and the dwelling was sold by the developer of the development — has not been previously occupied for more than 12 months total.</w:t>
            </w:r>
          </w:p>
        </w:tc>
      </w:tr>
      <w:tr w:rsidR="00086882" w:rsidRPr="000814CB" w14:paraId="66499C7A" w14:textId="77777777" w:rsidTr="000376F1">
        <w:trPr>
          <w:cantSplit/>
        </w:trPr>
        <w:tc>
          <w:tcPr>
            <w:tcW w:w="1413" w:type="dxa"/>
          </w:tcPr>
          <w:p w14:paraId="0866B574" w14:textId="7EBFEAD4" w:rsidR="00086882" w:rsidRPr="000814CB" w:rsidRDefault="00086882" w:rsidP="00086882">
            <w:pPr>
              <w:pStyle w:val="TableTextLeft"/>
              <w:rPr>
                <w:color w:val="auto"/>
              </w:rPr>
            </w:pPr>
            <w:r>
              <w:rPr>
                <w:color w:val="auto"/>
              </w:rPr>
              <w:t>Non</w:t>
            </w:r>
            <w:r w:rsidR="00BD4D19">
              <w:rPr>
                <w:color w:val="auto"/>
              </w:rPr>
              <w:noBreakHyphen/>
            </w:r>
            <w:r>
              <w:rPr>
                <w:color w:val="auto"/>
              </w:rPr>
              <w:t>compliant</w:t>
            </w:r>
          </w:p>
        </w:tc>
        <w:tc>
          <w:tcPr>
            <w:tcW w:w="6287" w:type="dxa"/>
          </w:tcPr>
          <w:p w14:paraId="674BE97F" w14:textId="77777777" w:rsidR="00086882" w:rsidRPr="000814CB" w:rsidRDefault="00086882" w:rsidP="000302FB">
            <w:pPr>
              <w:pStyle w:val="TableTextLeft"/>
            </w:pPr>
            <w:r w:rsidRPr="00086882">
              <w:t>The applicant is unable to provide sufficient evidence to demonstrate compliance with the condition.</w:t>
            </w:r>
          </w:p>
        </w:tc>
      </w:tr>
      <w:tr w:rsidR="006B5DFA" w:rsidRPr="000814CB" w14:paraId="3AD782CE" w14:textId="77777777" w:rsidTr="000376F1">
        <w:trPr>
          <w:cantSplit/>
        </w:trPr>
        <w:tc>
          <w:tcPr>
            <w:tcW w:w="1413" w:type="dxa"/>
          </w:tcPr>
          <w:p w14:paraId="3104F160" w14:textId="77777777" w:rsidR="006B5DFA" w:rsidRDefault="006B5DFA" w:rsidP="00086882">
            <w:pPr>
              <w:pStyle w:val="TableTextLeft"/>
              <w:rPr>
                <w:color w:val="auto"/>
              </w:rPr>
            </w:pPr>
            <w:r w:rsidRPr="006B5DFA">
              <w:t>Observation</w:t>
            </w:r>
          </w:p>
        </w:tc>
        <w:tc>
          <w:tcPr>
            <w:tcW w:w="6287" w:type="dxa"/>
          </w:tcPr>
          <w:p w14:paraId="25ACCFC9" w14:textId="77777777" w:rsidR="006B5DFA" w:rsidRDefault="006B5DFA" w:rsidP="000302FB">
            <w:pPr>
              <w:pStyle w:val="TableTextLeft"/>
            </w:pPr>
            <w:r w:rsidRPr="006B5DFA">
              <w:t>Compliance with the condition has been observed. However, observations were made during</w:t>
            </w:r>
            <w:r>
              <w:t xml:space="preserve"> the audit which may relate to:</w:t>
            </w:r>
          </w:p>
          <w:p w14:paraId="71AC18AD" w14:textId="77777777" w:rsidR="006B5DFA" w:rsidRDefault="006B5DFA" w:rsidP="006B5DFA">
            <w:pPr>
              <w:pStyle w:val="TableTextLeft"/>
              <w:numPr>
                <w:ilvl w:val="0"/>
                <w:numId w:val="18"/>
              </w:numPr>
            </w:pPr>
            <w:r w:rsidRPr="006B5DFA">
              <w:t>potential enhancements to processes, documents or systems to improve effectiveness of compliance outcomes; or</w:t>
            </w:r>
          </w:p>
          <w:p w14:paraId="723B89B3" w14:textId="77777777" w:rsidR="006B5DFA" w:rsidRDefault="006B5DFA" w:rsidP="006B5DFA">
            <w:pPr>
              <w:pStyle w:val="TableTextLeft"/>
              <w:numPr>
                <w:ilvl w:val="0"/>
                <w:numId w:val="18"/>
              </w:numPr>
            </w:pPr>
            <w:r w:rsidRPr="006B5DFA">
              <w:t>potential risks to ongoing or future compliance; or</w:t>
            </w:r>
          </w:p>
          <w:p w14:paraId="711E84BF" w14:textId="51CC3C52" w:rsidR="006B5DFA" w:rsidRPr="00086882" w:rsidRDefault="006B5DFA" w:rsidP="006B5DFA">
            <w:pPr>
              <w:pStyle w:val="TableTextLeft"/>
              <w:numPr>
                <w:ilvl w:val="0"/>
                <w:numId w:val="18"/>
              </w:numPr>
            </w:pPr>
            <w:r w:rsidRPr="006B5DFA">
              <w:t>the applicant</w:t>
            </w:r>
            <w:r w:rsidR="00BD4D19">
              <w:t>’</w:t>
            </w:r>
            <w:r w:rsidRPr="006B5DFA">
              <w:t>s engagement during the audit process.</w:t>
            </w:r>
          </w:p>
        </w:tc>
      </w:tr>
      <w:tr w:rsidR="00FC01B8" w:rsidRPr="000814CB" w14:paraId="77381E69" w14:textId="77777777" w:rsidTr="000376F1">
        <w:trPr>
          <w:cantSplit/>
        </w:trPr>
        <w:tc>
          <w:tcPr>
            <w:tcW w:w="1413" w:type="dxa"/>
          </w:tcPr>
          <w:p w14:paraId="78C1F691" w14:textId="77777777" w:rsidR="00FC01B8" w:rsidRPr="000814CB" w:rsidRDefault="00FC01B8" w:rsidP="000302FB">
            <w:pPr>
              <w:pStyle w:val="TableTextLeft"/>
              <w:rPr>
                <w:color w:val="auto"/>
              </w:rPr>
            </w:pPr>
            <w:r w:rsidRPr="000814CB">
              <w:rPr>
                <w:color w:val="auto"/>
              </w:rPr>
              <w:t>Ordinarily resident</w:t>
            </w:r>
          </w:p>
        </w:tc>
        <w:tc>
          <w:tcPr>
            <w:tcW w:w="6287" w:type="dxa"/>
          </w:tcPr>
          <w:p w14:paraId="441D21CB" w14:textId="77777777" w:rsidR="00FC01B8" w:rsidRPr="000814CB" w:rsidRDefault="00FC01B8" w:rsidP="00FD5F29">
            <w:pPr>
              <w:pStyle w:val="TableTextLeft"/>
              <w:tabs>
                <w:tab w:val="left" w:pos="357"/>
              </w:tabs>
              <w:ind w:left="357" w:hanging="357"/>
            </w:pPr>
            <w:r w:rsidRPr="000814CB">
              <w:t>1.</w:t>
            </w:r>
            <w:r w:rsidRPr="000814CB">
              <w:tab/>
              <w:t>An individual who is not an Australian citizen is ordinarily resident in Australia at a particular time if and only if:</w:t>
            </w:r>
          </w:p>
          <w:p w14:paraId="2CA6522C" w14:textId="77777777" w:rsidR="00FC01B8" w:rsidRPr="000814CB" w:rsidRDefault="00FC01B8" w:rsidP="00FD5F29">
            <w:pPr>
              <w:pStyle w:val="TableTextLeft"/>
              <w:ind w:left="714" w:hanging="357"/>
            </w:pPr>
            <w:r w:rsidRPr="000814CB">
              <w:t>a.</w:t>
            </w:r>
            <w:r w:rsidRPr="000814CB">
              <w:tab/>
              <w:t>the individual has actually been in Australia during 200 or more days in the period of 12 months immediately preceding that time; and</w:t>
            </w:r>
          </w:p>
          <w:p w14:paraId="03AB2B45" w14:textId="77777777" w:rsidR="00FC01B8" w:rsidRPr="000814CB" w:rsidRDefault="00FC01B8" w:rsidP="00FD5F29">
            <w:pPr>
              <w:pStyle w:val="TableTextLeft"/>
              <w:ind w:left="714" w:hanging="357"/>
            </w:pPr>
            <w:r w:rsidRPr="000814CB">
              <w:t>b.</w:t>
            </w:r>
            <w:r w:rsidRPr="000814CB">
              <w:tab/>
              <w:t>at that time:</w:t>
            </w:r>
          </w:p>
          <w:p w14:paraId="58A79BE7" w14:textId="76646B09" w:rsidR="00FC01B8" w:rsidRPr="000814CB" w:rsidRDefault="00FC01B8" w:rsidP="00FD5F29">
            <w:pPr>
              <w:pStyle w:val="TableTextLeft"/>
              <w:ind w:left="1071" w:hanging="357"/>
            </w:pPr>
            <w:proofErr w:type="spellStart"/>
            <w:r w:rsidRPr="000814CB">
              <w:t>i</w:t>
            </w:r>
            <w:proofErr w:type="spellEnd"/>
            <w:r w:rsidRPr="000814CB">
              <w:t>.</w:t>
            </w:r>
            <w:r w:rsidRPr="000814CB">
              <w:tab/>
              <w:t>the individual is in Australia and the individual</w:t>
            </w:r>
            <w:r w:rsidR="00BD4D19">
              <w:t>’</w:t>
            </w:r>
            <w:r w:rsidRPr="000814CB">
              <w:t>s continued presence in Australia is not subject to any limitation as to time imposed by law; or</w:t>
            </w:r>
          </w:p>
          <w:p w14:paraId="3114E2B5" w14:textId="2AE33E33" w:rsidR="00FC01B8" w:rsidRPr="000814CB" w:rsidRDefault="00FC01B8" w:rsidP="00FD5F29">
            <w:pPr>
              <w:pStyle w:val="TableTextLeft"/>
              <w:ind w:left="1071" w:hanging="357"/>
            </w:pPr>
            <w:r w:rsidRPr="000814CB">
              <w:t>ii.</w:t>
            </w:r>
            <w:r w:rsidRPr="000814CB">
              <w:tab/>
              <w:t>the individual is not in Australia but, immediately before the individual</w:t>
            </w:r>
            <w:r w:rsidR="00BD4D19">
              <w:t>’</w:t>
            </w:r>
            <w:r w:rsidRPr="000814CB">
              <w:t>s most recent departure from Australia, the individual</w:t>
            </w:r>
            <w:r w:rsidR="00BD4D19">
              <w:t>’</w:t>
            </w:r>
            <w:r w:rsidRPr="000814CB">
              <w:t>s continued presence in Australia was not subject to any limitation as to time imposed by law.</w:t>
            </w:r>
          </w:p>
          <w:p w14:paraId="094A01EA" w14:textId="2C1F821A" w:rsidR="00FC01B8" w:rsidRPr="000814CB" w:rsidRDefault="00FC01B8" w:rsidP="000A0325">
            <w:pPr>
              <w:pStyle w:val="TableTextLeft"/>
              <w:tabs>
                <w:tab w:val="left" w:pos="357"/>
              </w:tabs>
              <w:ind w:left="357" w:hanging="357"/>
            </w:pPr>
            <w:r w:rsidRPr="000814CB">
              <w:t>2.</w:t>
            </w:r>
            <w:r w:rsidRPr="000814CB">
              <w:tab/>
              <w:t>Without limiting paragraph (1)(b), an individual</w:t>
            </w:r>
            <w:r w:rsidR="00BD4D19">
              <w:t>’</w:t>
            </w:r>
            <w:r w:rsidRPr="000814CB">
              <w:t>s continued presence in Australia is subject to a limitation as to time imposed by law if the individual is an unlawful non</w:t>
            </w:r>
            <w:r w:rsidR="00BD4D19">
              <w:noBreakHyphen/>
            </w:r>
            <w:r w:rsidRPr="000814CB">
              <w:t xml:space="preserve">citizen within the meaning of the </w:t>
            </w:r>
            <w:r w:rsidRPr="000814CB">
              <w:rPr>
                <w:i/>
              </w:rPr>
              <w:t>Migration Act 1958</w:t>
            </w:r>
            <w:r w:rsidRPr="000814CB">
              <w:t>.</w:t>
            </w:r>
          </w:p>
        </w:tc>
      </w:tr>
      <w:tr w:rsidR="006B5DFA" w:rsidRPr="000814CB" w14:paraId="713D1E8A" w14:textId="77777777" w:rsidTr="000376F1">
        <w:trPr>
          <w:cantSplit/>
        </w:trPr>
        <w:tc>
          <w:tcPr>
            <w:tcW w:w="1413" w:type="dxa"/>
          </w:tcPr>
          <w:p w14:paraId="3EF38905" w14:textId="77777777" w:rsidR="006B5DFA" w:rsidRPr="000814CB" w:rsidRDefault="006B5DFA" w:rsidP="000302FB">
            <w:pPr>
              <w:pStyle w:val="TableTextLeft"/>
              <w:rPr>
                <w:color w:val="auto"/>
              </w:rPr>
            </w:pPr>
            <w:r w:rsidRPr="006B5DFA">
              <w:t>Partially compliant</w:t>
            </w:r>
          </w:p>
        </w:tc>
        <w:tc>
          <w:tcPr>
            <w:tcW w:w="6287" w:type="dxa"/>
          </w:tcPr>
          <w:p w14:paraId="1FDC6DCB" w14:textId="77777777" w:rsidR="006B5DFA" w:rsidRDefault="006B5DFA" w:rsidP="00164CE1">
            <w:pPr>
              <w:pStyle w:val="TableTextLeft"/>
            </w:pPr>
            <w:r w:rsidRPr="006B5DFA">
              <w:t>The compliance audit has concluded that the applicant is:</w:t>
            </w:r>
          </w:p>
          <w:p w14:paraId="666CCA94" w14:textId="77777777" w:rsidR="006B5DFA" w:rsidRDefault="006B5DFA" w:rsidP="006B5DFA">
            <w:pPr>
              <w:pStyle w:val="TableTextLeft"/>
              <w:numPr>
                <w:ilvl w:val="0"/>
                <w:numId w:val="18"/>
              </w:numPr>
            </w:pPr>
            <w:r w:rsidRPr="006B5DFA">
              <w:t>compliant with some aspects of the condition, but not all, where the condition has a number of elements; or</w:t>
            </w:r>
          </w:p>
          <w:p w14:paraId="76A474B1" w14:textId="77777777" w:rsidR="006B5DFA" w:rsidRDefault="006B5DFA" w:rsidP="006B5DFA">
            <w:pPr>
              <w:pStyle w:val="TableTextLeft"/>
              <w:numPr>
                <w:ilvl w:val="0"/>
                <w:numId w:val="18"/>
              </w:numPr>
            </w:pPr>
            <w:r w:rsidRPr="006B5DFA">
              <w:t>in the process of implementing controls to ensure compliance with the condition; or</w:t>
            </w:r>
          </w:p>
          <w:p w14:paraId="1E1D9DD8" w14:textId="77777777" w:rsidR="006B5DFA" w:rsidRPr="000814CB" w:rsidRDefault="006B5DFA" w:rsidP="006B5DFA">
            <w:pPr>
              <w:pStyle w:val="TableTextLeft"/>
              <w:numPr>
                <w:ilvl w:val="0"/>
                <w:numId w:val="18"/>
              </w:numPr>
            </w:pPr>
            <w:r w:rsidRPr="006B5DFA">
              <w:t>technically not in compliance with the condition, but able to demonstrate controls which mitigate the underlying risk and / or intent of the condition.</w:t>
            </w:r>
          </w:p>
        </w:tc>
      </w:tr>
      <w:tr w:rsidR="00164CE1" w:rsidRPr="000814CB" w14:paraId="6B37CD6D" w14:textId="77777777" w:rsidTr="000376F1">
        <w:trPr>
          <w:cantSplit/>
        </w:trPr>
        <w:tc>
          <w:tcPr>
            <w:tcW w:w="1413" w:type="dxa"/>
          </w:tcPr>
          <w:p w14:paraId="50C98161" w14:textId="77777777" w:rsidR="00164CE1" w:rsidRPr="000814CB" w:rsidRDefault="00164CE1" w:rsidP="000302FB">
            <w:pPr>
              <w:pStyle w:val="TableTextLeft"/>
              <w:rPr>
                <w:color w:val="auto"/>
              </w:rPr>
            </w:pPr>
            <w:r w:rsidRPr="000814CB">
              <w:rPr>
                <w:color w:val="auto"/>
              </w:rPr>
              <w:t>Residential land</w:t>
            </w:r>
          </w:p>
        </w:tc>
        <w:tc>
          <w:tcPr>
            <w:tcW w:w="6287" w:type="dxa"/>
          </w:tcPr>
          <w:p w14:paraId="5D7539C8" w14:textId="77777777" w:rsidR="00164CE1" w:rsidRPr="000814CB" w:rsidRDefault="00164CE1" w:rsidP="00164CE1">
            <w:pPr>
              <w:pStyle w:val="TableTextLeft"/>
            </w:pPr>
            <w:r w:rsidRPr="000814CB">
              <w:t>Land in Australia if:</w:t>
            </w:r>
          </w:p>
          <w:p w14:paraId="75369BCC" w14:textId="77777777" w:rsidR="00164CE1" w:rsidRPr="000814CB" w:rsidRDefault="00164CE1" w:rsidP="007149D6">
            <w:pPr>
              <w:pStyle w:val="TableTextLeft"/>
              <w:numPr>
                <w:ilvl w:val="0"/>
                <w:numId w:val="18"/>
              </w:numPr>
            </w:pPr>
            <w:r w:rsidRPr="000814CB">
              <w:t>there is at least one dwelling on the land; or</w:t>
            </w:r>
          </w:p>
          <w:p w14:paraId="4B03E1C3" w14:textId="77777777" w:rsidR="00164CE1" w:rsidRPr="000814CB" w:rsidRDefault="00164CE1" w:rsidP="007149D6">
            <w:pPr>
              <w:pStyle w:val="TableTextLeft"/>
              <w:numPr>
                <w:ilvl w:val="0"/>
                <w:numId w:val="18"/>
              </w:numPr>
            </w:pPr>
            <w:r w:rsidRPr="000814CB">
              <w:t>the number of dwellings that could reasonably be built on the land is less than the number prescribed by the regulations (10 in 201</w:t>
            </w:r>
            <w:r w:rsidR="00A922DA">
              <w:t>9</w:t>
            </w:r>
            <w:r w:rsidRPr="000814CB">
              <w:t>–</w:t>
            </w:r>
            <w:r w:rsidR="00A922DA">
              <w:t>20</w:t>
            </w:r>
            <w:r w:rsidRPr="000814CB">
              <w:t>); and</w:t>
            </w:r>
          </w:p>
          <w:p w14:paraId="6EF8CB08" w14:textId="77777777" w:rsidR="00164CE1" w:rsidRPr="000814CB" w:rsidRDefault="00164CE1" w:rsidP="007149D6">
            <w:pPr>
              <w:pStyle w:val="TableTextLeft"/>
              <w:numPr>
                <w:ilvl w:val="0"/>
                <w:numId w:val="18"/>
              </w:numPr>
            </w:pPr>
            <w:r w:rsidRPr="000814CB">
              <w:t>does not include land:</w:t>
            </w:r>
          </w:p>
          <w:p w14:paraId="5991DFE6" w14:textId="77777777" w:rsidR="00164CE1" w:rsidRPr="000814CB" w:rsidRDefault="00164CE1" w:rsidP="007149D6">
            <w:pPr>
              <w:pStyle w:val="TableTextLeft"/>
              <w:numPr>
                <w:ilvl w:val="0"/>
                <w:numId w:val="19"/>
              </w:numPr>
            </w:pPr>
            <w:r w:rsidRPr="000814CB">
              <w:t>used wholly and exclusively for a primary production business; or</w:t>
            </w:r>
          </w:p>
          <w:p w14:paraId="4C476D45" w14:textId="77777777" w:rsidR="009068CD" w:rsidRPr="00CB560A" w:rsidRDefault="00164CE1" w:rsidP="001C7EE6">
            <w:pPr>
              <w:pStyle w:val="TableTextLeft"/>
              <w:numPr>
                <w:ilvl w:val="0"/>
                <w:numId w:val="19"/>
              </w:numPr>
              <w:rPr>
                <w:color w:val="auto"/>
              </w:rPr>
            </w:pPr>
            <w:r w:rsidRPr="000814CB">
              <w:t>on which the only dwellings are commercial residential premises.</w:t>
            </w:r>
          </w:p>
        </w:tc>
      </w:tr>
      <w:tr w:rsidR="009068CD" w:rsidRPr="000814CB" w14:paraId="0A0AD998" w14:textId="77777777" w:rsidTr="000376F1">
        <w:trPr>
          <w:cantSplit/>
          <w:tblHeader/>
        </w:trPr>
        <w:tc>
          <w:tcPr>
            <w:tcW w:w="1413" w:type="dxa"/>
          </w:tcPr>
          <w:p w14:paraId="56D0B4E0" w14:textId="77777777" w:rsidR="009068CD" w:rsidRPr="000814CB" w:rsidRDefault="009068CD" w:rsidP="009068CD">
            <w:pPr>
              <w:pStyle w:val="TableTextLeft"/>
              <w:rPr>
                <w:color w:val="auto"/>
              </w:rPr>
            </w:pPr>
            <w:r w:rsidRPr="000814CB">
              <w:rPr>
                <w:color w:val="auto"/>
              </w:rPr>
              <w:t>Substantial interest</w:t>
            </w:r>
          </w:p>
        </w:tc>
        <w:tc>
          <w:tcPr>
            <w:tcW w:w="6287" w:type="dxa"/>
          </w:tcPr>
          <w:p w14:paraId="1FB7CCF8" w14:textId="77777777" w:rsidR="009068CD" w:rsidRPr="000814CB" w:rsidRDefault="009068CD" w:rsidP="009068CD">
            <w:pPr>
              <w:pStyle w:val="TableTextLeft"/>
            </w:pPr>
            <w:r w:rsidRPr="000814CB">
              <w:t>A person holds a substantial interest in an entity or trust if:</w:t>
            </w:r>
          </w:p>
          <w:p w14:paraId="693F0688" w14:textId="77777777" w:rsidR="009068CD" w:rsidRPr="000814CB" w:rsidRDefault="009068CD" w:rsidP="009068CD">
            <w:pPr>
              <w:pStyle w:val="TableTextLeft"/>
              <w:numPr>
                <w:ilvl w:val="0"/>
                <w:numId w:val="18"/>
              </w:numPr>
            </w:pPr>
            <w:r w:rsidRPr="000814CB">
              <w:t>for an entity — the person holds an interest of at least 20 per cent in the entity; or</w:t>
            </w:r>
          </w:p>
          <w:p w14:paraId="31EA7157" w14:textId="77777777" w:rsidR="009068CD" w:rsidRPr="000814CB" w:rsidRDefault="009068CD" w:rsidP="000A665A">
            <w:pPr>
              <w:pStyle w:val="TableTextLeft"/>
              <w:numPr>
                <w:ilvl w:val="0"/>
                <w:numId w:val="18"/>
              </w:numPr>
            </w:pPr>
            <w:r w:rsidRPr="000814CB">
              <w:t>for a trust (including a unit trust) — the person, together with any one or more associates, holds a beneficial interest in at least 20 per cent of the income or property of the trust.</w:t>
            </w:r>
          </w:p>
        </w:tc>
      </w:tr>
      <w:tr w:rsidR="009068CD" w:rsidRPr="000814CB" w14:paraId="67C0CF56" w14:textId="77777777" w:rsidTr="000376F1">
        <w:trPr>
          <w:cantSplit/>
        </w:trPr>
        <w:tc>
          <w:tcPr>
            <w:tcW w:w="1413" w:type="dxa"/>
          </w:tcPr>
          <w:p w14:paraId="5D4A5E87" w14:textId="77777777" w:rsidR="009068CD" w:rsidRPr="000814CB" w:rsidRDefault="009068CD" w:rsidP="009068CD">
            <w:pPr>
              <w:pStyle w:val="TableTextLeft"/>
              <w:rPr>
                <w:color w:val="auto"/>
              </w:rPr>
            </w:pPr>
            <w:r w:rsidRPr="000814CB">
              <w:rPr>
                <w:color w:val="auto"/>
              </w:rPr>
              <w:t>Temporary resident</w:t>
            </w:r>
          </w:p>
        </w:tc>
        <w:tc>
          <w:tcPr>
            <w:tcW w:w="6287" w:type="dxa"/>
          </w:tcPr>
          <w:p w14:paraId="091957BC" w14:textId="77777777" w:rsidR="009068CD" w:rsidRPr="000814CB" w:rsidRDefault="009068CD" w:rsidP="009068CD">
            <w:pPr>
              <w:pStyle w:val="TableTextLeft"/>
            </w:pPr>
            <w:r w:rsidRPr="000814CB">
              <w:t>An individual who:</w:t>
            </w:r>
          </w:p>
          <w:p w14:paraId="2C476FFC" w14:textId="77777777" w:rsidR="009068CD" w:rsidRPr="000814CB" w:rsidRDefault="009068CD" w:rsidP="009068CD">
            <w:pPr>
              <w:pStyle w:val="TableTextLeft"/>
              <w:tabs>
                <w:tab w:val="left" w:pos="357"/>
              </w:tabs>
              <w:ind w:left="357" w:hanging="357"/>
            </w:pPr>
            <w:r w:rsidRPr="000814CB">
              <w:t>1.</w:t>
            </w:r>
            <w:r w:rsidRPr="000814CB">
              <w:tab/>
              <w:t xml:space="preserve">holds a temporary visa under the </w:t>
            </w:r>
            <w:r w:rsidRPr="00984D8E">
              <w:rPr>
                <w:i/>
              </w:rPr>
              <w:t>Migration Act 1958</w:t>
            </w:r>
            <w:r w:rsidRPr="000814CB">
              <w:t xml:space="preserve"> that allows the individual to remain in Australia for a continuous period of more than 12 months (disregarding the amount of that period remaining); or</w:t>
            </w:r>
          </w:p>
          <w:p w14:paraId="4B9FE239" w14:textId="77777777" w:rsidR="009068CD" w:rsidRPr="000814CB" w:rsidRDefault="009068CD" w:rsidP="009068CD">
            <w:pPr>
              <w:pStyle w:val="TableTextLeft"/>
              <w:tabs>
                <w:tab w:val="left" w:pos="357"/>
              </w:tabs>
              <w:ind w:left="357" w:hanging="357"/>
            </w:pPr>
            <w:r w:rsidRPr="000814CB">
              <w:t>2.</w:t>
            </w:r>
            <w:r w:rsidRPr="000814CB">
              <w:tab/>
              <w:t>meets the following conditions:</w:t>
            </w:r>
          </w:p>
          <w:p w14:paraId="4FB69014" w14:textId="77777777" w:rsidR="009068CD" w:rsidRPr="000814CB" w:rsidRDefault="009068CD" w:rsidP="009068CD">
            <w:pPr>
              <w:pStyle w:val="TableTextLeft"/>
              <w:ind w:left="714" w:hanging="357"/>
            </w:pPr>
            <w:r w:rsidRPr="000814CB">
              <w:t>a.</w:t>
            </w:r>
            <w:r w:rsidRPr="000814CB">
              <w:tab/>
              <w:t>the individual is residing in Australia;</w:t>
            </w:r>
          </w:p>
          <w:p w14:paraId="29C23445" w14:textId="77777777" w:rsidR="009068CD" w:rsidRPr="000814CB" w:rsidRDefault="009068CD" w:rsidP="009068CD">
            <w:pPr>
              <w:pStyle w:val="TableTextLeft"/>
              <w:ind w:left="714" w:hanging="357"/>
            </w:pPr>
            <w:r w:rsidRPr="000814CB">
              <w:t>b.</w:t>
            </w:r>
            <w:r w:rsidRPr="000814CB">
              <w:tab/>
              <w:t xml:space="preserve">the individual has applied for a permanent visa under the </w:t>
            </w:r>
            <w:r w:rsidRPr="00984D8E">
              <w:rPr>
                <w:i/>
              </w:rPr>
              <w:t>Migration Act 1958</w:t>
            </w:r>
            <w:r w:rsidRPr="000814CB">
              <w:t>;</w:t>
            </w:r>
          </w:p>
          <w:p w14:paraId="1A5C0F37" w14:textId="77777777" w:rsidR="009068CD" w:rsidRPr="000814CB" w:rsidRDefault="009068CD" w:rsidP="009068CD">
            <w:pPr>
              <w:pStyle w:val="TableTextLeft"/>
              <w:ind w:left="714" w:hanging="357"/>
            </w:pPr>
            <w:r w:rsidRPr="000814CB">
              <w:t>c.</w:t>
            </w:r>
            <w:r w:rsidRPr="000814CB">
              <w:tab/>
              <w:t>the individual holds a bridging visa under that Act that allows the individual to remain in Australia until the application has been finally determined; or</w:t>
            </w:r>
          </w:p>
          <w:p w14:paraId="58C063C8" w14:textId="77777777" w:rsidR="009068CD" w:rsidRPr="000814CB" w:rsidRDefault="009068CD" w:rsidP="009068CD">
            <w:pPr>
              <w:pStyle w:val="TableTextLeft"/>
              <w:tabs>
                <w:tab w:val="left" w:pos="357"/>
              </w:tabs>
              <w:ind w:left="357" w:hanging="357"/>
            </w:pPr>
            <w:r w:rsidRPr="000814CB">
              <w:t>3.</w:t>
            </w:r>
            <w:r w:rsidRPr="000814CB">
              <w:tab/>
              <w:t>meets the conditions prescribed by the regulations.</w:t>
            </w:r>
          </w:p>
        </w:tc>
      </w:tr>
      <w:tr w:rsidR="009068CD" w:rsidRPr="000814CB" w14:paraId="0349D2FA" w14:textId="77777777" w:rsidTr="000376F1">
        <w:trPr>
          <w:cantSplit/>
        </w:trPr>
        <w:tc>
          <w:tcPr>
            <w:tcW w:w="1413" w:type="dxa"/>
          </w:tcPr>
          <w:p w14:paraId="6ADF14B8" w14:textId="77777777" w:rsidR="009068CD" w:rsidRPr="000814CB" w:rsidRDefault="009068CD" w:rsidP="009068CD">
            <w:pPr>
              <w:pStyle w:val="TableTextLeft"/>
              <w:rPr>
                <w:color w:val="auto"/>
              </w:rPr>
            </w:pPr>
            <w:r w:rsidRPr="000814CB">
              <w:rPr>
                <w:color w:val="auto"/>
              </w:rPr>
              <w:t>Vacant land</w:t>
            </w:r>
          </w:p>
        </w:tc>
        <w:tc>
          <w:tcPr>
            <w:tcW w:w="6287" w:type="dxa"/>
          </w:tcPr>
          <w:p w14:paraId="0B2AC810" w14:textId="77777777" w:rsidR="009068CD" w:rsidRPr="000814CB" w:rsidRDefault="009068CD" w:rsidP="009068CD">
            <w:pPr>
              <w:pStyle w:val="TableTextLeft"/>
            </w:pPr>
            <w:r w:rsidRPr="000814CB">
              <w:t>Land is vacant if there is no substantive permanent building on the land that can be lawfully occupied by persons, goods or livestock.</w:t>
            </w:r>
          </w:p>
        </w:tc>
      </w:tr>
    </w:tbl>
    <w:p w14:paraId="422F6709" w14:textId="77777777" w:rsidR="00823C66" w:rsidRPr="00A84283" w:rsidRDefault="00823C66" w:rsidP="001C7EE6">
      <w:pPr>
        <w:pStyle w:val="Circletext"/>
      </w:pPr>
    </w:p>
    <w:sectPr w:rsidR="00823C66" w:rsidRPr="00A84283" w:rsidSect="000E08BC">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128B0" w14:textId="77777777" w:rsidR="00671015" w:rsidRDefault="00671015" w:rsidP="002E2EFE">
      <w:r>
        <w:separator/>
      </w:r>
    </w:p>
  </w:endnote>
  <w:endnote w:type="continuationSeparator" w:id="0">
    <w:p w14:paraId="21B1B579" w14:textId="77777777" w:rsidR="00671015" w:rsidRDefault="00671015" w:rsidP="002E2EFE">
      <w:r>
        <w:continuationSeparator/>
      </w:r>
    </w:p>
  </w:endnote>
  <w:endnote w:type="continuationNotice" w:id="1">
    <w:p w14:paraId="3E8C4A2A" w14:textId="77777777" w:rsidR="00671015" w:rsidRDefault="00671015" w:rsidP="002E2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wiss 721 B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20296" w14:textId="77777777" w:rsidR="00454210" w:rsidRPr="00863986" w:rsidRDefault="00454210" w:rsidP="00863986">
    <w:pPr>
      <w:pStyle w:val="FooterEven"/>
    </w:pPr>
    <w:r w:rsidRPr="00863986">
      <w:t xml:space="preserve">Page </w:t>
    </w:r>
    <w:r w:rsidRPr="0065724D">
      <w:rPr>
        <w:rStyle w:val="PageNumber"/>
      </w:rPr>
      <w:fldChar w:fldCharType="begin"/>
    </w:r>
    <w:r w:rsidRPr="0065724D">
      <w:rPr>
        <w:rStyle w:val="PageNumber"/>
      </w:rPr>
      <w:instrText xml:space="preserve"> PAGE  \* roman  \* MERGEFORMAT </w:instrText>
    </w:r>
    <w:r w:rsidRPr="0065724D">
      <w:rPr>
        <w:rStyle w:val="PageNumber"/>
      </w:rPr>
      <w:fldChar w:fldCharType="separate"/>
    </w:r>
    <w:r>
      <w:rPr>
        <w:rStyle w:val="PageNumber"/>
        <w:noProof/>
      </w:rPr>
      <w:t>iv</w:t>
    </w:r>
    <w:r w:rsidRPr="0065724D">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53158" w14:textId="77777777" w:rsidR="00454210" w:rsidRDefault="00454210" w:rsidP="00C53B92">
    <w:pPr>
      <w:pStyle w:val="FooterEven"/>
    </w:pPr>
    <w:r w:rsidRPr="00C53B92">
      <w:t>Page</w:t>
    </w:r>
    <w:r>
      <w:t xml:space="preserve"> </w:t>
    </w:r>
    <w:r>
      <w:fldChar w:fldCharType="begin"/>
    </w:r>
    <w:r>
      <w:instrText xml:space="preserve"> PAGE   \* MERGEFORMAT </w:instrText>
    </w:r>
    <w:r>
      <w:fldChar w:fldCharType="separate"/>
    </w:r>
    <w:r>
      <w:rPr>
        <w:noProof/>
      </w:rPr>
      <w:t>62</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84102" w14:textId="77777777" w:rsidR="00454210" w:rsidRDefault="00454210">
    <w:pPr>
      <w:pStyle w:val="Footer"/>
      <w:jc w:val="right"/>
    </w:pPr>
    <w:r>
      <w:t xml:space="preserve">Page </w:t>
    </w:r>
    <w:sdt>
      <w:sdtPr>
        <w:id w:val="-6361046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63</w:t>
        </w:r>
        <w:r>
          <w:rPr>
            <w:noProof/>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6A6E6" w14:textId="77777777" w:rsidR="00454210" w:rsidRDefault="00454210" w:rsidP="00C53B92">
    <w:pPr>
      <w:pStyle w:val="FooterOdd"/>
    </w:pPr>
    <w:r>
      <w:t xml:space="preserve">Page </w:t>
    </w:r>
    <w:sdt>
      <w:sdtPr>
        <w:id w:val="-78203479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5CFA9" w14:textId="123BFFAC" w:rsidR="00454210" w:rsidRPr="00DE0C50" w:rsidRDefault="00454210" w:rsidP="003523C6">
    <w:pPr>
      <w:pStyle w:val="Footer"/>
      <w:framePr w:w="979" w:h="1087" w:hRule="exact" w:wrap="around" w:vAnchor="page" w:hAnchor="page" w:x="1126" w:y="8725" w:anchorLock="1"/>
      <w:jc w:val="right"/>
      <w:textDirection w:val="tbRl"/>
      <w:rPr>
        <w:rStyle w:val="FramedFooter"/>
      </w:rPr>
    </w:pPr>
    <w:r>
      <w:rPr>
        <w:rStyle w:val="FramedFooter"/>
      </w:rPr>
      <w:t xml:space="preserve">Page </w:t>
    </w:r>
    <w:r w:rsidRPr="00DE0C50">
      <w:rPr>
        <w:rStyle w:val="FramedFooter"/>
      </w:rPr>
      <w:fldChar w:fldCharType="begin"/>
    </w:r>
    <w:r w:rsidRPr="00DE0C50">
      <w:rPr>
        <w:rStyle w:val="FramedFooter"/>
      </w:rPr>
      <w:instrText xml:space="preserve"> KEYWORDS  \* MERGEFORMAT </w:instrText>
    </w:r>
    <w:r w:rsidRPr="00DE0C50">
      <w:rPr>
        <w:rStyle w:val="FramedFooter"/>
      </w:rPr>
      <w:fldChar w:fldCharType="end"/>
    </w:r>
    <w:r w:rsidRPr="00DE0C50">
      <w:rPr>
        <w:rStyle w:val="FramedFooter"/>
      </w:rPr>
      <w:fldChar w:fldCharType="begin"/>
    </w:r>
    <w:r w:rsidRPr="00DE0C50">
      <w:rPr>
        <w:rStyle w:val="FramedFooter"/>
      </w:rPr>
      <w:instrText xml:space="preserve">PAGE  </w:instrText>
    </w:r>
    <w:r w:rsidRPr="00DE0C50">
      <w:rPr>
        <w:rStyle w:val="FramedFooter"/>
      </w:rPr>
      <w:fldChar w:fldCharType="separate"/>
    </w:r>
    <w:r>
      <w:rPr>
        <w:rStyle w:val="FramedFooter"/>
        <w:noProof/>
      </w:rPr>
      <w:t>39</w:t>
    </w:r>
    <w:r w:rsidRPr="00DE0C50">
      <w:rPr>
        <w:rStyle w:val="FramedFooter"/>
      </w:rPr>
      <w:fldChar w:fldCharType="end"/>
    </w:r>
  </w:p>
  <w:p w14:paraId="573C749D" w14:textId="77777777" w:rsidR="00454210" w:rsidRDefault="00454210" w:rsidP="009A590F">
    <w:pPr>
      <w:pStyle w:val="FooterOdd"/>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1723C" w14:textId="77777777" w:rsidR="00454210" w:rsidRDefault="00454210" w:rsidP="009A590F">
    <w:pPr>
      <w:pStyle w:val="FooterOdd"/>
      <w:jc w:val="left"/>
    </w:pPr>
    <w:r>
      <w:t xml:space="preserve">Page </w:t>
    </w:r>
    <w:r>
      <w:fldChar w:fldCharType="begin"/>
    </w:r>
    <w:r>
      <w:instrText xml:space="preserve"> PAGE  \* Arabic  \* MERGEFORMAT </w:instrText>
    </w:r>
    <w:r>
      <w:fldChar w:fldCharType="separate"/>
    </w:r>
    <w:r>
      <w:rPr>
        <w:noProof/>
      </w:rPr>
      <w:t>40</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FF567" w14:textId="77777777" w:rsidR="00454210" w:rsidRDefault="00454210" w:rsidP="009A590F">
    <w:pPr>
      <w:pStyle w:val="FooterOdd"/>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A9F4F" w14:textId="77777777" w:rsidR="00454210" w:rsidRDefault="00454210" w:rsidP="00497BA7">
    <w:pPr>
      <w:pStyle w:val="FooterEven"/>
    </w:pPr>
    <w:r>
      <w:t xml:space="preserve">Page </w:t>
    </w:r>
    <w:r>
      <w:fldChar w:fldCharType="begin"/>
    </w:r>
    <w:r>
      <w:instrText xml:space="preserve"> PAGE   \* MERGEFORMAT </w:instrText>
    </w:r>
    <w:r>
      <w:fldChar w:fldCharType="separate"/>
    </w:r>
    <w:r>
      <w:rPr>
        <w:noProof/>
      </w:rPr>
      <w:t>42</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D2FE" w14:textId="77777777" w:rsidR="00454210" w:rsidRDefault="00454210" w:rsidP="001C7EE6">
    <w:pPr>
      <w:pStyle w:val="FooterOdd"/>
    </w:pPr>
    <w:r>
      <w:t xml:space="preserve">Page </w:t>
    </w:r>
    <w:sdt>
      <w:sdtPr>
        <w:id w:val="-5711912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65</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68583" w14:textId="77777777" w:rsidR="00454210" w:rsidRPr="008D5EFD" w:rsidRDefault="00454210" w:rsidP="00863986">
    <w:pPr>
      <w:pStyle w:val="FooterOdd"/>
    </w:pPr>
    <w:r>
      <w:t xml:space="preserve">Page </w:t>
    </w:r>
    <w:r>
      <w:fldChar w:fldCharType="begin"/>
    </w:r>
    <w:r>
      <w:instrText xml:space="preserve"> PAGE  \* roman  \* MERGEFORMAT </w:instrText>
    </w:r>
    <w:r>
      <w:fldChar w:fldCharType="separate"/>
    </w:r>
    <w:r>
      <w:rPr>
        <w:noProof/>
      </w:rPr>
      <w:t>lxiv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32455" w14:textId="77777777" w:rsidR="00454210" w:rsidRDefault="00454210" w:rsidP="00C53B92">
    <w:pPr>
      <w:pStyle w:val="FooterEven"/>
    </w:pPr>
    <w:r w:rsidRPr="00C53B92">
      <w:t>Page</w:t>
    </w:r>
    <w:r>
      <w:t xml:space="preserve"> </w:t>
    </w:r>
    <w:r>
      <w:fldChar w:fldCharType="begin"/>
    </w:r>
    <w:r>
      <w:instrText xml:space="preserve"> PAGE   \* MERGEFORMAT </w:instrText>
    </w:r>
    <w:r>
      <w:fldChar w:fldCharType="separate"/>
    </w:r>
    <w:r>
      <w:rPr>
        <w:noProof/>
      </w:rPr>
      <w:t>xii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3971428"/>
      <w:docPartObj>
        <w:docPartGallery w:val="Page Numbers (Bottom of Page)"/>
        <w:docPartUnique/>
      </w:docPartObj>
    </w:sdtPr>
    <w:sdtEndPr>
      <w:rPr>
        <w:noProof/>
      </w:rPr>
    </w:sdtEndPr>
    <w:sdtContent>
      <w:p w14:paraId="30F1D6BD" w14:textId="77777777" w:rsidR="00454210" w:rsidRDefault="00454210" w:rsidP="00497BA7">
        <w:pPr>
          <w:pStyle w:val="FooterOdd"/>
        </w:pPr>
        <w:r w:rsidRPr="00863986">
          <w:t xml:space="preserve">Page </w:t>
        </w:r>
        <w:r w:rsidRPr="00863986">
          <w:fldChar w:fldCharType="begin"/>
        </w:r>
        <w:r w:rsidRPr="00863986">
          <w:instrText xml:space="preserve"> PAGE  \* roman  \* MERGEFORMAT </w:instrText>
        </w:r>
        <w:r w:rsidRPr="00863986">
          <w:fldChar w:fldCharType="separate"/>
        </w:r>
        <w:r>
          <w:rPr>
            <w:noProof/>
          </w:rPr>
          <w:t>ix</w:t>
        </w:r>
        <w:r w:rsidRPr="00863986">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603EE" w14:textId="77777777" w:rsidR="00454210" w:rsidRPr="003711D9" w:rsidRDefault="00454210" w:rsidP="00497197">
    <w:pPr>
      <w:pStyle w:val="FooterEven"/>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87ED5" w14:textId="77777777" w:rsidR="00454210" w:rsidRPr="00863986" w:rsidRDefault="00454210" w:rsidP="00C53B92">
    <w:pPr>
      <w:pStyle w:val="FooterOdd"/>
    </w:pPr>
    <w:r w:rsidRPr="00863986">
      <w:t xml:space="preserve">Page </w:t>
    </w:r>
    <w:r>
      <w:fldChar w:fldCharType="begin"/>
    </w:r>
    <w:r>
      <w:instrText xml:space="preserve"> PAGE   \* MERGEFORMAT </w:instrText>
    </w:r>
    <w:r>
      <w:fldChar w:fldCharType="separate"/>
    </w:r>
    <w:r>
      <w:rPr>
        <w:noProof/>
      </w:rPr>
      <w:t>iii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1D282" w14:textId="77777777" w:rsidR="00454210" w:rsidRDefault="00454210" w:rsidP="001C7EE6">
    <w:pPr>
      <w:pStyle w:val="FooterOdd"/>
    </w:pPr>
    <w:r>
      <w:t xml:space="preserve">Page </w:t>
    </w:r>
    <w:sdt>
      <w:sdtPr>
        <w:id w:val="17797485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vi</w:t>
        </w:r>
        <w:r>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383A8" w14:textId="77777777" w:rsidR="00454210" w:rsidRDefault="00454210">
    <w:pPr>
      <w:pStyle w:val="Footer"/>
      <w:jc w:val="right"/>
    </w:pPr>
    <w:r>
      <w:t xml:space="preserve">Page </w:t>
    </w:r>
    <w:sdt>
      <w:sdtPr>
        <w:id w:val="-522014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xiii</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9C4DD" w14:textId="77777777" w:rsidR="00454210" w:rsidRDefault="00454210" w:rsidP="009A590F">
    <w:pPr>
      <w:pStyle w:val="FooterOdd"/>
      <w:jc w:val="left"/>
    </w:pPr>
    <w:r>
      <w:t xml:space="preserve">Page </w:t>
    </w:r>
    <w:sdt>
      <w:sdtPr>
        <w:id w:val="-20610824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x</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B021E" w14:textId="77777777" w:rsidR="00671015" w:rsidRDefault="00671015" w:rsidP="002E2EFE">
      <w:r>
        <w:separator/>
      </w:r>
    </w:p>
  </w:footnote>
  <w:footnote w:type="continuationSeparator" w:id="0">
    <w:p w14:paraId="1A055639" w14:textId="77777777" w:rsidR="00671015" w:rsidRDefault="00671015" w:rsidP="002E2EFE">
      <w:r>
        <w:continuationSeparator/>
      </w:r>
    </w:p>
  </w:footnote>
  <w:footnote w:type="continuationNotice" w:id="1">
    <w:p w14:paraId="24CA24ED" w14:textId="77777777" w:rsidR="00671015" w:rsidRDefault="00671015" w:rsidP="002E2EFE"/>
  </w:footnote>
  <w:footnote w:id="2">
    <w:p w14:paraId="0EF04322" w14:textId="664ED128" w:rsidR="00454210" w:rsidRDefault="00454210" w:rsidP="00672036">
      <w:pPr>
        <w:pStyle w:val="FootnoteText"/>
      </w:pPr>
      <w:r w:rsidRPr="00E6535D">
        <w:rPr>
          <w:rStyle w:val="FootnoteReference"/>
          <w:vertAlign w:val="baseline"/>
        </w:rPr>
        <w:footnoteRef/>
      </w:r>
      <w:r>
        <w:t xml:space="preserve"> </w:t>
      </w:r>
      <w:r>
        <w:tab/>
        <w:t xml:space="preserve">UNCTAD, </w:t>
      </w:r>
      <w:r w:rsidRPr="00E73B40">
        <w:t xml:space="preserve">Global </w:t>
      </w:r>
      <w:r>
        <w:t>F</w:t>
      </w:r>
      <w:r w:rsidRPr="00E73B40">
        <w:t xml:space="preserve">oreign </w:t>
      </w:r>
      <w:r>
        <w:t>D</w:t>
      </w:r>
      <w:r w:rsidRPr="00E73B40">
        <w:t xml:space="preserve">irect </w:t>
      </w:r>
      <w:r>
        <w:t>I</w:t>
      </w:r>
      <w:r w:rsidRPr="00E73B40">
        <w:t xml:space="preserve">nvestment fell by 42% in 2020, outlook remains weak </w:t>
      </w:r>
      <w:r>
        <w:t xml:space="preserve">(2021) </w:t>
      </w:r>
      <w:hyperlink r:id="rId1" w:history="1">
        <w:r w:rsidRPr="00C07B03">
          <w:rPr>
            <w:rStyle w:val="Hyperlink"/>
          </w:rPr>
          <w:t>https://unctad.org/news/global</w:t>
        </w:r>
        <w:r>
          <w:rPr>
            <w:rStyle w:val="Hyperlink"/>
          </w:rPr>
          <w:noBreakHyphen/>
        </w:r>
        <w:r w:rsidRPr="00C07B03">
          <w:rPr>
            <w:rStyle w:val="Hyperlink"/>
          </w:rPr>
          <w:t>foreign</w:t>
        </w:r>
        <w:r>
          <w:rPr>
            <w:rStyle w:val="Hyperlink"/>
          </w:rPr>
          <w:noBreakHyphen/>
        </w:r>
        <w:r w:rsidRPr="00C07B03">
          <w:rPr>
            <w:rStyle w:val="Hyperlink"/>
          </w:rPr>
          <w:t>direct</w:t>
        </w:r>
        <w:r>
          <w:rPr>
            <w:rStyle w:val="Hyperlink"/>
          </w:rPr>
          <w:noBreakHyphen/>
        </w:r>
        <w:r w:rsidRPr="00C07B03">
          <w:rPr>
            <w:rStyle w:val="Hyperlink"/>
          </w:rPr>
          <w:t>investment</w:t>
        </w:r>
        <w:r>
          <w:rPr>
            <w:rStyle w:val="Hyperlink"/>
          </w:rPr>
          <w:noBreakHyphen/>
        </w:r>
        <w:r w:rsidRPr="00C07B03">
          <w:rPr>
            <w:rStyle w:val="Hyperlink"/>
          </w:rPr>
          <w:t>fell</w:t>
        </w:r>
        <w:r>
          <w:rPr>
            <w:rStyle w:val="Hyperlink"/>
          </w:rPr>
          <w:noBreakHyphen/>
        </w:r>
        <w:r w:rsidRPr="00C07B03">
          <w:rPr>
            <w:rStyle w:val="Hyperlink"/>
          </w:rPr>
          <w:t>42</w:t>
        </w:r>
        <w:r>
          <w:rPr>
            <w:rStyle w:val="Hyperlink"/>
          </w:rPr>
          <w:noBreakHyphen/>
        </w:r>
        <w:r w:rsidRPr="00C07B03">
          <w:rPr>
            <w:rStyle w:val="Hyperlink"/>
          </w:rPr>
          <w:t>2020</w:t>
        </w:r>
        <w:r>
          <w:rPr>
            <w:rStyle w:val="Hyperlink"/>
          </w:rPr>
          <w:noBreakHyphen/>
        </w:r>
        <w:r w:rsidRPr="00C07B03">
          <w:rPr>
            <w:rStyle w:val="Hyperlink"/>
          </w:rPr>
          <w:t>outlook</w:t>
        </w:r>
        <w:r>
          <w:rPr>
            <w:rStyle w:val="Hyperlink"/>
          </w:rPr>
          <w:noBreakHyphen/>
        </w:r>
        <w:r w:rsidRPr="00C07B03">
          <w:rPr>
            <w:rStyle w:val="Hyperlink"/>
          </w:rPr>
          <w:t>remains</w:t>
        </w:r>
        <w:r>
          <w:rPr>
            <w:rStyle w:val="Hyperlink"/>
          </w:rPr>
          <w:noBreakHyphen/>
        </w:r>
        <w:r w:rsidRPr="00C07B03">
          <w:rPr>
            <w:rStyle w:val="Hyperlink"/>
          </w:rPr>
          <w:t>weak</w:t>
        </w:r>
      </w:hyperlink>
      <w:r>
        <w:t xml:space="preserve"> (accessed 5 March 2021).</w:t>
      </w:r>
    </w:p>
  </w:footnote>
  <w:footnote w:id="3">
    <w:p w14:paraId="324C2946" w14:textId="069D7E6F" w:rsidR="00454210" w:rsidRDefault="00454210" w:rsidP="00454F4E">
      <w:pPr>
        <w:pStyle w:val="FootnoteText"/>
      </w:pPr>
      <w:r w:rsidRPr="00E6535D">
        <w:rPr>
          <w:rStyle w:val="FootnoteReference"/>
          <w:vertAlign w:val="baseline"/>
        </w:rPr>
        <w:footnoteRef/>
      </w:r>
      <w:r>
        <w:t xml:space="preserve"> </w:t>
      </w:r>
      <w:r>
        <w:tab/>
        <w:t>The median application processing time in 2018–19 Regulator Performance Framework report was reported as 45 days. This has been subsequently revised due to a methodology change to align with statutory deadlines.</w:t>
      </w:r>
    </w:p>
  </w:footnote>
  <w:footnote w:id="4">
    <w:p w14:paraId="2ED82591" w14:textId="79E62B6A" w:rsidR="00454210" w:rsidRDefault="00454210">
      <w:pPr>
        <w:pStyle w:val="FootnoteText"/>
      </w:pPr>
      <w:r w:rsidRPr="00E6535D">
        <w:rPr>
          <w:rStyle w:val="FootnoteReference"/>
          <w:vertAlign w:val="baseline"/>
        </w:rPr>
        <w:footnoteRef/>
      </w:r>
      <w:r>
        <w:t xml:space="preserve"> </w:t>
      </w:r>
      <w:r>
        <w:tab/>
      </w:r>
      <w:r w:rsidRPr="009E29B3">
        <w:t>The Treasurer has provided delegations to senior officers in Treasury and ATO to make decisions on applications and compliance actions that are consistent with the foreign investment framework. Certain applications are decided by other Treasury portfolio ministers.</w:t>
      </w:r>
    </w:p>
  </w:footnote>
  <w:footnote w:id="5">
    <w:p w14:paraId="3525FBED" w14:textId="33C795EE" w:rsidR="00454210" w:rsidRDefault="00454210" w:rsidP="00707130">
      <w:pPr>
        <w:pStyle w:val="FootnoteText"/>
      </w:pPr>
      <w:r w:rsidRPr="00E6535D">
        <w:rPr>
          <w:rStyle w:val="FootnoteReference"/>
          <w:vertAlign w:val="baseline"/>
        </w:rPr>
        <w:footnoteRef/>
      </w:r>
      <w:r>
        <w:t xml:space="preserve"> </w:t>
      </w:r>
      <w:r>
        <w:tab/>
      </w:r>
      <w:r w:rsidRPr="00322919">
        <w:t>The World Bank</w:t>
      </w:r>
      <w:r>
        <w:t xml:space="preserve"> — </w:t>
      </w:r>
      <w:r w:rsidRPr="00322919">
        <w:t>FDI net inflows data 2015</w:t>
      </w:r>
      <w:r>
        <w:noBreakHyphen/>
      </w:r>
      <w:r w:rsidRPr="00322919">
        <w:t>2019</w:t>
      </w:r>
      <w:r>
        <w:t>.</w:t>
      </w:r>
    </w:p>
  </w:footnote>
  <w:footnote w:id="6">
    <w:p w14:paraId="0D3E7B2F" w14:textId="596D1F02" w:rsidR="00454210" w:rsidRDefault="00454210" w:rsidP="00707130">
      <w:pPr>
        <w:pStyle w:val="FootnoteText"/>
      </w:pPr>
      <w:r w:rsidRPr="00E6535D">
        <w:rPr>
          <w:rStyle w:val="FootnoteReference"/>
          <w:vertAlign w:val="baseline"/>
        </w:rPr>
        <w:footnoteRef/>
      </w:r>
      <w:r>
        <w:t xml:space="preserve"> </w:t>
      </w:r>
      <w:r>
        <w:tab/>
      </w:r>
      <w:r w:rsidRPr="00072B2D">
        <w:t>OECD Report: COVID</w:t>
      </w:r>
      <w:r>
        <w:noBreakHyphen/>
      </w:r>
      <w:r w:rsidRPr="00072B2D">
        <w:t>19 disruptions send global FDI plunging 50% (October 2020)</w:t>
      </w:r>
      <w:r>
        <w:t>.</w:t>
      </w:r>
    </w:p>
  </w:footnote>
  <w:footnote w:id="7">
    <w:p w14:paraId="31086383" w14:textId="5C282009" w:rsidR="00454210" w:rsidRDefault="00454210" w:rsidP="00707130">
      <w:pPr>
        <w:pStyle w:val="FootnoteText"/>
      </w:pPr>
      <w:r w:rsidRPr="00E6535D">
        <w:rPr>
          <w:rStyle w:val="FootnoteReference"/>
          <w:vertAlign w:val="baseline"/>
        </w:rPr>
        <w:footnoteRef/>
      </w:r>
      <w:r>
        <w:t xml:space="preserve"> </w:t>
      </w:r>
      <w:r>
        <w:tab/>
      </w:r>
      <w:r w:rsidRPr="00072B2D">
        <w:t>U</w:t>
      </w:r>
      <w:r>
        <w:t xml:space="preserve">nited Nations </w:t>
      </w:r>
      <w:r w:rsidRPr="00072B2D">
        <w:t>C</w:t>
      </w:r>
      <w:r>
        <w:t xml:space="preserve">onference on </w:t>
      </w:r>
      <w:r w:rsidRPr="00072B2D">
        <w:t>T</w:t>
      </w:r>
      <w:r>
        <w:t xml:space="preserve">rade and </w:t>
      </w:r>
      <w:r w:rsidRPr="00072B2D">
        <w:t>D</w:t>
      </w:r>
      <w:r>
        <w:t>evelopment: World Investment Report 2020.</w:t>
      </w:r>
    </w:p>
  </w:footnote>
  <w:footnote w:id="8">
    <w:p w14:paraId="29DE5D3A" w14:textId="4B822150" w:rsidR="00454210" w:rsidRDefault="00454210" w:rsidP="00707130">
      <w:pPr>
        <w:pStyle w:val="FootnoteText"/>
      </w:pPr>
      <w:r w:rsidRPr="00E6535D">
        <w:rPr>
          <w:rStyle w:val="FootnoteReference"/>
          <w:vertAlign w:val="baseline"/>
        </w:rPr>
        <w:footnoteRef/>
      </w:r>
      <w:r>
        <w:t xml:space="preserve"> </w:t>
      </w:r>
      <w:r>
        <w:tab/>
      </w:r>
      <w:r w:rsidRPr="00072B2D">
        <w:t>OECD Report: Investment screening in times of COVID</w:t>
      </w:r>
      <w:r>
        <w:noBreakHyphen/>
      </w:r>
      <w:r w:rsidRPr="00072B2D">
        <w:t>19 and beyond (July 2020).</w:t>
      </w:r>
    </w:p>
  </w:footnote>
  <w:footnote w:id="9">
    <w:p w14:paraId="52AB3C3B" w14:textId="028AE9D7" w:rsidR="00454210" w:rsidRPr="004D4621" w:rsidRDefault="00454210" w:rsidP="00DE56DC">
      <w:pPr>
        <w:pStyle w:val="FootnoteText"/>
        <w:rPr>
          <w:sz w:val="16"/>
          <w:szCs w:val="16"/>
        </w:rPr>
      </w:pPr>
      <w:r w:rsidRPr="00E6535D">
        <w:rPr>
          <w:sz w:val="16"/>
          <w:szCs w:val="16"/>
        </w:rPr>
        <w:footnoteRef/>
      </w:r>
      <w:r w:rsidRPr="004D4621">
        <w:rPr>
          <w:sz w:val="16"/>
          <w:szCs w:val="16"/>
        </w:rPr>
        <w:t xml:space="preserve"> </w:t>
      </w:r>
      <w:r w:rsidRPr="004D4621">
        <w:rPr>
          <w:sz w:val="16"/>
          <w:szCs w:val="16"/>
        </w:rPr>
        <w:tab/>
        <w:t>See ABS Catalogue no.:</w:t>
      </w:r>
    </w:p>
    <w:p w14:paraId="0E328C30" w14:textId="77777777" w:rsidR="00454210" w:rsidRPr="004D4621" w:rsidRDefault="00454210" w:rsidP="00DE56DC">
      <w:pPr>
        <w:pStyle w:val="FootnoteText"/>
        <w:rPr>
          <w:sz w:val="16"/>
          <w:szCs w:val="16"/>
        </w:rPr>
      </w:pPr>
      <w:r w:rsidRPr="004D4621">
        <w:rPr>
          <w:sz w:val="16"/>
          <w:szCs w:val="16"/>
        </w:rPr>
        <w:tab/>
        <w:t>5302.0</w:t>
      </w:r>
      <w:r>
        <w:rPr>
          <w:sz w:val="16"/>
          <w:szCs w:val="16"/>
        </w:rPr>
        <w:t xml:space="preserve"> — </w:t>
      </w:r>
      <w:r w:rsidRPr="004D4621">
        <w:rPr>
          <w:i/>
          <w:sz w:val="16"/>
          <w:szCs w:val="16"/>
        </w:rPr>
        <w:t>Balance of Payments and International Investment Position</w:t>
      </w:r>
      <w:r w:rsidRPr="004D4621">
        <w:rPr>
          <w:sz w:val="16"/>
          <w:szCs w:val="16"/>
        </w:rPr>
        <w:t xml:space="preserve">, </w:t>
      </w:r>
      <w:r w:rsidRPr="004D4621">
        <w:rPr>
          <w:i/>
          <w:sz w:val="16"/>
          <w:szCs w:val="16"/>
        </w:rPr>
        <w:t>Australia</w:t>
      </w:r>
      <w:r w:rsidRPr="004D4621">
        <w:rPr>
          <w:sz w:val="16"/>
          <w:szCs w:val="16"/>
        </w:rPr>
        <w:t>, which provides the overall investment trends;</w:t>
      </w:r>
    </w:p>
    <w:p w14:paraId="4438BE5E" w14:textId="77777777" w:rsidR="00454210" w:rsidRPr="004D4621" w:rsidRDefault="00454210" w:rsidP="00DE56DC">
      <w:pPr>
        <w:pStyle w:val="FootnoteText"/>
        <w:rPr>
          <w:sz w:val="16"/>
          <w:szCs w:val="16"/>
        </w:rPr>
      </w:pPr>
      <w:r w:rsidRPr="004D4621">
        <w:rPr>
          <w:sz w:val="16"/>
          <w:szCs w:val="16"/>
        </w:rPr>
        <w:tab/>
        <w:t>5352.0</w:t>
      </w:r>
      <w:r>
        <w:rPr>
          <w:sz w:val="16"/>
          <w:szCs w:val="16"/>
        </w:rPr>
        <w:t xml:space="preserve"> — </w:t>
      </w:r>
      <w:r w:rsidRPr="004D4621">
        <w:rPr>
          <w:i/>
          <w:sz w:val="16"/>
          <w:szCs w:val="16"/>
        </w:rPr>
        <w:t>International Investment Position, Australia: Supplementary Statistics</w:t>
      </w:r>
      <w:r w:rsidRPr="004D4621">
        <w:rPr>
          <w:sz w:val="16"/>
          <w:szCs w:val="16"/>
        </w:rPr>
        <w:t>, which includes actual foreign investment statistics by investor country or by industry division for inward foreign investment; and</w:t>
      </w:r>
    </w:p>
    <w:p w14:paraId="4FEBE713" w14:textId="1B996C94" w:rsidR="00454210" w:rsidRPr="004D4621" w:rsidRDefault="00454210" w:rsidP="00DE56DC">
      <w:pPr>
        <w:pStyle w:val="FootnoteText"/>
        <w:rPr>
          <w:sz w:val="16"/>
          <w:szCs w:val="16"/>
        </w:rPr>
      </w:pPr>
      <w:r w:rsidRPr="004D4621">
        <w:rPr>
          <w:sz w:val="16"/>
          <w:szCs w:val="16"/>
        </w:rPr>
        <w:tab/>
        <w:t>5494.0</w:t>
      </w:r>
      <w:r>
        <w:rPr>
          <w:sz w:val="16"/>
          <w:szCs w:val="16"/>
        </w:rPr>
        <w:t xml:space="preserve"> — </w:t>
      </w:r>
      <w:r w:rsidRPr="004D4621">
        <w:rPr>
          <w:i/>
          <w:sz w:val="16"/>
          <w:szCs w:val="16"/>
        </w:rPr>
        <w:t>Economic Activity of Foreign Owned Businesses in Australia, 2014</w:t>
      </w:r>
      <w:r>
        <w:rPr>
          <w:i/>
          <w:sz w:val="16"/>
          <w:szCs w:val="16"/>
        </w:rPr>
        <w:noBreakHyphen/>
      </w:r>
      <w:r w:rsidRPr="004D4621">
        <w:rPr>
          <w:i/>
          <w:sz w:val="16"/>
          <w:szCs w:val="16"/>
        </w:rPr>
        <w:t>15</w:t>
      </w:r>
      <w:r w:rsidRPr="004D4621">
        <w:rPr>
          <w:sz w:val="16"/>
          <w:szCs w:val="16"/>
        </w:rPr>
        <w:t>, for information on the economic activity of foreign owned businesses in Australia.</w:t>
      </w:r>
    </w:p>
    <w:p w14:paraId="280CB652" w14:textId="77777777" w:rsidR="00454210" w:rsidRDefault="00454210" w:rsidP="00DE56DC">
      <w:pPr>
        <w:pStyle w:val="FootnoteText"/>
      </w:pPr>
    </w:p>
  </w:footnote>
  <w:footnote w:id="10">
    <w:p w14:paraId="0ABB2948" w14:textId="16DC5D15" w:rsidR="00454210" w:rsidRDefault="00454210" w:rsidP="00F16FDC">
      <w:pPr>
        <w:pStyle w:val="FootnoteText"/>
      </w:pPr>
      <w:r w:rsidRPr="00E6535D">
        <w:rPr>
          <w:rStyle w:val="FootnoteReference"/>
          <w:vertAlign w:val="baseline"/>
        </w:rPr>
        <w:footnoteRef/>
      </w:r>
      <w:r>
        <w:t xml:space="preserve"> </w:t>
      </w:r>
      <w:r>
        <w:tab/>
        <w:t>This requirement was codified in the Act from 1 December 2015.</w:t>
      </w:r>
    </w:p>
    <w:p w14:paraId="492B5931" w14:textId="77777777" w:rsidR="00454210" w:rsidRDefault="00454210" w:rsidP="00F16FDC">
      <w:pPr>
        <w:pStyle w:val="FootnoteText"/>
      </w:pPr>
      <w:r>
        <w:tab/>
        <w:t>Starting an Australian business refers to when a foreign government investor starts to carry on an Australian business, or if a foreign government investor already carries on an Australian business, the business starts a new activity under the Australian and New Zealand Standard Industrial Classification (ANZSIC, 2006) Codes and the activity is not incidental to an existing activity of the Australian business and the activity is within a different Division under the Codes. For a foreign government investor that already carries on an Australian business, starting a new business excludes when they establish a new entity, alone or with others, to undertake the same Australian business or acquire interests in such an Australian business.</w:t>
      </w:r>
    </w:p>
  </w:footnote>
  <w:footnote w:id="11">
    <w:p w14:paraId="1F0982D2" w14:textId="4019BBB2" w:rsidR="00454210" w:rsidRDefault="00454210" w:rsidP="001639C7">
      <w:pPr>
        <w:pStyle w:val="FootnoteText"/>
      </w:pPr>
      <w:r w:rsidRPr="00E6535D">
        <w:rPr>
          <w:rStyle w:val="FootnoteReference"/>
          <w:vertAlign w:val="baseline"/>
        </w:rPr>
        <w:footnoteRef/>
      </w:r>
      <w:r>
        <w:t xml:space="preserve"> </w:t>
      </w:r>
      <w:r>
        <w:tab/>
        <w:t>Guidance Note 51 was replaced by Guidance Note 13 from 1 January 2021.</w:t>
      </w:r>
    </w:p>
  </w:footnote>
  <w:footnote w:id="12">
    <w:p w14:paraId="4AEC79D8" w14:textId="760EB38A" w:rsidR="00454210" w:rsidRDefault="00454210" w:rsidP="001639C7">
      <w:pPr>
        <w:pStyle w:val="FootnoteText"/>
      </w:pPr>
      <w:r w:rsidRPr="00E6535D">
        <w:rPr>
          <w:rStyle w:val="FootnoteReference"/>
          <w:vertAlign w:val="baseline"/>
        </w:rPr>
        <w:footnoteRef/>
      </w:r>
      <w:r>
        <w:t xml:space="preserve"> </w:t>
      </w:r>
      <w:r>
        <w:tab/>
        <w:t>Guidance Note 52 was replaced by Guidance Note 13 from 1 January 2021.</w:t>
      </w:r>
    </w:p>
  </w:footnote>
  <w:footnote w:id="13">
    <w:p w14:paraId="6D0B3F37" w14:textId="29C994A5" w:rsidR="00454210" w:rsidRDefault="00454210">
      <w:pPr>
        <w:pStyle w:val="FootnoteText"/>
      </w:pPr>
      <w:r w:rsidRPr="00E6535D">
        <w:rPr>
          <w:rStyle w:val="FootnoteReference"/>
          <w:vertAlign w:val="baseline"/>
        </w:rPr>
        <w:footnoteRef/>
      </w:r>
      <w:r>
        <w:t xml:space="preserve"> </w:t>
      </w:r>
      <w:r>
        <w:tab/>
        <w:t xml:space="preserve">The </w:t>
      </w:r>
      <w:r w:rsidRPr="00FB0C2E">
        <w:t xml:space="preserve">definitions are based on the </w:t>
      </w:r>
      <w:r w:rsidRPr="00FB0C2E">
        <w:rPr>
          <w:i/>
        </w:rPr>
        <w:t>Foreign Investment and Takeovers Act 1975</w:t>
      </w:r>
      <w:r w:rsidRPr="00FB0C2E">
        <w:t xml:space="preserve"> as in force in </w:t>
      </w:r>
      <w:r>
        <w:t>20</w:t>
      </w:r>
      <w:r w:rsidRPr="00FB0C2E">
        <w:t>19</w:t>
      </w:r>
      <w:r>
        <w:noBreakHyphen/>
      </w:r>
      <w:r w:rsidRPr="00FB0C2E">
        <w:t>20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9AFDC" w14:textId="2DDD91A8" w:rsidR="00454210" w:rsidRPr="003E1D3A" w:rsidRDefault="00671015" w:rsidP="00497197">
    <w:pPr>
      <w:pStyle w:val="HeaderEven"/>
    </w:pPr>
    <w:r>
      <w:fldChar w:fldCharType="begin"/>
    </w:r>
    <w:r>
      <w:instrText xml:space="preserve"> TITLE   \* MERGEFORMAT </w:instrText>
    </w:r>
    <w:r>
      <w:fldChar w:fldCharType="separate"/>
    </w:r>
    <w:r w:rsidR="00D04DB1">
      <w:t>Foreign Investment Review Board Annual Report 2019-20</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C22D3" w14:textId="26BF1847" w:rsidR="00454210" w:rsidRPr="00497BA7" w:rsidRDefault="00671015" w:rsidP="003523C6">
    <w:pPr>
      <w:pStyle w:val="Header"/>
      <w:framePr w:w="406" w:h="3256" w:hRule="exact" w:wrap="around" w:vAnchor="page" w:hAnchor="page" w:x="14611" w:y="6558" w:anchorLock="1"/>
      <w:jc w:val="right"/>
      <w:textDirection w:val="tbRl"/>
      <w:rPr>
        <w:rStyle w:val="FramedHeader"/>
        <w:szCs w:val="20"/>
      </w:rPr>
    </w:pPr>
    <w:r>
      <w:fldChar w:fldCharType="begin"/>
    </w:r>
    <w:r>
      <w:instrText xml:space="preserve"> STYLEREF  "Heading 1"  \* MERGEFORMAT </w:instrText>
    </w:r>
    <w:r>
      <w:fldChar w:fldCharType="separate"/>
    </w:r>
    <w:r w:rsidR="00D04DB1">
      <w:rPr>
        <w:noProof/>
      </w:rPr>
      <w:t>Chapter Three: Applications Data</w:t>
    </w:r>
    <w:r>
      <w:rPr>
        <w:noProof/>
      </w:rPr>
      <w:fldChar w:fldCharType="end"/>
    </w:r>
  </w:p>
  <w:p w14:paraId="3C90D138" w14:textId="77777777" w:rsidR="00454210" w:rsidRPr="00FB1377" w:rsidRDefault="00454210" w:rsidP="00FB1377">
    <w:pPr>
      <w:pStyle w:val="HeaderEven"/>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3694A" w14:textId="0D34C763" w:rsidR="00454210" w:rsidRPr="00497BA7" w:rsidRDefault="00454210" w:rsidP="00497BA7">
    <w:pPr>
      <w:pStyle w:val="HeaderEven"/>
    </w:pPr>
    <w:r w:rsidRPr="00497BA7">
      <w:rPr>
        <w:rStyle w:val="PageNumber"/>
        <w:rFonts w:ascii="Calibri" w:hAnsi="Calibri"/>
        <w:color w:val="477B59" w:themeColor="accent1"/>
        <w:szCs w:val="20"/>
      </w:rPr>
      <w:fldChar w:fldCharType="begin"/>
    </w:r>
    <w:r w:rsidRPr="00497BA7">
      <w:rPr>
        <w:rStyle w:val="PageNumber"/>
        <w:rFonts w:ascii="Calibri" w:hAnsi="Calibri"/>
        <w:color w:val="477B59" w:themeColor="accent1"/>
        <w:szCs w:val="20"/>
      </w:rPr>
      <w:instrText xml:space="preserve"> TITLE   \* MERGEFORMAT </w:instrText>
    </w:r>
    <w:r w:rsidRPr="00497BA7">
      <w:rPr>
        <w:rStyle w:val="PageNumber"/>
        <w:rFonts w:ascii="Calibri" w:hAnsi="Calibri"/>
        <w:color w:val="477B59" w:themeColor="accent1"/>
        <w:szCs w:val="20"/>
      </w:rPr>
      <w:fldChar w:fldCharType="separate"/>
    </w:r>
    <w:r w:rsidR="00D04DB1">
      <w:rPr>
        <w:rStyle w:val="PageNumber"/>
        <w:rFonts w:ascii="Calibri" w:hAnsi="Calibri"/>
        <w:color w:val="477B59" w:themeColor="accent1"/>
        <w:szCs w:val="20"/>
      </w:rPr>
      <w:t>Foreign Investment Review Board Annual Report 2019-20</w:t>
    </w:r>
    <w:r w:rsidRPr="00497BA7">
      <w:rPr>
        <w:rStyle w:val="PageNumber"/>
        <w:rFonts w:ascii="Calibri" w:hAnsi="Calibri"/>
        <w:color w:val="477B59" w:themeColor="accent1"/>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36AAE" w14:textId="0A68CF3C" w:rsidR="00454210" w:rsidRPr="00497BA7" w:rsidRDefault="00671015" w:rsidP="003523C6">
    <w:pPr>
      <w:pStyle w:val="Header"/>
      <w:framePr w:w="406" w:h="3256" w:hRule="exact" w:wrap="around" w:vAnchor="page" w:hAnchor="page" w:x="14611" w:y="6558" w:anchorLock="1"/>
      <w:jc w:val="right"/>
      <w:textDirection w:val="tbRl"/>
      <w:rPr>
        <w:rStyle w:val="FramedHeader"/>
        <w:szCs w:val="20"/>
      </w:rPr>
    </w:pPr>
    <w:r>
      <w:fldChar w:fldCharType="begin"/>
    </w:r>
    <w:r>
      <w:instrText xml:space="preserve"> STYLEREF  "Heading 1"  \* MERGEFORMAT </w:instrText>
    </w:r>
    <w:r>
      <w:fldChar w:fldCharType="separate"/>
    </w:r>
    <w:r w:rsidR="00D04DB1">
      <w:rPr>
        <w:noProof/>
      </w:rPr>
      <w:t>Chapter Three: Applications Data</w:t>
    </w:r>
    <w:r>
      <w:rPr>
        <w:noProof/>
      </w:rPr>
      <w:fldChar w:fldCharType="end"/>
    </w:r>
  </w:p>
  <w:p w14:paraId="16F059EC" w14:textId="1B832687" w:rsidR="00454210" w:rsidRPr="00DE0C50" w:rsidRDefault="00454210" w:rsidP="003523C6">
    <w:pPr>
      <w:pStyle w:val="Footer"/>
      <w:framePr w:w="979" w:h="1087" w:hRule="exact" w:wrap="around" w:vAnchor="page" w:hAnchor="page" w:x="1141" w:y="8725" w:anchorLock="1"/>
      <w:jc w:val="right"/>
      <w:textDirection w:val="tbRl"/>
      <w:rPr>
        <w:rStyle w:val="FramedFooter"/>
      </w:rPr>
    </w:pPr>
    <w:r>
      <w:rPr>
        <w:rStyle w:val="FramedFooter"/>
      </w:rPr>
      <w:t xml:space="preserve">Page </w:t>
    </w:r>
    <w:r w:rsidRPr="00DE0C50">
      <w:rPr>
        <w:rStyle w:val="FramedFooter"/>
      </w:rPr>
      <w:fldChar w:fldCharType="begin"/>
    </w:r>
    <w:r w:rsidRPr="00DE0C50">
      <w:rPr>
        <w:rStyle w:val="FramedFooter"/>
      </w:rPr>
      <w:instrText xml:space="preserve"> KEYWORDS  \* MERGEFORMAT </w:instrText>
    </w:r>
    <w:r w:rsidRPr="00DE0C50">
      <w:rPr>
        <w:rStyle w:val="FramedFooter"/>
      </w:rPr>
      <w:fldChar w:fldCharType="end"/>
    </w:r>
    <w:r w:rsidRPr="00DE0C50">
      <w:rPr>
        <w:rStyle w:val="FramedFooter"/>
      </w:rPr>
      <w:fldChar w:fldCharType="begin"/>
    </w:r>
    <w:r w:rsidRPr="00DE0C50">
      <w:rPr>
        <w:rStyle w:val="FramedFooter"/>
      </w:rPr>
      <w:instrText xml:space="preserve">PAGE  </w:instrText>
    </w:r>
    <w:r w:rsidRPr="00DE0C50">
      <w:rPr>
        <w:rStyle w:val="FramedFooter"/>
      </w:rPr>
      <w:fldChar w:fldCharType="separate"/>
    </w:r>
    <w:r>
      <w:rPr>
        <w:rStyle w:val="FramedFooter"/>
        <w:noProof/>
      </w:rPr>
      <w:t>41</w:t>
    </w:r>
    <w:r w:rsidRPr="00DE0C50">
      <w:rPr>
        <w:rStyle w:val="FramedFooter"/>
      </w:rPr>
      <w:fldChar w:fldCharType="end"/>
    </w:r>
  </w:p>
  <w:p w14:paraId="1DB67BDE" w14:textId="77777777" w:rsidR="00454210" w:rsidRDefault="00671015" w:rsidP="00803AC4">
    <w:pPr>
      <w:pStyle w:val="HeaderEven"/>
    </w:pPr>
    <w:r>
      <w:rPr>
        <w:noProof/>
      </w:rPr>
      <w:pict w14:anchorId="3BD9C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104.9pt;margin-top:-94.95pt;width:339.7pt;height:203.8pt;z-index:251658242"/>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4632C" w14:textId="23ED23E6" w:rsidR="00454210" w:rsidRDefault="00454210" w:rsidP="00803AC4">
    <w:pPr>
      <w:pStyle w:val="HeaderEven"/>
    </w:pPr>
    <w:r w:rsidRPr="00497BA7">
      <w:rPr>
        <w:rStyle w:val="PageNumber"/>
        <w:rFonts w:ascii="Calibri" w:hAnsi="Calibri"/>
        <w:color w:val="477B59" w:themeColor="accent1"/>
        <w:szCs w:val="20"/>
      </w:rPr>
      <w:fldChar w:fldCharType="begin"/>
    </w:r>
    <w:r w:rsidRPr="00497BA7">
      <w:rPr>
        <w:rStyle w:val="PageNumber"/>
        <w:rFonts w:ascii="Calibri" w:hAnsi="Calibri"/>
        <w:color w:val="477B59" w:themeColor="accent1"/>
        <w:szCs w:val="20"/>
      </w:rPr>
      <w:instrText xml:space="preserve"> TITLE   \* MERGEFORMAT </w:instrText>
    </w:r>
    <w:r w:rsidRPr="00497BA7">
      <w:rPr>
        <w:rStyle w:val="PageNumber"/>
        <w:rFonts w:ascii="Calibri" w:hAnsi="Calibri"/>
        <w:color w:val="477B59" w:themeColor="accent1"/>
        <w:szCs w:val="20"/>
      </w:rPr>
      <w:fldChar w:fldCharType="separate"/>
    </w:r>
    <w:r w:rsidR="00D04DB1">
      <w:rPr>
        <w:rStyle w:val="PageNumber"/>
        <w:rFonts w:ascii="Calibri" w:hAnsi="Calibri"/>
        <w:color w:val="477B59" w:themeColor="accent1"/>
        <w:szCs w:val="20"/>
      </w:rPr>
      <w:t>Foreign Investment Review Board Annual Report 2019-20</w:t>
    </w:r>
    <w:r w:rsidRPr="00497BA7">
      <w:rPr>
        <w:rStyle w:val="PageNumber"/>
        <w:rFonts w:ascii="Calibri" w:hAnsi="Calibri"/>
        <w:color w:val="477B59" w:themeColor="accent1"/>
        <w:szCs w:val="20"/>
      </w:rPr>
      <w:fldChar w:fldCharType="end"/>
    </w:r>
    <w:r w:rsidR="00671015">
      <w:rPr>
        <w:noProof/>
      </w:rPr>
      <w:pict w14:anchorId="4874BC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104.9pt;margin-top:-94.95pt;width:339.7pt;height:203.8pt;z-index:251658243;mso-position-horizontal-relative:text;mso-position-vertical-relative:text"/>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4FF21" w14:textId="656F33A1" w:rsidR="00454210" w:rsidRPr="00F6633B" w:rsidRDefault="00671015" w:rsidP="00937DBF">
    <w:pPr>
      <w:pStyle w:val="Header"/>
      <w:jc w:val="right"/>
    </w:pPr>
    <w:r>
      <w:fldChar w:fldCharType="begin"/>
    </w:r>
    <w:r>
      <w:instrText xml:space="preserve"> STYLEREF  "Heading 1"  \* MERGEFORMAT </w:instrText>
    </w:r>
    <w:r>
      <w:fldChar w:fldCharType="separate"/>
    </w:r>
    <w:r w:rsidR="00D04DB1">
      <w:rPr>
        <w:noProof/>
      </w:rPr>
      <w:t>Chapter Four: Compliance</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14725" w14:textId="77777777" w:rsidR="00454210" w:rsidRPr="00803AC4" w:rsidRDefault="00671015" w:rsidP="00803AC4">
    <w:pPr>
      <w:pStyle w:val="Header"/>
    </w:pPr>
    <w:r>
      <w:rPr>
        <w:noProof/>
      </w:rPr>
      <w:pict w14:anchorId="034EF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339.7pt;height:203.8pt;z-index:251658241"/>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E0BE6" w14:textId="77777777" w:rsidR="00454210" w:rsidRDefault="0045421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F3487" w14:textId="1CA8C27F" w:rsidR="00454210" w:rsidRPr="000376F1" w:rsidRDefault="00671015" w:rsidP="00937DBF">
    <w:pPr>
      <w:pStyle w:val="Header"/>
      <w:jc w:val="right"/>
    </w:pPr>
    <w:r>
      <w:fldChar w:fldCharType="begin"/>
    </w:r>
    <w:r>
      <w:instrText xml:space="preserve"> STYLEREF  "Appendix Heading"  \* MERGEFORMAT </w:instrText>
    </w:r>
    <w:r>
      <w:fldChar w:fldCharType="separate"/>
    </w:r>
    <w:r w:rsidR="00D04DB1" w:rsidRPr="00D04DB1">
      <w:rPr>
        <w:noProof/>
        <w:lang w:val="en-US"/>
      </w:rPr>
      <w:t>Appendix D: Glossary</w:t>
    </w:r>
    <w:r>
      <w:rPr>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6795B" w14:textId="61315757" w:rsidR="00454210" w:rsidRDefault="00671015" w:rsidP="00497197">
    <w:pPr>
      <w:pStyle w:val="HeaderOdd"/>
    </w:pPr>
    <w:r>
      <w:fldChar w:fldCharType="begin"/>
    </w:r>
    <w:r>
      <w:instrText xml:space="preserve"> TITLE   \* MERGEFORMAT </w:instrText>
    </w:r>
    <w:r>
      <w:fldChar w:fldCharType="separate"/>
    </w:r>
    <w:r w:rsidR="00D04DB1">
      <w:t>Foreign Investment Review Board Annual Report 2019-20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F89EF" w14:textId="77777777" w:rsidR="00454210" w:rsidRPr="00D74D35" w:rsidRDefault="00454210" w:rsidP="00497197">
    <w:pPr>
      <w:pStyle w:val="HeaderEven"/>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6DADA" w14:textId="77777777" w:rsidR="00454210" w:rsidRDefault="00454210" w:rsidP="00F6633B">
    <w:pPr>
      <w:pStyle w:val="HeaderEven"/>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ABE3A" w14:textId="73015822" w:rsidR="00454210" w:rsidRPr="00B81342" w:rsidRDefault="00671015" w:rsidP="00B81342">
    <w:pPr>
      <w:pStyle w:val="HeaderOdd"/>
    </w:pPr>
    <w:r>
      <w:fldChar w:fldCharType="begin"/>
    </w:r>
    <w:r>
      <w:instrText xml:space="preserve"> TITLE   \* MERGEFORMAT </w:instrText>
    </w:r>
    <w:r>
      <w:fldChar w:fldCharType="separate"/>
    </w:r>
    <w:r w:rsidR="00D04DB1">
      <w:t>Foreign Investment Review Board Annual Report 2019-20</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9BB82" w14:textId="77777777" w:rsidR="00454210" w:rsidRDefault="00671015" w:rsidP="00803AC4">
    <w:pPr>
      <w:pStyle w:val="HeaderEven"/>
    </w:pPr>
    <w:r>
      <w:rPr>
        <w:noProof/>
      </w:rPr>
      <w:pict w14:anchorId="3EA46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margin-left:-104.9pt;margin-top:-94.95pt;width:339.7pt;height:203.8pt;z-index:251658240"/>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14EE9" w14:textId="2217E252" w:rsidR="00454210" w:rsidRPr="00F6633B" w:rsidRDefault="00671015" w:rsidP="00937DBF">
    <w:pPr>
      <w:pStyle w:val="Header"/>
      <w:jc w:val="right"/>
    </w:pPr>
    <w:r>
      <w:fldChar w:fldCharType="begin"/>
    </w:r>
    <w:r>
      <w:instrText xml:space="preserve"> STYLEREF  "Heading 1"  \* MERGEFORMAT </w:instrText>
    </w:r>
    <w:r>
      <w:fldChar w:fldCharType="separate"/>
    </w:r>
    <w:r w:rsidR="00D04DB1">
      <w:rPr>
        <w:noProof/>
      </w:rPr>
      <w:t>Chapter Three: Applications Data</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B9CB5" w14:textId="77777777" w:rsidR="00454210" w:rsidRPr="000376F1" w:rsidRDefault="00454210" w:rsidP="000376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1F500" w14:textId="77777777" w:rsidR="00454210" w:rsidRPr="000376F1" w:rsidRDefault="00454210" w:rsidP="000376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FF88D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0C6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204E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E812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7A30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E408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0CBA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26F9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BAAF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4DD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AE4F66"/>
    <w:multiLevelType w:val="multilevel"/>
    <w:tmpl w:val="084A47C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4C27DF"/>
    <w:multiLevelType w:val="multilevel"/>
    <w:tmpl w:val="B6D807B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9C960FD"/>
    <w:multiLevelType w:val="multilevel"/>
    <w:tmpl w:val="9E2A2866"/>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3" w15:restartNumberingAfterBreak="0">
    <w:nsid w:val="1BFB30DC"/>
    <w:multiLevelType w:val="hybridMultilevel"/>
    <w:tmpl w:val="424A844C"/>
    <w:lvl w:ilvl="0" w:tplc="0EAE9A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C62640"/>
    <w:multiLevelType w:val="hybridMultilevel"/>
    <w:tmpl w:val="5A48F05E"/>
    <w:lvl w:ilvl="0" w:tplc="5A26E150">
      <w:start w:val="1"/>
      <w:numFmt w:val="bullet"/>
      <w:pStyle w:val="TableText-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4237C5"/>
    <w:multiLevelType w:val="multilevel"/>
    <w:tmpl w:val="F0BE3518"/>
    <w:name w:val="StandardNumberedList"/>
    <w:lvl w:ilvl="0">
      <w:start w:val="1"/>
      <w:numFmt w:val="decimal"/>
      <w:lvlRestart w:val="0"/>
      <w:pStyle w:val="OutlineNumbered1"/>
      <w:lvlText w:val="%1."/>
      <w:lvlJc w:val="left"/>
      <w:pPr>
        <w:tabs>
          <w:tab w:val="num" w:pos="567"/>
        </w:tabs>
        <w:ind w:left="567" w:hanging="567"/>
      </w:pPr>
      <w:rPr>
        <w:b w:val="0"/>
        <w:i w:val="0"/>
      </w:rPr>
    </w:lvl>
    <w:lvl w:ilvl="1">
      <w:start w:val="1"/>
      <w:numFmt w:val="decimal"/>
      <w:pStyle w:val="OutlineNumbered2"/>
      <w:lvlText w:val="%1.%2."/>
      <w:lvlJc w:val="left"/>
      <w:pPr>
        <w:tabs>
          <w:tab w:val="num" w:pos="1134"/>
        </w:tabs>
        <w:ind w:left="1134" w:hanging="567"/>
      </w:pPr>
      <w:rPr>
        <w:b w:val="0"/>
        <w:i w:val="0"/>
      </w:rPr>
    </w:lvl>
    <w:lvl w:ilvl="2">
      <w:start w:val="1"/>
      <w:numFmt w:val="decimal"/>
      <w:pStyle w:val="OutlineNumbered3"/>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27440C8B"/>
    <w:multiLevelType w:val="multilevel"/>
    <w:tmpl w:val="9560F99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2BEA786A"/>
    <w:multiLevelType w:val="multilevel"/>
    <w:tmpl w:val="C2664A28"/>
    <w:name w:val="AppendixAHeadingsNoItalics"/>
    <w:lvl w:ilvl="0">
      <w:start w:val="1"/>
      <w:numFmt w:val="decimal"/>
      <w:lvlRestart w:val="0"/>
      <w:lvlText w:val="%1."/>
      <w:lvlJc w:val="left"/>
      <w:pPr>
        <w:tabs>
          <w:tab w:val="num" w:pos="567"/>
        </w:tabs>
        <w:ind w:left="567" w:hanging="567"/>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567"/>
        </w:tabs>
        <w:ind w:left="0" w:firstLine="0"/>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8" w15:restartNumberingAfterBreak="0">
    <w:nsid w:val="2C723F30"/>
    <w:multiLevelType w:val="singleLevel"/>
    <w:tmpl w:val="1430D9F2"/>
    <w:name w:val="StandardNumberedParagraphList"/>
    <w:lvl w:ilvl="0">
      <w:start w:val="2"/>
      <w:numFmt w:val="decimal"/>
      <w:pStyle w:val="NumberedParagraph"/>
      <w:lvlText w:val="%1."/>
      <w:lvlJc w:val="left"/>
      <w:pPr>
        <w:tabs>
          <w:tab w:val="num" w:pos="567"/>
        </w:tabs>
        <w:ind w:left="0" w:firstLine="0"/>
      </w:pPr>
    </w:lvl>
  </w:abstractNum>
  <w:abstractNum w:abstractNumId="19" w15:restartNumberingAfterBreak="0">
    <w:nsid w:val="308C2710"/>
    <w:multiLevelType w:val="multilevel"/>
    <w:tmpl w:val="7026C81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0" w15:restartNumberingAfterBreak="0">
    <w:nsid w:val="312C1B26"/>
    <w:multiLevelType w:val="multilevel"/>
    <w:tmpl w:val="C25AB2AE"/>
    <w:name w:val="AppendixAHeading3"/>
    <w:lvl w:ilvl="0">
      <w:start w:val="1"/>
      <w:numFmt w:val="decimal"/>
      <w:lvlRestart w:val="0"/>
      <w:lvlText w:val="%1."/>
      <w:lvlJc w:val="left"/>
      <w:pPr>
        <w:tabs>
          <w:tab w:val="num" w:pos="567"/>
        </w:tabs>
        <w:ind w:left="567" w:hanging="567"/>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1" w15:restartNumberingAfterBreak="0">
    <w:nsid w:val="3C012BBF"/>
    <w:multiLevelType w:val="hybridMultilevel"/>
    <w:tmpl w:val="3124C1EA"/>
    <w:lvl w:ilvl="0" w:tplc="B218DE90">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294E86"/>
    <w:multiLevelType w:val="hybridMultilevel"/>
    <w:tmpl w:val="2996CFE4"/>
    <w:lvl w:ilvl="0" w:tplc="572C8D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865E61"/>
    <w:multiLevelType w:val="multilevel"/>
    <w:tmpl w:val="FE94383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A6F47A8"/>
    <w:multiLevelType w:val="hybridMultilevel"/>
    <w:tmpl w:val="73A04E56"/>
    <w:lvl w:ilvl="0" w:tplc="8892E498">
      <w:start w:val="1"/>
      <w:numFmt w:val="lowerLetter"/>
      <w:pStyle w:val="ChartorTableFootnote"/>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B177D1E"/>
    <w:multiLevelType w:val="hybridMultilevel"/>
    <w:tmpl w:val="644AC3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7" w15:restartNumberingAfterBreak="0">
    <w:nsid w:val="51F742A0"/>
    <w:multiLevelType w:val="hybridMultilevel"/>
    <w:tmpl w:val="6ABE51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9" w15:restartNumberingAfterBreak="0">
    <w:nsid w:val="5DFC5A00"/>
    <w:multiLevelType w:val="hybridMultilevel"/>
    <w:tmpl w:val="13F025E6"/>
    <w:lvl w:ilvl="0" w:tplc="2CAC36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0A6F8D"/>
    <w:multiLevelType w:val="multilevel"/>
    <w:tmpl w:val="51941ED6"/>
    <w:name w:val="RecommendationBulletedList"/>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1" w15:restartNumberingAfterBreak="0">
    <w:nsid w:val="6C4A2A33"/>
    <w:multiLevelType w:val="hybridMultilevel"/>
    <w:tmpl w:val="9B1E6794"/>
    <w:lvl w:ilvl="0" w:tplc="F634B7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5C5C9F"/>
    <w:multiLevelType w:val="hybridMultilevel"/>
    <w:tmpl w:val="0600A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8C0AFD"/>
    <w:multiLevelType w:val="hybridMultilevel"/>
    <w:tmpl w:val="8E281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6"/>
  </w:num>
  <w:num w:numId="4">
    <w:abstractNumId w:val="12"/>
  </w:num>
  <w:num w:numId="5">
    <w:abstractNumId w:val="18"/>
  </w:num>
  <w:num w:numId="6">
    <w:abstractNumId w:val="24"/>
  </w:num>
  <w:num w:numId="7">
    <w:abstractNumId w:val="26"/>
    <w:lvlOverride w:ilvl="0">
      <w:startOverride w:val="1"/>
    </w:lvlOverride>
  </w:num>
  <w:num w:numId="8">
    <w:abstractNumId w:val="24"/>
    <w:lvlOverride w:ilvl="0">
      <w:startOverride w:val="1"/>
    </w:lvlOverride>
  </w:num>
  <w:num w:numId="9">
    <w:abstractNumId w:val="24"/>
    <w:lvlOverride w:ilvl="0">
      <w:startOverride w:val="1"/>
    </w:lvlOverride>
  </w:num>
  <w:num w:numId="10">
    <w:abstractNumId w:val="24"/>
    <w:lvlOverride w:ilvl="0">
      <w:startOverride w:val="1"/>
    </w:lvlOverride>
  </w:num>
  <w:num w:numId="11">
    <w:abstractNumId w:val="24"/>
    <w:lvlOverride w:ilvl="0">
      <w:startOverride w:val="1"/>
    </w:lvlOverride>
  </w:num>
  <w:num w:numId="12">
    <w:abstractNumId w:val="26"/>
    <w:lvlOverride w:ilvl="0">
      <w:startOverride w:val="1"/>
    </w:lvlOverride>
  </w:num>
  <w:num w:numId="13">
    <w:abstractNumId w:val="26"/>
    <w:lvlOverride w:ilvl="0">
      <w:startOverride w:val="1"/>
    </w:lvlOverride>
  </w:num>
  <w:num w:numId="14">
    <w:abstractNumId w:val="24"/>
    <w:lvlOverride w:ilvl="0">
      <w:startOverride w:val="1"/>
    </w:lvlOverride>
  </w:num>
  <w:num w:numId="15">
    <w:abstractNumId w:val="24"/>
    <w:lvlOverride w:ilvl="0">
      <w:startOverride w:val="1"/>
    </w:lvlOverride>
  </w:num>
  <w:num w:numId="16">
    <w:abstractNumId w:val="24"/>
    <w:lvlOverride w:ilvl="0">
      <w:startOverride w:val="1"/>
    </w:lvlOverride>
  </w:num>
  <w:num w:numId="17">
    <w:abstractNumId w:val="24"/>
    <w:lvlOverride w:ilvl="0">
      <w:startOverride w:val="1"/>
    </w:lvlOverride>
  </w:num>
  <w:num w:numId="18">
    <w:abstractNumId w:val="27"/>
  </w:num>
  <w:num w:numId="19">
    <w:abstractNumId w:val="13"/>
  </w:num>
  <w:num w:numId="20">
    <w:abstractNumId w:val="24"/>
    <w:lvlOverride w:ilvl="0">
      <w:startOverride w:val="1"/>
    </w:lvlOverride>
  </w:num>
  <w:num w:numId="21">
    <w:abstractNumId w:val="24"/>
    <w:lvlOverride w:ilvl="0">
      <w:startOverride w:val="1"/>
    </w:lvlOverride>
  </w:num>
  <w:num w:numId="22">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4"/>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2"/>
  </w:num>
  <w:num w:numId="36">
    <w:abstractNumId w:val="23"/>
  </w:num>
  <w:num w:numId="37">
    <w:abstractNumId w:val="10"/>
  </w:num>
  <w:num w:numId="38">
    <w:abstractNumId w:val="29"/>
  </w:num>
  <w:num w:numId="39">
    <w:abstractNumId w:val="22"/>
  </w:num>
  <w:num w:numId="40">
    <w:abstractNumId w:val="24"/>
    <w:lvlOverride w:ilvl="0">
      <w:startOverride w:val="1"/>
    </w:lvlOverride>
  </w:num>
  <w:num w:numId="41">
    <w:abstractNumId w:val="25"/>
  </w:num>
  <w:num w:numId="42">
    <w:abstractNumId w:val="24"/>
  </w:num>
  <w:num w:numId="43">
    <w:abstractNumId w:val="16"/>
  </w:num>
  <w:num w:numId="44">
    <w:abstractNumId w:val="16"/>
  </w:num>
  <w:num w:numId="45">
    <w:abstractNumId w:val="16"/>
  </w:num>
  <w:num w:numId="46">
    <w:abstractNumId w:val="16"/>
  </w:num>
  <w:num w:numId="47">
    <w:abstractNumId w:val="33"/>
  </w:num>
  <w:num w:numId="48">
    <w:abstractNumId w:val="31"/>
  </w:num>
  <w:num w:numId="49">
    <w:abstractNumId w:val="24"/>
    <w:lvlOverride w:ilvl="0">
      <w:startOverride w:val="1"/>
    </w:lvlOverride>
  </w:num>
  <w:num w:numId="50">
    <w:abstractNumId w:val="19"/>
  </w:num>
  <w:num w:numId="51">
    <w:abstractNumId w:val="16"/>
  </w:num>
  <w:num w:numId="52">
    <w:abstractNumId w:val="26"/>
    <w:lvlOverride w:ilvl="0">
      <w:startOverride w:val="1"/>
    </w:lvlOverride>
  </w:num>
  <w:num w:numId="53">
    <w:abstractNumId w:val="26"/>
    <w:lvlOverride w:ilvl="0">
      <w:startOverride w:val="1"/>
    </w:lvlOverride>
  </w:num>
  <w:num w:numId="54">
    <w:abstractNumId w:val="26"/>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7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299"/>
    <w:rsid w:val="0000001D"/>
    <w:rsid w:val="000000EC"/>
    <w:rsid w:val="000019C8"/>
    <w:rsid w:val="00001D42"/>
    <w:rsid w:val="00001D55"/>
    <w:rsid w:val="00001E13"/>
    <w:rsid w:val="00001E4D"/>
    <w:rsid w:val="0000256F"/>
    <w:rsid w:val="0000337A"/>
    <w:rsid w:val="000042BE"/>
    <w:rsid w:val="00004C55"/>
    <w:rsid w:val="00005634"/>
    <w:rsid w:val="00006CA3"/>
    <w:rsid w:val="0000722A"/>
    <w:rsid w:val="00007363"/>
    <w:rsid w:val="000109A4"/>
    <w:rsid w:val="00011127"/>
    <w:rsid w:val="000112A5"/>
    <w:rsid w:val="00011419"/>
    <w:rsid w:val="000117AB"/>
    <w:rsid w:val="00012403"/>
    <w:rsid w:val="00014755"/>
    <w:rsid w:val="00014A13"/>
    <w:rsid w:val="000156F1"/>
    <w:rsid w:val="00015A49"/>
    <w:rsid w:val="00015B9B"/>
    <w:rsid w:val="00017212"/>
    <w:rsid w:val="000207A1"/>
    <w:rsid w:val="00021756"/>
    <w:rsid w:val="00023350"/>
    <w:rsid w:val="00023C48"/>
    <w:rsid w:val="0002400F"/>
    <w:rsid w:val="00024238"/>
    <w:rsid w:val="0002473A"/>
    <w:rsid w:val="00024BFC"/>
    <w:rsid w:val="000272AE"/>
    <w:rsid w:val="000302FB"/>
    <w:rsid w:val="0003226A"/>
    <w:rsid w:val="0003267E"/>
    <w:rsid w:val="00033812"/>
    <w:rsid w:val="00034B5E"/>
    <w:rsid w:val="00034C61"/>
    <w:rsid w:val="000350FF"/>
    <w:rsid w:val="00035E25"/>
    <w:rsid w:val="000376F1"/>
    <w:rsid w:val="0004056B"/>
    <w:rsid w:val="00040DE0"/>
    <w:rsid w:val="0004233A"/>
    <w:rsid w:val="00042486"/>
    <w:rsid w:val="00042A27"/>
    <w:rsid w:val="000440C7"/>
    <w:rsid w:val="0004432B"/>
    <w:rsid w:val="0004637E"/>
    <w:rsid w:val="00046AD3"/>
    <w:rsid w:val="00046F13"/>
    <w:rsid w:val="0004769B"/>
    <w:rsid w:val="00047F07"/>
    <w:rsid w:val="00050886"/>
    <w:rsid w:val="00051685"/>
    <w:rsid w:val="00051C41"/>
    <w:rsid w:val="00051C6D"/>
    <w:rsid w:val="00055293"/>
    <w:rsid w:val="00055D97"/>
    <w:rsid w:val="00055EE0"/>
    <w:rsid w:val="00056C48"/>
    <w:rsid w:val="00060ACB"/>
    <w:rsid w:val="00060DB2"/>
    <w:rsid w:val="00062DAF"/>
    <w:rsid w:val="00063809"/>
    <w:rsid w:val="00064D27"/>
    <w:rsid w:val="00065FB2"/>
    <w:rsid w:val="00070552"/>
    <w:rsid w:val="00071693"/>
    <w:rsid w:val="00072B2D"/>
    <w:rsid w:val="00073204"/>
    <w:rsid w:val="00075AB9"/>
    <w:rsid w:val="000773DB"/>
    <w:rsid w:val="00077532"/>
    <w:rsid w:val="00077B5C"/>
    <w:rsid w:val="00077F8A"/>
    <w:rsid w:val="00080A3F"/>
    <w:rsid w:val="000814CB"/>
    <w:rsid w:val="000818A0"/>
    <w:rsid w:val="00082B4B"/>
    <w:rsid w:val="0008397C"/>
    <w:rsid w:val="00084C91"/>
    <w:rsid w:val="000853B3"/>
    <w:rsid w:val="00086030"/>
    <w:rsid w:val="00086882"/>
    <w:rsid w:val="00090976"/>
    <w:rsid w:val="0009159C"/>
    <w:rsid w:val="000917D6"/>
    <w:rsid w:val="00091941"/>
    <w:rsid w:val="00092A3A"/>
    <w:rsid w:val="00093A04"/>
    <w:rsid w:val="00095160"/>
    <w:rsid w:val="00096661"/>
    <w:rsid w:val="0009684C"/>
    <w:rsid w:val="000A0325"/>
    <w:rsid w:val="000A035F"/>
    <w:rsid w:val="000A05A7"/>
    <w:rsid w:val="000A08C2"/>
    <w:rsid w:val="000A0BB2"/>
    <w:rsid w:val="000A1514"/>
    <w:rsid w:val="000A1EF4"/>
    <w:rsid w:val="000A20BC"/>
    <w:rsid w:val="000A3962"/>
    <w:rsid w:val="000A45EE"/>
    <w:rsid w:val="000A665A"/>
    <w:rsid w:val="000B0BF3"/>
    <w:rsid w:val="000B195E"/>
    <w:rsid w:val="000B1CB0"/>
    <w:rsid w:val="000B2082"/>
    <w:rsid w:val="000B24BF"/>
    <w:rsid w:val="000B25FC"/>
    <w:rsid w:val="000B30A5"/>
    <w:rsid w:val="000B36A6"/>
    <w:rsid w:val="000B3CFF"/>
    <w:rsid w:val="000B5E08"/>
    <w:rsid w:val="000B6F64"/>
    <w:rsid w:val="000C1AEA"/>
    <w:rsid w:val="000C204B"/>
    <w:rsid w:val="000C28DC"/>
    <w:rsid w:val="000C2BF9"/>
    <w:rsid w:val="000C2EF2"/>
    <w:rsid w:val="000C378E"/>
    <w:rsid w:val="000C40FA"/>
    <w:rsid w:val="000C481E"/>
    <w:rsid w:val="000C7BAB"/>
    <w:rsid w:val="000D01EC"/>
    <w:rsid w:val="000D06F2"/>
    <w:rsid w:val="000D1D7B"/>
    <w:rsid w:val="000D1DDB"/>
    <w:rsid w:val="000D2076"/>
    <w:rsid w:val="000D482C"/>
    <w:rsid w:val="000D59D0"/>
    <w:rsid w:val="000D6169"/>
    <w:rsid w:val="000D6832"/>
    <w:rsid w:val="000D6976"/>
    <w:rsid w:val="000E009E"/>
    <w:rsid w:val="000E08BC"/>
    <w:rsid w:val="000E09DE"/>
    <w:rsid w:val="000E2A5D"/>
    <w:rsid w:val="000E2BEC"/>
    <w:rsid w:val="000E2D75"/>
    <w:rsid w:val="000E2EC9"/>
    <w:rsid w:val="000E2FAF"/>
    <w:rsid w:val="000E35D7"/>
    <w:rsid w:val="000E39C8"/>
    <w:rsid w:val="000E54D0"/>
    <w:rsid w:val="000E5617"/>
    <w:rsid w:val="000E5A17"/>
    <w:rsid w:val="000E6041"/>
    <w:rsid w:val="000F08A5"/>
    <w:rsid w:val="000F0D88"/>
    <w:rsid w:val="000F1514"/>
    <w:rsid w:val="000F1FC7"/>
    <w:rsid w:val="000F3580"/>
    <w:rsid w:val="000F5DC3"/>
    <w:rsid w:val="000F7583"/>
    <w:rsid w:val="000F7969"/>
    <w:rsid w:val="0010126C"/>
    <w:rsid w:val="001014F0"/>
    <w:rsid w:val="00101520"/>
    <w:rsid w:val="00101B07"/>
    <w:rsid w:val="001042E8"/>
    <w:rsid w:val="001046CB"/>
    <w:rsid w:val="00104AD2"/>
    <w:rsid w:val="00104B68"/>
    <w:rsid w:val="001062CC"/>
    <w:rsid w:val="001069C5"/>
    <w:rsid w:val="00107BEC"/>
    <w:rsid w:val="00110772"/>
    <w:rsid w:val="00110F90"/>
    <w:rsid w:val="00111375"/>
    <w:rsid w:val="001124A4"/>
    <w:rsid w:val="001124E9"/>
    <w:rsid w:val="001128AF"/>
    <w:rsid w:val="00113355"/>
    <w:rsid w:val="00116944"/>
    <w:rsid w:val="00116A33"/>
    <w:rsid w:val="00116FBC"/>
    <w:rsid w:val="0012006A"/>
    <w:rsid w:val="00120945"/>
    <w:rsid w:val="001211EA"/>
    <w:rsid w:val="001215C6"/>
    <w:rsid w:val="00121BFA"/>
    <w:rsid w:val="00121D82"/>
    <w:rsid w:val="00123729"/>
    <w:rsid w:val="00123754"/>
    <w:rsid w:val="00125B1D"/>
    <w:rsid w:val="00131F19"/>
    <w:rsid w:val="0013280D"/>
    <w:rsid w:val="00133BBD"/>
    <w:rsid w:val="00134265"/>
    <w:rsid w:val="001344DA"/>
    <w:rsid w:val="00134AF2"/>
    <w:rsid w:val="0013608A"/>
    <w:rsid w:val="0013647B"/>
    <w:rsid w:val="0013673F"/>
    <w:rsid w:val="00140D00"/>
    <w:rsid w:val="001412DD"/>
    <w:rsid w:val="00141506"/>
    <w:rsid w:val="0014240B"/>
    <w:rsid w:val="00142D15"/>
    <w:rsid w:val="0014470B"/>
    <w:rsid w:val="00144AC1"/>
    <w:rsid w:val="0014522B"/>
    <w:rsid w:val="00146F4A"/>
    <w:rsid w:val="00147344"/>
    <w:rsid w:val="0014763E"/>
    <w:rsid w:val="0015127A"/>
    <w:rsid w:val="00151921"/>
    <w:rsid w:val="001532A8"/>
    <w:rsid w:val="001542F9"/>
    <w:rsid w:val="001546E6"/>
    <w:rsid w:val="00154B00"/>
    <w:rsid w:val="001552D1"/>
    <w:rsid w:val="0015547D"/>
    <w:rsid w:val="001558D2"/>
    <w:rsid w:val="00155F75"/>
    <w:rsid w:val="001578EB"/>
    <w:rsid w:val="001607BB"/>
    <w:rsid w:val="00160ADA"/>
    <w:rsid w:val="001620FE"/>
    <w:rsid w:val="001629E1"/>
    <w:rsid w:val="00162E26"/>
    <w:rsid w:val="001639C7"/>
    <w:rsid w:val="00163FAA"/>
    <w:rsid w:val="00164CE1"/>
    <w:rsid w:val="00165D59"/>
    <w:rsid w:val="001666C1"/>
    <w:rsid w:val="0016707F"/>
    <w:rsid w:val="00167AFC"/>
    <w:rsid w:val="001703ED"/>
    <w:rsid w:val="00171C28"/>
    <w:rsid w:val="00171DDB"/>
    <w:rsid w:val="00171F29"/>
    <w:rsid w:val="00172858"/>
    <w:rsid w:val="00172AAF"/>
    <w:rsid w:val="00174407"/>
    <w:rsid w:val="001757A3"/>
    <w:rsid w:val="00176E43"/>
    <w:rsid w:val="00177105"/>
    <w:rsid w:val="0017756D"/>
    <w:rsid w:val="001776D8"/>
    <w:rsid w:val="00177740"/>
    <w:rsid w:val="00177D40"/>
    <w:rsid w:val="00177F6D"/>
    <w:rsid w:val="001806C7"/>
    <w:rsid w:val="00180F61"/>
    <w:rsid w:val="001826F9"/>
    <w:rsid w:val="00183FEA"/>
    <w:rsid w:val="00185629"/>
    <w:rsid w:val="001856EB"/>
    <w:rsid w:val="00186076"/>
    <w:rsid w:val="0018666A"/>
    <w:rsid w:val="0018667F"/>
    <w:rsid w:val="00186AA3"/>
    <w:rsid w:val="001870A6"/>
    <w:rsid w:val="00190289"/>
    <w:rsid w:val="00191EF9"/>
    <w:rsid w:val="001933E1"/>
    <w:rsid w:val="00194CC8"/>
    <w:rsid w:val="001951C9"/>
    <w:rsid w:val="001953A2"/>
    <w:rsid w:val="0019599C"/>
    <w:rsid w:val="001965CF"/>
    <w:rsid w:val="001A0673"/>
    <w:rsid w:val="001A279A"/>
    <w:rsid w:val="001A2958"/>
    <w:rsid w:val="001A2B46"/>
    <w:rsid w:val="001A3116"/>
    <w:rsid w:val="001A5FCA"/>
    <w:rsid w:val="001A6243"/>
    <w:rsid w:val="001A6701"/>
    <w:rsid w:val="001A72FF"/>
    <w:rsid w:val="001B1E15"/>
    <w:rsid w:val="001B271F"/>
    <w:rsid w:val="001B2BDF"/>
    <w:rsid w:val="001B2D4C"/>
    <w:rsid w:val="001B33DC"/>
    <w:rsid w:val="001B3CF4"/>
    <w:rsid w:val="001B450C"/>
    <w:rsid w:val="001B461E"/>
    <w:rsid w:val="001B4DB0"/>
    <w:rsid w:val="001B53B5"/>
    <w:rsid w:val="001B57FA"/>
    <w:rsid w:val="001B5F8A"/>
    <w:rsid w:val="001B64FA"/>
    <w:rsid w:val="001B655F"/>
    <w:rsid w:val="001B726B"/>
    <w:rsid w:val="001C0637"/>
    <w:rsid w:val="001C0DDD"/>
    <w:rsid w:val="001C2394"/>
    <w:rsid w:val="001C27EC"/>
    <w:rsid w:val="001C429D"/>
    <w:rsid w:val="001C5D05"/>
    <w:rsid w:val="001C6603"/>
    <w:rsid w:val="001C675F"/>
    <w:rsid w:val="001C6C43"/>
    <w:rsid w:val="001C729A"/>
    <w:rsid w:val="001C7985"/>
    <w:rsid w:val="001C7EE6"/>
    <w:rsid w:val="001D14C8"/>
    <w:rsid w:val="001D34BE"/>
    <w:rsid w:val="001D47CC"/>
    <w:rsid w:val="001D47EF"/>
    <w:rsid w:val="001D6B08"/>
    <w:rsid w:val="001D6B0F"/>
    <w:rsid w:val="001D7AD6"/>
    <w:rsid w:val="001E0872"/>
    <w:rsid w:val="001E20E4"/>
    <w:rsid w:val="001E28FB"/>
    <w:rsid w:val="001E3315"/>
    <w:rsid w:val="001E363B"/>
    <w:rsid w:val="001E3806"/>
    <w:rsid w:val="001E4ABB"/>
    <w:rsid w:val="001E5DA1"/>
    <w:rsid w:val="001E6053"/>
    <w:rsid w:val="001E64C2"/>
    <w:rsid w:val="001E7941"/>
    <w:rsid w:val="001F02C8"/>
    <w:rsid w:val="001F031F"/>
    <w:rsid w:val="001F21F3"/>
    <w:rsid w:val="001F34B6"/>
    <w:rsid w:val="001F3544"/>
    <w:rsid w:val="001F4219"/>
    <w:rsid w:val="001F4A7D"/>
    <w:rsid w:val="001F4E46"/>
    <w:rsid w:val="001F5C9B"/>
    <w:rsid w:val="001F5EA2"/>
    <w:rsid w:val="001F5EEA"/>
    <w:rsid w:val="001F6E65"/>
    <w:rsid w:val="001F7390"/>
    <w:rsid w:val="00200537"/>
    <w:rsid w:val="00201A0D"/>
    <w:rsid w:val="0020203D"/>
    <w:rsid w:val="00203133"/>
    <w:rsid w:val="00203249"/>
    <w:rsid w:val="002033C3"/>
    <w:rsid w:val="002035BE"/>
    <w:rsid w:val="00205212"/>
    <w:rsid w:val="00205A2A"/>
    <w:rsid w:val="00205ECC"/>
    <w:rsid w:val="00205F9C"/>
    <w:rsid w:val="0020659C"/>
    <w:rsid w:val="00206FE6"/>
    <w:rsid w:val="002109F2"/>
    <w:rsid w:val="002113E2"/>
    <w:rsid w:val="00211766"/>
    <w:rsid w:val="00211943"/>
    <w:rsid w:val="002126E2"/>
    <w:rsid w:val="00212CD3"/>
    <w:rsid w:val="00212D07"/>
    <w:rsid w:val="00212F0D"/>
    <w:rsid w:val="00212F52"/>
    <w:rsid w:val="002151EB"/>
    <w:rsid w:val="00215AD1"/>
    <w:rsid w:val="00216901"/>
    <w:rsid w:val="00217031"/>
    <w:rsid w:val="002179DD"/>
    <w:rsid w:val="0022029E"/>
    <w:rsid w:val="00221799"/>
    <w:rsid w:val="00222164"/>
    <w:rsid w:val="00223ADB"/>
    <w:rsid w:val="0022566A"/>
    <w:rsid w:val="00226D8B"/>
    <w:rsid w:val="002271E8"/>
    <w:rsid w:val="0023012D"/>
    <w:rsid w:val="00230D2D"/>
    <w:rsid w:val="00231445"/>
    <w:rsid w:val="002323CB"/>
    <w:rsid w:val="00232C47"/>
    <w:rsid w:val="00233918"/>
    <w:rsid w:val="00233A03"/>
    <w:rsid w:val="002354E2"/>
    <w:rsid w:val="00235BDC"/>
    <w:rsid w:val="00236870"/>
    <w:rsid w:val="002407BC"/>
    <w:rsid w:val="00240AE2"/>
    <w:rsid w:val="00240C55"/>
    <w:rsid w:val="00241333"/>
    <w:rsid w:val="00241852"/>
    <w:rsid w:val="0024327B"/>
    <w:rsid w:val="002435EF"/>
    <w:rsid w:val="00243FFB"/>
    <w:rsid w:val="0024464F"/>
    <w:rsid w:val="002467C0"/>
    <w:rsid w:val="00246903"/>
    <w:rsid w:val="00247EC8"/>
    <w:rsid w:val="002517EE"/>
    <w:rsid w:val="002520AF"/>
    <w:rsid w:val="00252661"/>
    <w:rsid w:val="00252E69"/>
    <w:rsid w:val="00253BF7"/>
    <w:rsid w:val="00254DA2"/>
    <w:rsid w:val="00255E3B"/>
    <w:rsid w:val="00256957"/>
    <w:rsid w:val="00257007"/>
    <w:rsid w:val="00257419"/>
    <w:rsid w:val="002577AF"/>
    <w:rsid w:val="00260106"/>
    <w:rsid w:val="002601B6"/>
    <w:rsid w:val="0026166C"/>
    <w:rsid w:val="00263417"/>
    <w:rsid w:val="002640A3"/>
    <w:rsid w:val="00264DAF"/>
    <w:rsid w:val="002668FF"/>
    <w:rsid w:val="002710E9"/>
    <w:rsid w:val="0027135C"/>
    <w:rsid w:val="00271F22"/>
    <w:rsid w:val="0027314A"/>
    <w:rsid w:val="002736B9"/>
    <w:rsid w:val="00273E9B"/>
    <w:rsid w:val="00274287"/>
    <w:rsid w:val="002744B3"/>
    <w:rsid w:val="00276108"/>
    <w:rsid w:val="002766F3"/>
    <w:rsid w:val="0028075C"/>
    <w:rsid w:val="002834CA"/>
    <w:rsid w:val="00284D3B"/>
    <w:rsid w:val="002851AF"/>
    <w:rsid w:val="002852ED"/>
    <w:rsid w:val="0028562D"/>
    <w:rsid w:val="00285637"/>
    <w:rsid w:val="002865BA"/>
    <w:rsid w:val="00286EC8"/>
    <w:rsid w:val="00290378"/>
    <w:rsid w:val="00290CDD"/>
    <w:rsid w:val="00291872"/>
    <w:rsid w:val="00291E9D"/>
    <w:rsid w:val="00292E5C"/>
    <w:rsid w:val="00294B21"/>
    <w:rsid w:val="00294D7F"/>
    <w:rsid w:val="00294FCF"/>
    <w:rsid w:val="002958BD"/>
    <w:rsid w:val="00295F29"/>
    <w:rsid w:val="00296AC6"/>
    <w:rsid w:val="00296DEB"/>
    <w:rsid w:val="002A039E"/>
    <w:rsid w:val="002A0955"/>
    <w:rsid w:val="002A2E21"/>
    <w:rsid w:val="002A364A"/>
    <w:rsid w:val="002A3B5B"/>
    <w:rsid w:val="002A3E4A"/>
    <w:rsid w:val="002A58F6"/>
    <w:rsid w:val="002A5F78"/>
    <w:rsid w:val="002A5FAE"/>
    <w:rsid w:val="002A7544"/>
    <w:rsid w:val="002B0AF6"/>
    <w:rsid w:val="002B0CBD"/>
    <w:rsid w:val="002B0E0E"/>
    <w:rsid w:val="002B1057"/>
    <w:rsid w:val="002B138A"/>
    <w:rsid w:val="002B2E51"/>
    <w:rsid w:val="002B334D"/>
    <w:rsid w:val="002B372E"/>
    <w:rsid w:val="002B39AD"/>
    <w:rsid w:val="002B3C03"/>
    <w:rsid w:val="002B5CD9"/>
    <w:rsid w:val="002B6322"/>
    <w:rsid w:val="002B646A"/>
    <w:rsid w:val="002B71D1"/>
    <w:rsid w:val="002B7488"/>
    <w:rsid w:val="002C1599"/>
    <w:rsid w:val="002C261B"/>
    <w:rsid w:val="002C2846"/>
    <w:rsid w:val="002C39FB"/>
    <w:rsid w:val="002C4C19"/>
    <w:rsid w:val="002C519F"/>
    <w:rsid w:val="002C5D61"/>
    <w:rsid w:val="002C5DDE"/>
    <w:rsid w:val="002C667B"/>
    <w:rsid w:val="002C70F9"/>
    <w:rsid w:val="002C7880"/>
    <w:rsid w:val="002C7C6E"/>
    <w:rsid w:val="002D001A"/>
    <w:rsid w:val="002D108B"/>
    <w:rsid w:val="002D1966"/>
    <w:rsid w:val="002D1D3C"/>
    <w:rsid w:val="002D32CE"/>
    <w:rsid w:val="002D331A"/>
    <w:rsid w:val="002D4227"/>
    <w:rsid w:val="002D5341"/>
    <w:rsid w:val="002D6962"/>
    <w:rsid w:val="002D7033"/>
    <w:rsid w:val="002E02C6"/>
    <w:rsid w:val="002E0557"/>
    <w:rsid w:val="002E0DA2"/>
    <w:rsid w:val="002E2469"/>
    <w:rsid w:val="002E2EFE"/>
    <w:rsid w:val="002E30A6"/>
    <w:rsid w:val="002E319A"/>
    <w:rsid w:val="002E3C0A"/>
    <w:rsid w:val="002E3C0F"/>
    <w:rsid w:val="002E3C94"/>
    <w:rsid w:val="002E4F9F"/>
    <w:rsid w:val="002E5246"/>
    <w:rsid w:val="002E55A4"/>
    <w:rsid w:val="002E5760"/>
    <w:rsid w:val="002E5ED4"/>
    <w:rsid w:val="002E7808"/>
    <w:rsid w:val="002F09F8"/>
    <w:rsid w:val="002F14D8"/>
    <w:rsid w:val="002F150A"/>
    <w:rsid w:val="002F6157"/>
    <w:rsid w:val="002F71B7"/>
    <w:rsid w:val="002F791C"/>
    <w:rsid w:val="00301EF8"/>
    <w:rsid w:val="0030281F"/>
    <w:rsid w:val="003037F6"/>
    <w:rsid w:val="00303BBF"/>
    <w:rsid w:val="00304CDB"/>
    <w:rsid w:val="0030516A"/>
    <w:rsid w:val="003051B7"/>
    <w:rsid w:val="003058AA"/>
    <w:rsid w:val="00305CCC"/>
    <w:rsid w:val="00305DA1"/>
    <w:rsid w:val="00306FF4"/>
    <w:rsid w:val="0030749E"/>
    <w:rsid w:val="003102E2"/>
    <w:rsid w:val="003103A7"/>
    <w:rsid w:val="003131AB"/>
    <w:rsid w:val="00314808"/>
    <w:rsid w:val="00314D73"/>
    <w:rsid w:val="003155C9"/>
    <w:rsid w:val="00316050"/>
    <w:rsid w:val="00317117"/>
    <w:rsid w:val="00317248"/>
    <w:rsid w:val="00322919"/>
    <w:rsid w:val="00330D21"/>
    <w:rsid w:val="00331161"/>
    <w:rsid w:val="003319CF"/>
    <w:rsid w:val="00333373"/>
    <w:rsid w:val="00333F1C"/>
    <w:rsid w:val="003342F4"/>
    <w:rsid w:val="00335964"/>
    <w:rsid w:val="00335D31"/>
    <w:rsid w:val="00336D6D"/>
    <w:rsid w:val="003409A4"/>
    <w:rsid w:val="00341562"/>
    <w:rsid w:val="003445BC"/>
    <w:rsid w:val="003451EF"/>
    <w:rsid w:val="00345B7F"/>
    <w:rsid w:val="00345EC4"/>
    <w:rsid w:val="0034625F"/>
    <w:rsid w:val="003471F6"/>
    <w:rsid w:val="003505DE"/>
    <w:rsid w:val="00352019"/>
    <w:rsid w:val="003523C6"/>
    <w:rsid w:val="00355249"/>
    <w:rsid w:val="0035598A"/>
    <w:rsid w:val="00357BB1"/>
    <w:rsid w:val="003608EA"/>
    <w:rsid w:val="003615EB"/>
    <w:rsid w:val="00361B96"/>
    <w:rsid w:val="00362228"/>
    <w:rsid w:val="003631D2"/>
    <w:rsid w:val="0036323A"/>
    <w:rsid w:val="003639B9"/>
    <w:rsid w:val="00363ED7"/>
    <w:rsid w:val="00364821"/>
    <w:rsid w:val="00366BD6"/>
    <w:rsid w:val="0036707B"/>
    <w:rsid w:val="00367CC8"/>
    <w:rsid w:val="00367CF0"/>
    <w:rsid w:val="00370B41"/>
    <w:rsid w:val="00372B1A"/>
    <w:rsid w:val="003740B0"/>
    <w:rsid w:val="0037576C"/>
    <w:rsid w:val="00375926"/>
    <w:rsid w:val="003766C6"/>
    <w:rsid w:val="003767B2"/>
    <w:rsid w:val="00376A37"/>
    <w:rsid w:val="00376F5B"/>
    <w:rsid w:val="0037739F"/>
    <w:rsid w:val="00377AAE"/>
    <w:rsid w:val="00377C09"/>
    <w:rsid w:val="00377D63"/>
    <w:rsid w:val="00380699"/>
    <w:rsid w:val="003810FA"/>
    <w:rsid w:val="00382B08"/>
    <w:rsid w:val="00383589"/>
    <w:rsid w:val="0038383A"/>
    <w:rsid w:val="003840B2"/>
    <w:rsid w:val="00384167"/>
    <w:rsid w:val="00384616"/>
    <w:rsid w:val="003854BC"/>
    <w:rsid w:val="00385860"/>
    <w:rsid w:val="003869C6"/>
    <w:rsid w:val="00386F9A"/>
    <w:rsid w:val="00391AAE"/>
    <w:rsid w:val="00392A01"/>
    <w:rsid w:val="00392B0F"/>
    <w:rsid w:val="0039359B"/>
    <w:rsid w:val="00394455"/>
    <w:rsid w:val="00395B56"/>
    <w:rsid w:val="00395CCF"/>
    <w:rsid w:val="003972E7"/>
    <w:rsid w:val="00397FE8"/>
    <w:rsid w:val="003A0934"/>
    <w:rsid w:val="003A0A5D"/>
    <w:rsid w:val="003A0CD8"/>
    <w:rsid w:val="003A3D73"/>
    <w:rsid w:val="003A4836"/>
    <w:rsid w:val="003A6590"/>
    <w:rsid w:val="003A71A4"/>
    <w:rsid w:val="003B016E"/>
    <w:rsid w:val="003B0DB1"/>
    <w:rsid w:val="003B2036"/>
    <w:rsid w:val="003B2816"/>
    <w:rsid w:val="003B28C3"/>
    <w:rsid w:val="003B2F48"/>
    <w:rsid w:val="003B31C1"/>
    <w:rsid w:val="003B4BAF"/>
    <w:rsid w:val="003B4C87"/>
    <w:rsid w:val="003B54FC"/>
    <w:rsid w:val="003B57DA"/>
    <w:rsid w:val="003B58CA"/>
    <w:rsid w:val="003B642D"/>
    <w:rsid w:val="003B6649"/>
    <w:rsid w:val="003B72CB"/>
    <w:rsid w:val="003B7F9C"/>
    <w:rsid w:val="003C0648"/>
    <w:rsid w:val="003C12EA"/>
    <w:rsid w:val="003C1723"/>
    <w:rsid w:val="003C2311"/>
    <w:rsid w:val="003C3135"/>
    <w:rsid w:val="003C43A1"/>
    <w:rsid w:val="003C6DB8"/>
    <w:rsid w:val="003C70BF"/>
    <w:rsid w:val="003D0652"/>
    <w:rsid w:val="003D0703"/>
    <w:rsid w:val="003D250F"/>
    <w:rsid w:val="003D2A8A"/>
    <w:rsid w:val="003D33B9"/>
    <w:rsid w:val="003D4C78"/>
    <w:rsid w:val="003D55FD"/>
    <w:rsid w:val="003D5B91"/>
    <w:rsid w:val="003D5D74"/>
    <w:rsid w:val="003E0381"/>
    <w:rsid w:val="003E1512"/>
    <w:rsid w:val="003E292E"/>
    <w:rsid w:val="003E3FDE"/>
    <w:rsid w:val="003E5E0F"/>
    <w:rsid w:val="003E66D0"/>
    <w:rsid w:val="003E7300"/>
    <w:rsid w:val="003F1C81"/>
    <w:rsid w:val="003F1DB8"/>
    <w:rsid w:val="003F293B"/>
    <w:rsid w:val="003F2E23"/>
    <w:rsid w:val="003F2E5E"/>
    <w:rsid w:val="003F4389"/>
    <w:rsid w:val="003F4819"/>
    <w:rsid w:val="003F6098"/>
    <w:rsid w:val="003F61BF"/>
    <w:rsid w:val="003F6262"/>
    <w:rsid w:val="003F6FF5"/>
    <w:rsid w:val="003F7929"/>
    <w:rsid w:val="00400ABF"/>
    <w:rsid w:val="004017AA"/>
    <w:rsid w:val="00402ADB"/>
    <w:rsid w:val="004035A9"/>
    <w:rsid w:val="0040365E"/>
    <w:rsid w:val="00403DFE"/>
    <w:rsid w:val="0040515C"/>
    <w:rsid w:val="0040542F"/>
    <w:rsid w:val="004055E1"/>
    <w:rsid w:val="00406C1F"/>
    <w:rsid w:val="00406F44"/>
    <w:rsid w:val="0040739B"/>
    <w:rsid w:val="00407676"/>
    <w:rsid w:val="0040790E"/>
    <w:rsid w:val="00410274"/>
    <w:rsid w:val="00410D17"/>
    <w:rsid w:val="00410E7B"/>
    <w:rsid w:val="00411226"/>
    <w:rsid w:val="0041152C"/>
    <w:rsid w:val="004117DF"/>
    <w:rsid w:val="00411DBD"/>
    <w:rsid w:val="0041207F"/>
    <w:rsid w:val="00413C15"/>
    <w:rsid w:val="0041505A"/>
    <w:rsid w:val="004159DA"/>
    <w:rsid w:val="00415F67"/>
    <w:rsid w:val="00416B15"/>
    <w:rsid w:val="00416D19"/>
    <w:rsid w:val="004205A1"/>
    <w:rsid w:val="00420BBC"/>
    <w:rsid w:val="00420C25"/>
    <w:rsid w:val="00420DD4"/>
    <w:rsid w:val="00420F3D"/>
    <w:rsid w:val="0042120A"/>
    <w:rsid w:val="00421380"/>
    <w:rsid w:val="00422444"/>
    <w:rsid w:val="00422C1D"/>
    <w:rsid w:val="00423801"/>
    <w:rsid w:val="0042396B"/>
    <w:rsid w:val="004241B4"/>
    <w:rsid w:val="0042488E"/>
    <w:rsid w:val="004260ED"/>
    <w:rsid w:val="00427394"/>
    <w:rsid w:val="004279FE"/>
    <w:rsid w:val="00430CB5"/>
    <w:rsid w:val="00430FB2"/>
    <w:rsid w:val="00434A5A"/>
    <w:rsid w:val="004355BC"/>
    <w:rsid w:val="00435C2E"/>
    <w:rsid w:val="00436921"/>
    <w:rsid w:val="0044089C"/>
    <w:rsid w:val="00440DAE"/>
    <w:rsid w:val="0044138D"/>
    <w:rsid w:val="00443199"/>
    <w:rsid w:val="004431CA"/>
    <w:rsid w:val="00443D7F"/>
    <w:rsid w:val="0044498B"/>
    <w:rsid w:val="004455E9"/>
    <w:rsid w:val="00445AF9"/>
    <w:rsid w:val="00446141"/>
    <w:rsid w:val="00446F3F"/>
    <w:rsid w:val="004471C0"/>
    <w:rsid w:val="00451895"/>
    <w:rsid w:val="00451974"/>
    <w:rsid w:val="00451B52"/>
    <w:rsid w:val="00452E4C"/>
    <w:rsid w:val="00453670"/>
    <w:rsid w:val="00454210"/>
    <w:rsid w:val="00454F4E"/>
    <w:rsid w:val="004554EB"/>
    <w:rsid w:val="00455855"/>
    <w:rsid w:val="004564AB"/>
    <w:rsid w:val="0045753F"/>
    <w:rsid w:val="00457C0B"/>
    <w:rsid w:val="00457C13"/>
    <w:rsid w:val="00460353"/>
    <w:rsid w:val="00461148"/>
    <w:rsid w:val="004623A5"/>
    <w:rsid w:val="004631C6"/>
    <w:rsid w:val="00463401"/>
    <w:rsid w:val="004638DF"/>
    <w:rsid w:val="00463EC4"/>
    <w:rsid w:val="0046480B"/>
    <w:rsid w:val="0046586C"/>
    <w:rsid w:val="00467BD8"/>
    <w:rsid w:val="00470342"/>
    <w:rsid w:val="0047072A"/>
    <w:rsid w:val="00471A00"/>
    <w:rsid w:val="00471E29"/>
    <w:rsid w:val="0047375E"/>
    <w:rsid w:val="00473AC3"/>
    <w:rsid w:val="00474732"/>
    <w:rsid w:val="004747BB"/>
    <w:rsid w:val="004753D0"/>
    <w:rsid w:val="00475906"/>
    <w:rsid w:val="00475EEC"/>
    <w:rsid w:val="0047654C"/>
    <w:rsid w:val="004769DB"/>
    <w:rsid w:val="00476D75"/>
    <w:rsid w:val="0047708A"/>
    <w:rsid w:val="00477763"/>
    <w:rsid w:val="0048007F"/>
    <w:rsid w:val="00482B78"/>
    <w:rsid w:val="00483AF9"/>
    <w:rsid w:val="00483D26"/>
    <w:rsid w:val="00485CC9"/>
    <w:rsid w:val="004868E5"/>
    <w:rsid w:val="00487D73"/>
    <w:rsid w:val="0049019C"/>
    <w:rsid w:val="00490C64"/>
    <w:rsid w:val="00491A6C"/>
    <w:rsid w:val="00493941"/>
    <w:rsid w:val="00494820"/>
    <w:rsid w:val="00495D23"/>
    <w:rsid w:val="00495F32"/>
    <w:rsid w:val="00496BC8"/>
    <w:rsid w:val="00497197"/>
    <w:rsid w:val="00497BA7"/>
    <w:rsid w:val="004A02F7"/>
    <w:rsid w:val="004A0D7C"/>
    <w:rsid w:val="004A1B38"/>
    <w:rsid w:val="004A1E43"/>
    <w:rsid w:val="004A3092"/>
    <w:rsid w:val="004A34D6"/>
    <w:rsid w:val="004A3D08"/>
    <w:rsid w:val="004A3EEA"/>
    <w:rsid w:val="004A5296"/>
    <w:rsid w:val="004A5338"/>
    <w:rsid w:val="004A5C7B"/>
    <w:rsid w:val="004A6674"/>
    <w:rsid w:val="004A6B55"/>
    <w:rsid w:val="004A74F2"/>
    <w:rsid w:val="004A7DCA"/>
    <w:rsid w:val="004A7FDF"/>
    <w:rsid w:val="004B03D3"/>
    <w:rsid w:val="004B111E"/>
    <w:rsid w:val="004B1C06"/>
    <w:rsid w:val="004B1E14"/>
    <w:rsid w:val="004B2ACA"/>
    <w:rsid w:val="004B37F5"/>
    <w:rsid w:val="004B3A78"/>
    <w:rsid w:val="004B436F"/>
    <w:rsid w:val="004B5A52"/>
    <w:rsid w:val="004C08E8"/>
    <w:rsid w:val="004C12F9"/>
    <w:rsid w:val="004C183E"/>
    <w:rsid w:val="004C19D5"/>
    <w:rsid w:val="004C2ADE"/>
    <w:rsid w:val="004C30F4"/>
    <w:rsid w:val="004C49E1"/>
    <w:rsid w:val="004C50AE"/>
    <w:rsid w:val="004C5D9B"/>
    <w:rsid w:val="004C65CB"/>
    <w:rsid w:val="004C6BA5"/>
    <w:rsid w:val="004C739E"/>
    <w:rsid w:val="004C76E6"/>
    <w:rsid w:val="004D0166"/>
    <w:rsid w:val="004D056F"/>
    <w:rsid w:val="004D0B53"/>
    <w:rsid w:val="004D182D"/>
    <w:rsid w:val="004D2DD7"/>
    <w:rsid w:val="004D2FCE"/>
    <w:rsid w:val="004D4405"/>
    <w:rsid w:val="004D634A"/>
    <w:rsid w:val="004D6906"/>
    <w:rsid w:val="004E0678"/>
    <w:rsid w:val="004E23C2"/>
    <w:rsid w:val="004E27F9"/>
    <w:rsid w:val="004E2A6D"/>
    <w:rsid w:val="004E2D3E"/>
    <w:rsid w:val="004E2E0F"/>
    <w:rsid w:val="004E318D"/>
    <w:rsid w:val="004E33F2"/>
    <w:rsid w:val="004E3869"/>
    <w:rsid w:val="004E3DC9"/>
    <w:rsid w:val="004E5299"/>
    <w:rsid w:val="004E6299"/>
    <w:rsid w:val="004E6ED4"/>
    <w:rsid w:val="004E7F18"/>
    <w:rsid w:val="004F00A0"/>
    <w:rsid w:val="004F0824"/>
    <w:rsid w:val="004F0E10"/>
    <w:rsid w:val="004F2390"/>
    <w:rsid w:val="004F2943"/>
    <w:rsid w:val="004F4714"/>
    <w:rsid w:val="004F5F73"/>
    <w:rsid w:val="004F6C20"/>
    <w:rsid w:val="004F7416"/>
    <w:rsid w:val="004F780E"/>
    <w:rsid w:val="004F7AAB"/>
    <w:rsid w:val="00500A56"/>
    <w:rsid w:val="00500F6C"/>
    <w:rsid w:val="005018DD"/>
    <w:rsid w:val="005034DF"/>
    <w:rsid w:val="0050388F"/>
    <w:rsid w:val="00503BD2"/>
    <w:rsid w:val="0050426B"/>
    <w:rsid w:val="00504794"/>
    <w:rsid w:val="0050490A"/>
    <w:rsid w:val="00505352"/>
    <w:rsid w:val="005057C4"/>
    <w:rsid w:val="00507081"/>
    <w:rsid w:val="005071FE"/>
    <w:rsid w:val="005100A7"/>
    <w:rsid w:val="0051010F"/>
    <w:rsid w:val="00512124"/>
    <w:rsid w:val="00512667"/>
    <w:rsid w:val="00514A9F"/>
    <w:rsid w:val="00515707"/>
    <w:rsid w:val="00515CEB"/>
    <w:rsid w:val="0051672A"/>
    <w:rsid w:val="005167DC"/>
    <w:rsid w:val="00517A53"/>
    <w:rsid w:val="00517B30"/>
    <w:rsid w:val="00520F15"/>
    <w:rsid w:val="005211A3"/>
    <w:rsid w:val="00524854"/>
    <w:rsid w:val="00524D3B"/>
    <w:rsid w:val="0052576F"/>
    <w:rsid w:val="00525EDD"/>
    <w:rsid w:val="00526E53"/>
    <w:rsid w:val="005273E2"/>
    <w:rsid w:val="0052748C"/>
    <w:rsid w:val="00527C3A"/>
    <w:rsid w:val="00531D19"/>
    <w:rsid w:val="00532586"/>
    <w:rsid w:val="0053346C"/>
    <w:rsid w:val="00534252"/>
    <w:rsid w:val="00535544"/>
    <w:rsid w:val="0053642A"/>
    <w:rsid w:val="00536560"/>
    <w:rsid w:val="0053694C"/>
    <w:rsid w:val="00541D68"/>
    <w:rsid w:val="00541FBB"/>
    <w:rsid w:val="00543620"/>
    <w:rsid w:val="00543847"/>
    <w:rsid w:val="0054452F"/>
    <w:rsid w:val="00546663"/>
    <w:rsid w:val="00546695"/>
    <w:rsid w:val="0055031E"/>
    <w:rsid w:val="00551275"/>
    <w:rsid w:val="005522DE"/>
    <w:rsid w:val="00553B44"/>
    <w:rsid w:val="00554401"/>
    <w:rsid w:val="00554AC4"/>
    <w:rsid w:val="00555574"/>
    <w:rsid w:val="00555DBA"/>
    <w:rsid w:val="00555DD2"/>
    <w:rsid w:val="00556741"/>
    <w:rsid w:val="00556E68"/>
    <w:rsid w:val="005572FF"/>
    <w:rsid w:val="00557BCC"/>
    <w:rsid w:val="005618A5"/>
    <w:rsid w:val="00561ECE"/>
    <w:rsid w:val="005630E0"/>
    <w:rsid w:val="00564F67"/>
    <w:rsid w:val="00565F06"/>
    <w:rsid w:val="005668A1"/>
    <w:rsid w:val="00566F59"/>
    <w:rsid w:val="00566F7B"/>
    <w:rsid w:val="0057047C"/>
    <w:rsid w:val="00570C10"/>
    <w:rsid w:val="00571287"/>
    <w:rsid w:val="0057228F"/>
    <w:rsid w:val="00573B78"/>
    <w:rsid w:val="005746AE"/>
    <w:rsid w:val="005749A6"/>
    <w:rsid w:val="00574C7D"/>
    <w:rsid w:val="00575FBD"/>
    <w:rsid w:val="00576DE1"/>
    <w:rsid w:val="005772C9"/>
    <w:rsid w:val="005816B8"/>
    <w:rsid w:val="00581D67"/>
    <w:rsid w:val="00581E02"/>
    <w:rsid w:val="00581E71"/>
    <w:rsid w:val="0058292B"/>
    <w:rsid w:val="00582FF5"/>
    <w:rsid w:val="00583722"/>
    <w:rsid w:val="00583B14"/>
    <w:rsid w:val="00584A51"/>
    <w:rsid w:val="005851FC"/>
    <w:rsid w:val="00585666"/>
    <w:rsid w:val="0058677D"/>
    <w:rsid w:val="00587126"/>
    <w:rsid w:val="0058736E"/>
    <w:rsid w:val="00590003"/>
    <w:rsid w:val="00593946"/>
    <w:rsid w:val="00593956"/>
    <w:rsid w:val="005943F5"/>
    <w:rsid w:val="00594929"/>
    <w:rsid w:val="00594F5C"/>
    <w:rsid w:val="00596E2C"/>
    <w:rsid w:val="005A005D"/>
    <w:rsid w:val="005A0F36"/>
    <w:rsid w:val="005A22F9"/>
    <w:rsid w:val="005A31DB"/>
    <w:rsid w:val="005A39A1"/>
    <w:rsid w:val="005A3DD9"/>
    <w:rsid w:val="005A400B"/>
    <w:rsid w:val="005A4DBF"/>
    <w:rsid w:val="005A6481"/>
    <w:rsid w:val="005A726F"/>
    <w:rsid w:val="005A7596"/>
    <w:rsid w:val="005A79F4"/>
    <w:rsid w:val="005A7AD2"/>
    <w:rsid w:val="005B04A9"/>
    <w:rsid w:val="005B12F2"/>
    <w:rsid w:val="005B1C8F"/>
    <w:rsid w:val="005B2381"/>
    <w:rsid w:val="005B2888"/>
    <w:rsid w:val="005B4EEE"/>
    <w:rsid w:val="005B5ED3"/>
    <w:rsid w:val="005B610D"/>
    <w:rsid w:val="005B750C"/>
    <w:rsid w:val="005B7B2E"/>
    <w:rsid w:val="005C0EA3"/>
    <w:rsid w:val="005C234C"/>
    <w:rsid w:val="005C2467"/>
    <w:rsid w:val="005C6A22"/>
    <w:rsid w:val="005C6B47"/>
    <w:rsid w:val="005C7BBE"/>
    <w:rsid w:val="005C7FC0"/>
    <w:rsid w:val="005D00DA"/>
    <w:rsid w:val="005D0E22"/>
    <w:rsid w:val="005D0E35"/>
    <w:rsid w:val="005D1451"/>
    <w:rsid w:val="005D1E42"/>
    <w:rsid w:val="005D2015"/>
    <w:rsid w:val="005D2148"/>
    <w:rsid w:val="005D29FD"/>
    <w:rsid w:val="005D2E23"/>
    <w:rsid w:val="005D485B"/>
    <w:rsid w:val="005D4959"/>
    <w:rsid w:val="005D6511"/>
    <w:rsid w:val="005D68FC"/>
    <w:rsid w:val="005D69AE"/>
    <w:rsid w:val="005D6E1A"/>
    <w:rsid w:val="005D725A"/>
    <w:rsid w:val="005D7499"/>
    <w:rsid w:val="005D7BBB"/>
    <w:rsid w:val="005E0F0C"/>
    <w:rsid w:val="005E13E5"/>
    <w:rsid w:val="005E265A"/>
    <w:rsid w:val="005E301D"/>
    <w:rsid w:val="005E336E"/>
    <w:rsid w:val="005E35BB"/>
    <w:rsid w:val="005E5441"/>
    <w:rsid w:val="005E5524"/>
    <w:rsid w:val="005E6FCC"/>
    <w:rsid w:val="005E79AE"/>
    <w:rsid w:val="005F02B8"/>
    <w:rsid w:val="005F2DD2"/>
    <w:rsid w:val="005F3B81"/>
    <w:rsid w:val="005F43E6"/>
    <w:rsid w:val="005F4E3C"/>
    <w:rsid w:val="005F503C"/>
    <w:rsid w:val="005F7087"/>
    <w:rsid w:val="005F75C9"/>
    <w:rsid w:val="005F7F69"/>
    <w:rsid w:val="00600132"/>
    <w:rsid w:val="00600D00"/>
    <w:rsid w:val="00601E54"/>
    <w:rsid w:val="0060335E"/>
    <w:rsid w:val="006040A4"/>
    <w:rsid w:val="00604FF4"/>
    <w:rsid w:val="00605A9B"/>
    <w:rsid w:val="0060602F"/>
    <w:rsid w:val="006061ED"/>
    <w:rsid w:val="00610199"/>
    <w:rsid w:val="006120F7"/>
    <w:rsid w:val="00612687"/>
    <w:rsid w:val="006134B4"/>
    <w:rsid w:val="00613775"/>
    <w:rsid w:val="006138DC"/>
    <w:rsid w:val="00614213"/>
    <w:rsid w:val="006149F9"/>
    <w:rsid w:val="00615382"/>
    <w:rsid w:val="00616AAC"/>
    <w:rsid w:val="00616D74"/>
    <w:rsid w:val="00617ADA"/>
    <w:rsid w:val="00617FE1"/>
    <w:rsid w:val="00620FD9"/>
    <w:rsid w:val="00621B5C"/>
    <w:rsid w:val="00621D1C"/>
    <w:rsid w:val="006225EA"/>
    <w:rsid w:val="00622A00"/>
    <w:rsid w:val="00623A54"/>
    <w:rsid w:val="00623B69"/>
    <w:rsid w:val="00623D34"/>
    <w:rsid w:val="00623F91"/>
    <w:rsid w:val="00624AF6"/>
    <w:rsid w:val="00624EC3"/>
    <w:rsid w:val="00624F8E"/>
    <w:rsid w:val="00625849"/>
    <w:rsid w:val="00626056"/>
    <w:rsid w:val="0062694B"/>
    <w:rsid w:val="00627662"/>
    <w:rsid w:val="00630A01"/>
    <w:rsid w:val="00630D7C"/>
    <w:rsid w:val="00633875"/>
    <w:rsid w:val="0063401A"/>
    <w:rsid w:val="00635BD7"/>
    <w:rsid w:val="00636335"/>
    <w:rsid w:val="006368C8"/>
    <w:rsid w:val="006369AE"/>
    <w:rsid w:val="006373F6"/>
    <w:rsid w:val="00640E76"/>
    <w:rsid w:val="006410A7"/>
    <w:rsid w:val="00641552"/>
    <w:rsid w:val="006416F8"/>
    <w:rsid w:val="0064177C"/>
    <w:rsid w:val="006423CD"/>
    <w:rsid w:val="006444BD"/>
    <w:rsid w:val="00644820"/>
    <w:rsid w:val="00644FB8"/>
    <w:rsid w:val="00645B20"/>
    <w:rsid w:val="00645CB1"/>
    <w:rsid w:val="00646690"/>
    <w:rsid w:val="00646A4C"/>
    <w:rsid w:val="00647E1B"/>
    <w:rsid w:val="00647F55"/>
    <w:rsid w:val="00650281"/>
    <w:rsid w:val="00650AE6"/>
    <w:rsid w:val="006518B5"/>
    <w:rsid w:val="00652010"/>
    <w:rsid w:val="00652645"/>
    <w:rsid w:val="00653681"/>
    <w:rsid w:val="0065385B"/>
    <w:rsid w:val="006549B9"/>
    <w:rsid w:val="00655966"/>
    <w:rsid w:val="00655CA1"/>
    <w:rsid w:val="00656B7E"/>
    <w:rsid w:val="00656FFD"/>
    <w:rsid w:val="0065724D"/>
    <w:rsid w:val="00657683"/>
    <w:rsid w:val="006622A5"/>
    <w:rsid w:val="006622FD"/>
    <w:rsid w:val="00662363"/>
    <w:rsid w:val="0066282B"/>
    <w:rsid w:val="00662E5E"/>
    <w:rsid w:val="00663FB9"/>
    <w:rsid w:val="006647F9"/>
    <w:rsid w:val="00665283"/>
    <w:rsid w:val="006659B3"/>
    <w:rsid w:val="00666DBB"/>
    <w:rsid w:val="00667F9D"/>
    <w:rsid w:val="00670696"/>
    <w:rsid w:val="00671015"/>
    <w:rsid w:val="00671557"/>
    <w:rsid w:val="00671E88"/>
    <w:rsid w:val="00672036"/>
    <w:rsid w:val="006736B1"/>
    <w:rsid w:val="00673A58"/>
    <w:rsid w:val="0067412E"/>
    <w:rsid w:val="00674970"/>
    <w:rsid w:val="00675DD4"/>
    <w:rsid w:val="00677CC1"/>
    <w:rsid w:val="0068092B"/>
    <w:rsid w:val="00681BAC"/>
    <w:rsid w:val="00685333"/>
    <w:rsid w:val="006855BC"/>
    <w:rsid w:val="0068770D"/>
    <w:rsid w:val="00687747"/>
    <w:rsid w:val="00687DE7"/>
    <w:rsid w:val="00690538"/>
    <w:rsid w:val="0069138B"/>
    <w:rsid w:val="00691944"/>
    <w:rsid w:val="00691C9B"/>
    <w:rsid w:val="00692D36"/>
    <w:rsid w:val="0069758D"/>
    <w:rsid w:val="006A0149"/>
    <w:rsid w:val="006A069B"/>
    <w:rsid w:val="006A0F81"/>
    <w:rsid w:val="006A1396"/>
    <w:rsid w:val="006A1733"/>
    <w:rsid w:val="006A4C69"/>
    <w:rsid w:val="006A5E8B"/>
    <w:rsid w:val="006A6A54"/>
    <w:rsid w:val="006A7E5E"/>
    <w:rsid w:val="006B08A1"/>
    <w:rsid w:val="006B0930"/>
    <w:rsid w:val="006B0E9B"/>
    <w:rsid w:val="006B0FE5"/>
    <w:rsid w:val="006B1A0D"/>
    <w:rsid w:val="006B1E5C"/>
    <w:rsid w:val="006B275F"/>
    <w:rsid w:val="006B3E6E"/>
    <w:rsid w:val="006B4077"/>
    <w:rsid w:val="006B4C68"/>
    <w:rsid w:val="006B4E61"/>
    <w:rsid w:val="006B4ED4"/>
    <w:rsid w:val="006B5DC9"/>
    <w:rsid w:val="006B5DFA"/>
    <w:rsid w:val="006C1106"/>
    <w:rsid w:val="006C17D8"/>
    <w:rsid w:val="006C2BB5"/>
    <w:rsid w:val="006C2D0A"/>
    <w:rsid w:val="006C2D5A"/>
    <w:rsid w:val="006C2EE3"/>
    <w:rsid w:val="006C3857"/>
    <w:rsid w:val="006C4B6B"/>
    <w:rsid w:val="006C539E"/>
    <w:rsid w:val="006C59D8"/>
    <w:rsid w:val="006C669C"/>
    <w:rsid w:val="006C6703"/>
    <w:rsid w:val="006C6E01"/>
    <w:rsid w:val="006C7DED"/>
    <w:rsid w:val="006D05D0"/>
    <w:rsid w:val="006D0C45"/>
    <w:rsid w:val="006D0CB6"/>
    <w:rsid w:val="006D162F"/>
    <w:rsid w:val="006D18E2"/>
    <w:rsid w:val="006D18F6"/>
    <w:rsid w:val="006D2447"/>
    <w:rsid w:val="006D3C22"/>
    <w:rsid w:val="006D3DD5"/>
    <w:rsid w:val="006D51C1"/>
    <w:rsid w:val="006D5AAD"/>
    <w:rsid w:val="006D64A2"/>
    <w:rsid w:val="006D75A0"/>
    <w:rsid w:val="006D7909"/>
    <w:rsid w:val="006E2066"/>
    <w:rsid w:val="006E3FEF"/>
    <w:rsid w:val="006E431C"/>
    <w:rsid w:val="006E4D50"/>
    <w:rsid w:val="006E5356"/>
    <w:rsid w:val="006E5EE3"/>
    <w:rsid w:val="006E6DB0"/>
    <w:rsid w:val="006E6E49"/>
    <w:rsid w:val="006E7EFB"/>
    <w:rsid w:val="006F0D93"/>
    <w:rsid w:val="006F2A01"/>
    <w:rsid w:val="006F33D3"/>
    <w:rsid w:val="006F4437"/>
    <w:rsid w:val="006F4492"/>
    <w:rsid w:val="006F54CA"/>
    <w:rsid w:val="006F5DF2"/>
    <w:rsid w:val="006F607C"/>
    <w:rsid w:val="006F696B"/>
    <w:rsid w:val="006F758B"/>
    <w:rsid w:val="00700FF2"/>
    <w:rsid w:val="007015E8"/>
    <w:rsid w:val="007016F0"/>
    <w:rsid w:val="00703C73"/>
    <w:rsid w:val="007049A3"/>
    <w:rsid w:val="00707043"/>
    <w:rsid w:val="00707130"/>
    <w:rsid w:val="00710062"/>
    <w:rsid w:val="0071006E"/>
    <w:rsid w:val="007117B6"/>
    <w:rsid w:val="00712A33"/>
    <w:rsid w:val="007130DB"/>
    <w:rsid w:val="00713EEE"/>
    <w:rsid w:val="00713FB1"/>
    <w:rsid w:val="007149D6"/>
    <w:rsid w:val="007159D3"/>
    <w:rsid w:val="00715C72"/>
    <w:rsid w:val="00715EE0"/>
    <w:rsid w:val="007214A4"/>
    <w:rsid w:val="00722605"/>
    <w:rsid w:val="007231B5"/>
    <w:rsid w:val="0072323F"/>
    <w:rsid w:val="0072339B"/>
    <w:rsid w:val="00723AFE"/>
    <w:rsid w:val="00725694"/>
    <w:rsid w:val="007258EB"/>
    <w:rsid w:val="00726727"/>
    <w:rsid w:val="0072777F"/>
    <w:rsid w:val="007278B4"/>
    <w:rsid w:val="00730A7A"/>
    <w:rsid w:val="00731824"/>
    <w:rsid w:val="00731D1A"/>
    <w:rsid w:val="007323E2"/>
    <w:rsid w:val="00732623"/>
    <w:rsid w:val="007329C4"/>
    <w:rsid w:val="00732A38"/>
    <w:rsid w:val="00734349"/>
    <w:rsid w:val="00736DF0"/>
    <w:rsid w:val="00737A7F"/>
    <w:rsid w:val="00740E7F"/>
    <w:rsid w:val="00741901"/>
    <w:rsid w:val="00741D34"/>
    <w:rsid w:val="00742643"/>
    <w:rsid w:val="0074386D"/>
    <w:rsid w:val="00743BAD"/>
    <w:rsid w:val="00744A6F"/>
    <w:rsid w:val="00744E35"/>
    <w:rsid w:val="00746559"/>
    <w:rsid w:val="00746974"/>
    <w:rsid w:val="007471D8"/>
    <w:rsid w:val="007472E9"/>
    <w:rsid w:val="007472FD"/>
    <w:rsid w:val="007507BE"/>
    <w:rsid w:val="0075084D"/>
    <w:rsid w:val="007508ED"/>
    <w:rsid w:val="00750AAE"/>
    <w:rsid w:val="00750D74"/>
    <w:rsid w:val="00751205"/>
    <w:rsid w:val="007518C1"/>
    <w:rsid w:val="00752577"/>
    <w:rsid w:val="00753424"/>
    <w:rsid w:val="00753B4C"/>
    <w:rsid w:val="00754067"/>
    <w:rsid w:val="00754A7F"/>
    <w:rsid w:val="0075641F"/>
    <w:rsid w:val="00757660"/>
    <w:rsid w:val="00760F04"/>
    <w:rsid w:val="007620F5"/>
    <w:rsid w:val="00763C0E"/>
    <w:rsid w:val="00765014"/>
    <w:rsid w:val="0076594C"/>
    <w:rsid w:val="00766880"/>
    <w:rsid w:val="007674AA"/>
    <w:rsid w:val="00772076"/>
    <w:rsid w:val="007720BA"/>
    <w:rsid w:val="00773301"/>
    <w:rsid w:val="00774437"/>
    <w:rsid w:val="0077468F"/>
    <w:rsid w:val="00774BC9"/>
    <w:rsid w:val="00777C4F"/>
    <w:rsid w:val="00777CCB"/>
    <w:rsid w:val="0078071D"/>
    <w:rsid w:val="00782151"/>
    <w:rsid w:val="007823CA"/>
    <w:rsid w:val="00782D8C"/>
    <w:rsid w:val="00782F93"/>
    <w:rsid w:val="00784276"/>
    <w:rsid w:val="0078527F"/>
    <w:rsid w:val="007856FE"/>
    <w:rsid w:val="00785861"/>
    <w:rsid w:val="0078766D"/>
    <w:rsid w:val="00790D55"/>
    <w:rsid w:val="00790EEF"/>
    <w:rsid w:val="00791125"/>
    <w:rsid w:val="007912B7"/>
    <w:rsid w:val="007912CD"/>
    <w:rsid w:val="007939FB"/>
    <w:rsid w:val="007960EC"/>
    <w:rsid w:val="007961AD"/>
    <w:rsid w:val="00797BAB"/>
    <w:rsid w:val="007A0668"/>
    <w:rsid w:val="007A16F8"/>
    <w:rsid w:val="007A1C50"/>
    <w:rsid w:val="007A2758"/>
    <w:rsid w:val="007A27F2"/>
    <w:rsid w:val="007A2DBF"/>
    <w:rsid w:val="007A3753"/>
    <w:rsid w:val="007A39F1"/>
    <w:rsid w:val="007A3D64"/>
    <w:rsid w:val="007A5574"/>
    <w:rsid w:val="007A6762"/>
    <w:rsid w:val="007A695C"/>
    <w:rsid w:val="007A71F7"/>
    <w:rsid w:val="007A7EC4"/>
    <w:rsid w:val="007B0270"/>
    <w:rsid w:val="007B0494"/>
    <w:rsid w:val="007B0947"/>
    <w:rsid w:val="007B1780"/>
    <w:rsid w:val="007B388D"/>
    <w:rsid w:val="007B3F7E"/>
    <w:rsid w:val="007B424A"/>
    <w:rsid w:val="007B4780"/>
    <w:rsid w:val="007B571E"/>
    <w:rsid w:val="007B650E"/>
    <w:rsid w:val="007B69D2"/>
    <w:rsid w:val="007B7EDF"/>
    <w:rsid w:val="007C0066"/>
    <w:rsid w:val="007C4301"/>
    <w:rsid w:val="007C432A"/>
    <w:rsid w:val="007C52B1"/>
    <w:rsid w:val="007C69CD"/>
    <w:rsid w:val="007C6A66"/>
    <w:rsid w:val="007C70B2"/>
    <w:rsid w:val="007D0453"/>
    <w:rsid w:val="007D0E52"/>
    <w:rsid w:val="007D0FE9"/>
    <w:rsid w:val="007D2F3C"/>
    <w:rsid w:val="007D3949"/>
    <w:rsid w:val="007D3B57"/>
    <w:rsid w:val="007D3F0F"/>
    <w:rsid w:val="007D5EA6"/>
    <w:rsid w:val="007D623B"/>
    <w:rsid w:val="007D6C34"/>
    <w:rsid w:val="007D74B0"/>
    <w:rsid w:val="007D7FBB"/>
    <w:rsid w:val="007E1B87"/>
    <w:rsid w:val="007E1CAC"/>
    <w:rsid w:val="007E1FB9"/>
    <w:rsid w:val="007E2597"/>
    <w:rsid w:val="007E415D"/>
    <w:rsid w:val="007E4376"/>
    <w:rsid w:val="007E5171"/>
    <w:rsid w:val="007E56C5"/>
    <w:rsid w:val="007E5EF1"/>
    <w:rsid w:val="007E6807"/>
    <w:rsid w:val="007F041D"/>
    <w:rsid w:val="007F07AC"/>
    <w:rsid w:val="007F1886"/>
    <w:rsid w:val="007F1C08"/>
    <w:rsid w:val="007F1F91"/>
    <w:rsid w:val="007F25FD"/>
    <w:rsid w:val="007F28DC"/>
    <w:rsid w:val="007F3664"/>
    <w:rsid w:val="007F4132"/>
    <w:rsid w:val="007F5798"/>
    <w:rsid w:val="007F604E"/>
    <w:rsid w:val="007F66FF"/>
    <w:rsid w:val="007F6719"/>
    <w:rsid w:val="007F6EF0"/>
    <w:rsid w:val="007F7137"/>
    <w:rsid w:val="00800152"/>
    <w:rsid w:val="00801B59"/>
    <w:rsid w:val="00802385"/>
    <w:rsid w:val="0080289D"/>
    <w:rsid w:val="0080313A"/>
    <w:rsid w:val="00803924"/>
    <w:rsid w:val="008039A5"/>
    <w:rsid w:val="00803AC4"/>
    <w:rsid w:val="008046F9"/>
    <w:rsid w:val="00804D71"/>
    <w:rsid w:val="00804EC6"/>
    <w:rsid w:val="0080590C"/>
    <w:rsid w:val="00806C7A"/>
    <w:rsid w:val="00806FF4"/>
    <w:rsid w:val="0080730B"/>
    <w:rsid w:val="0080746D"/>
    <w:rsid w:val="008075AA"/>
    <w:rsid w:val="00807F11"/>
    <w:rsid w:val="00810EFA"/>
    <w:rsid w:val="00812229"/>
    <w:rsid w:val="00812E0C"/>
    <w:rsid w:val="008138D5"/>
    <w:rsid w:val="008145E1"/>
    <w:rsid w:val="00814652"/>
    <w:rsid w:val="00814BF6"/>
    <w:rsid w:val="00814EFB"/>
    <w:rsid w:val="00816339"/>
    <w:rsid w:val="008172E6"/>
    <w:rsid w:val="00817CF9"/>
    <w:rsid w:val="00820167"/>
    <w:rsid w:val="00820265"/>
    <w:rsid w:val="00820BE7"/>
    <w:rsid w:val="00820C7B"/>
    <w:rsid w:val="00820C89"/>
    <w:rsid w:val="008210B7"/>
    <w:rsid w:val="00821FF9"/>
    <w:rsid w:val="00823C66"/>
    <w:rsid w:val="008240C1"/>
    <w:rsid w:val="00824D8D"/>
    <w:rsid w:val="00825287"/>
    <w:rsid w:val="008260D9"/>
    <w:rsid w:val="00826C87"/>
    <w:rsid w:val="00826F4F"/>
    <w:rsid w:val="00827553"/>
    <w:rsid w:val="00832223"/>
    <w:rsid w:val="00832B6E"/>
    <w:rsid w:val="00832CFE"/>
    <w:rsid w:val="008342B9"/>
    <w:rsid w:val="00834A94"/>
    <w:rsid w:val="00835BAE"/>
    <w:rsid w:val="00840E76"/>
    <w:rsid w:val="008438CC"/>
    <w:rsid w:val="00844DDE"/>
    <w:rsid w:val="008461D9"/>
    <w:rsid w:val="008475AB"/>
    <w:rsid w:val="00847E01"/>
    <w:rsid w:val="00847E46"/>
    <w:rsid w:val="0085046C"/>
    <w:rsid w:val="00850926"/>
    <w:rsid w:val="008510C4"/>
    <w:rsid w:val="00851AB4"/>
    <w:rsid w:val="0085249D"/>
    <w:rsid w:val="008540F0"/>
    <w:rsid w:val="0085431C"/>
    <w:rsid w:val="008548BE"/>
    <w:rsid w:val="00856D62"/>
    <w:rsid w:val="00860AA4"/>
    <w:rsid w:val="00863986"/>
    <w:rsid w:val="00863AD0"/>
    <w:rsid w:val="0086668D"/>
    <w:rsid w:val="008672D9"/>
    <w:rsid w:val="00871647"/>
    <w:rsid w:val="0087166C"/>
    <w:rsid w:val="00871763"/>
    <w:rsid w:val="008718EA"/>
    <w:rsid w:val="00871C7D"/>
    <w:rsid w:val="00871D50"/>
    <w:rsid w:val="00871FE7"/>
    <w:rsid w:val="00872B9B"/>
    <w:rsid w:val="00873566"/>
    <w:rsid w:val="00873AA9"/>
    <w:rsid w:val="00873AAA"/>
    <w:rsid w:val="008757F7"/>
    <w:rsid w:val="0087673B"/>
    <w:rsid w:val="008767FC"/>
    <w:rsid w:val="00876F62"/>
    <w:rsid w:val="008774D1"/>
    <w:rsid w:val="00877595"/>
    <w:rsid w:val="00877C80"/>
    <w:rsid w:val="00880027"/>
    <w:rsid w:val="0088032B"/>
    <w:rsid w:val="00880769"/>
    <w:rsid w:val="00880A8F"/>
    <w:rsid w:val="008815D6"/>
    <w:rsid w:val="0088221D"/>
    <w:rsid w:val="00882FB8"/>
    <w:rsid w:val="0088426C"/>
    <w:rsid w:val="00884905"/>
    <w:rsid w:val="0088604E"/>
    <w:rsid w:val="008860AC"/>
    <w:rsid w:val="00886A32"/>
    <w:rsid w:val="00886A9A"/>
    <w:rsid w:val="0088740D"/>
    <w:rsid w:val="00887BC1"/>
    <w:rsid w:val="00887DA1"/>
    <w:rsid w:val="00891A2E"/>
    <w:rsid w:val="008931D2"/>
    <w:rsid w:val="00895D32"/>
    <w:rsid w:val="008A14F9"/>
    <w:rsid w:val="008A4010"/>
    <w:rsid w:val="008A6495"/>
    <w:rsid w:val="008A72B2"/>
    <w:rsid w:val="008A7F60"/>
    <w:rsid w:val="008B11F6"/>
    <w:rsid w:val="008B1251"/>
    <w:rsid w:val="008B4BA2"/>
    <w:rsid w:val="008B5424"/>
    <w:rsid w:val="008B5485"/>
    <w:rsid w:val="008B569A"/>
    <w:rsid w:val="008B69FD"/>
    <w:rsid w:val="008B6E76"/>
    <w:rsid w:val="008B6EC4"/>
    <w:rsid w:val="008B71E3"/>
    <w:rsid w:val="008C1D5C"/>
    <w:rsid w:val="008C1E02"/>
    <w:rsid w:val="008C1E2C"/>
    <w:rsid w:val="008C530B"/>
    <w:rsid w:val="008C57E9"/>
    <w:rsid w:val="008C5C00"/>
    <w:rsid w:val="008C7C1B"/>
    <w:rsid w:val="008C7DF4"/>
    <w:rsid w:val="008D0006"/>
    <w:rsid w:val="008D0039"/>
    <w:rsid w:val="008D1405"/>
    <w:rsid w:val="008D1DF6"/>
    <w:rsid w:val="008D21E1"/>
    <w:rsid w:val="008D32BF"/>
    <w:rsid w:val="008D3963"/>
    <w:rsid w:val="008D400B"/>
    <w:rsid w:val="008D44D3"/>
    <w:rsid w:val="008D55D0"/>
    <w:rsid w:val="008D5EFD"/>
    <w:rsid w:val="008D696C"/>
    <w:rsid w:val="008D6B9C"/>
    <w:rsid w:val="008D7F08"/>
    <w:rsid w:val="008D7FCA"/>
    <w:rsid w:val="008E1277"/>
    <w:rsid w:val="008E1C9A"/>
    <w:rsid w:val="008E37CD"/>
    <w:rsid w:val="008E3CA6"/>
    <w:rsid w:val="008E42BF"/>
    <w:rsid w:val="008E4753"/>
    <w:rsid w:val="008E4992"/>
    <w:rsid w:val="008E554D"/>
    <w:rsid w:val="008E6AFC"/>
    <w:rsid w:val="008F08BF"/>
    <w:rsid w:val="008F0CB2"/>
    <w:rsid w:val="008F11F0"/>
    <w:rsid w:val="008F1726"/>
    <w:rsid w:val="008F3663"/>
    <w:rsid w:val="008F4101"/>
    <w:rsid w:val="008F4F87"/>
    <w:rsid w:val="008F518D"/>
    <w:rsid w:val="008F541B"/>
    <w:rsid w:val="008F6633"/>
    <w:rsid w:val="008F6A66"/>
    <w:rsid w:val="008F75EE"/>
    <w:rsid w:val="00900D37"/>
    <w:rsid w:val="00901461"/>
    <w:rsid w:val="00903461"/>
    <w:rsid w:val="00903662"/>
    <w:rsid w:val="009044AA"/>
    <w:rsid w:val="009049E9"/>
    <w:rsid w:val="00905CB7"/>
    <w:rsid w:val="009063DA"/>
    <w:rsid w:val="009068CD"/>
    <w:rsid w:val="00907F1D"/>
    <w:rsid w:val="009109B3"/>
    <w:rsid w:val="00910F49"/>
    <w:rsid w:val="009115DF"/>
    <w:rsid w:val="00911613"/>
    <w:rsid w:val="0091397D"/>
    <w:rsid w:val="00914CE7"/>
    <w:rsid w:val="009152FA"/>
    <w:rsid w:val="009160B7"/>
    <w:rsid w:val="00916E2B"/>
    <w:rsid w:val="00916E9E"/>
    <w:rsid w:val="00917AD7"/>
    <w:rsid w:val="00920142"/>
    <w:rsid w:val="00922554"/>
    <w:rsid w:val="00925114"/>
    <w:rsid w:val="00925B4D"/>
    <w:rsid w:val="00927655"/>
    <w:rsid w:val="00930209"/>
    <w:rsid w:val="00930224"/>
    <w:rsid w:val="00930466"/>
    <w:rsid w:val="00930EA7"/>
    <w:rsid w:val="00931783"/>
    <w:rsid w:val="00931F78"/>
    <w:rsid w:val="0093381F"/>
    <w:rsid w:val="00933892"/>
    <w:rsid w:val="00933DD9"/>
    <w:rsid w:val="00934010"/>
    <w:rsid w:val="00936C78"/>
    <w:rsid w:val="00937DBF"/>
    <w:rsid w:val="009407BC"/>
    <w:rsid w:val="00940BD6"/>
    <w:rsid w:val="00940E34"/>
    <w:rsid w:val="009419BA"/>
    <w:rsid w:val="009421E6"/>
    <w:rsid w:val="00942F0C"/>
    <w:rsid w:val="00942FB6"/>
    <w:rsid w:val="00943281"/>
    <w:rsid w:val="00943848"/>
    <w:rsid w:val="00947C1B"/>
    <w:rsid w:val="0095042E"/>
    <w:rsid w:val="00950B12"/>
    <w:rsid w:val="009516B6"/>
    <w:rsid w:val="009523DA"/>
    <w:rsid w:val="0095277D"/>
    <w:rsid w:val="00952E9A"/>
    <w:rsid w:val="009534D0"/>
    <w:rsid w:val="0095370F"/>
    <w:rsid w:val="00954B8B"/>
    <w:rsid w:val="00954DD1"/>
    <w:rsid w:val="009558E1"/>
    <w:rsid w:val="00957264"/>
    <w:rsid w:val="009573BB"/>
    <w:rsid w:val="0096124D"/>
    <w:rsid w:val="009612E6"/>
    <w:rsid w:val="009616EA"/>
    <w:rsid w:val="00962532"/>
    <w:rsid w:val="00962793"/>
    <w:rsid w:val="00962D4B"/>
    <w:rsid w:val="00963E9C"/>
    <w:rsid w:val="009654F3"/>
    <w:rsid w:val="00966278"/>
    <w:rsid w:val="00966693"/>
    <w:rsid w:val="009667F7"/>
    <w:rsid w:val="00970611"/>
    <w:rsid w:val="009708E2"/>
    <w:rsid w:val="00970AF6"/>
    <w:rsid w:val="00971417"/>
    <w:rsid w:val="0097267A"/>
    <w:rsid w:val="00973634"/>
    <w:rsid w:val="00973B8C"/>
    <w:rsid w:val="00974174"/>
    <w:rsid w:val="009748D3"/>
    <w:rsid w:val="00974937"/>
    <w:rsid w:val="00974F3C"/>
    <w:rsid w:val="00975831"/>
    <w:rsid w:val="00976F8A"/>
    <w:rsid w:val="0097706E"/>
    <w:rsid w:val="009775D7"/>
    <w:rsid w:val="009803B4"/>
    <w:rsid w:val="00981598"/>
    <w:rsid w:val="00984949"/>
    <w:rsid w:val="009849BE"/>
    <w:rsid w:val="00984AF9"/>
    <w:rsid w:val="00984BBF"/>
    <w:rsid w:val="00984D8E"/>
    <w:rsid w:val="009858D7"/>
    <w:rsid w:val="00985C0F"/>
    <w:rsid w:val="00986A91"/>
    <w:rsid w:val="00986C27"/>
    <w:rsid w:val="009876F4"/>
    <w:rsid w:val="009910F4"/>
    <w:rsid w:val="00991222"/>
    <w:rsid w:val="00992076"/>
    <w:rsid w:val="009920A1"/>
    <w:rsid w:val="009922A5"/>
    <w:rsid w:val="009953D0"/>
    <w:rsid w:val="00995D85"/>
    <w:rsid w:val="00996EF8"/>
    <w:rsid w:val="0099700E"/>
    <w:rsid w:val="009979A7"/>
    <w:rsid w:val="009A0116"/>
    <w:rsid w:val="009A2360"/>
    <w:rsid w:val="009A5079"/>
    <w:rsid w:val="009A590F"/>
    <w:rsid w:val="009A641E"/>
    <w:rsid w:val="009A6943"/>
    <w:rsid w:val="009B0CEE"/>
    <w:rsid w:val="009B1194"/>
    <w:rsid w:val="009B1247"/>
    <w:rsid w:val="009B2479"/>
    <w:rsid w:val="009B27A5"/>
    <w:rsid w:val="009B3290"/>
    <w:rsid w:val="009B3E8C"/>
    <w:rsid w:val="009B441F"/>
    <w:rsid w:val="009B4DD8"/>
    <w:rsid w:val="009B5585"/>
    <w:rsid w:val="009B664B"/>
    <w:rsid w:val="009B6781"/>
    <w:rsid w:val="009B6CAD"/>
    <w:rsid w:val="009B79A5"/>
    <w:rsid w:val="009B7F86"/>
    <w:rsid w:val="009C0C48"/>
    <w:rsid w:val="009C13E8"/>
    <w:rsid w:val="009C254A"/>
    <w:rsid w:val="009C3168"/>
    <w:rsid w:val="009C36AC"/>
    <w:rsid w:val="009C5CB6"/>
    <w:rsid w:val="009C737B"/>
    <w:rsid w:val="009C7445"/>
    <w:rsid w:val="009C793D"/>
    <w:rsid w:val="009D15C8"/>
    <w:rsid w:val="009D20A1"/>
    <w:rsid w:val="009D29F0"/>
    <w:rsid w:val="009D2C41"/>
    <w:rsid w:val="009D3E90"/>
    <w:rsid w:val="009D46C8"/>
    <w:rsid w:val="009D55E3"/>
    <w:rsid w:val="009D5A76"/>
    <w:rsid w:val="009D5F77"/>
    <w:rsid w:val="009E0503"/>
    <w:rsid w:val="009E117F"/>
    <w:rsid w:val="009E21AF"/>
    <w:rsid w:val="009E29B3"/>
    <w:rsid w:val="009E438A"/>
    <w:rsid w:val="009E4E83"/>
    <w:rsid w:val="009E4F4E"/>
    <w:rsid w:val="009E6469"/>
    <w:rsid w:val="009E6F68"/>
    <w:rsid w:val="009F194B"/>
    <w:rsid w:val="009F3089"/>
    <w:rsid w:val="009F3C03"/>
    <w:rsid w:val="009F4A40"/>
    <w:rsid w:val="009F768E"/>
    <w:rsid w:val="009F7DBC"/>
    <w:rsid w:val="00A007B6"/>
    <w:rsid w:val="00A00EF5"/>
    <w:rsid w:val="00A0171E"/>
    <w:rsid w:val="00A01F38"/>
    <w:rsid w:val="00A01F43"/>
    <w:rsid w:val="00A03486"/>
    <w:rsid w:val="00A038E9"/>
    <w:rsid w:val="00A03D40"/>
    <w:rsid w:val="00A053BC"/>
    <w:rsid w:val="00A05E06"/>
    <w:rsid w:val="00A068EE"/>
    <w:rsid w:val="00A06F0A"/>
    <w:rsid w:val="00A12D76"/>
    <w:rsid w:val="00A13501"/>
    <w:rsid w:val="00A1397C"/>
    <w:rsid w:val="00A1416C"/>
    <w:rsid w:val="00A145C4"/>
    <w:rsid w:val="00A1460C"/>
    <w:rsid w:val="00A154C0"/>
    <w:rsid w:val="00A208F4"/>
    <w:rsid w:val="00A20C9B"/>
    <w:rsid w:val="00A21C77"/>
    <w:rsid w:val="00A2237B"/>
    <w:rsid w:val="00A22928"/>
    <w:rsid w:val="00A22EC4"/>
    <w:rsid w:val="00A2449D"/>
    <w:rsid w:val="00A24E8D"/>
    <w:rsid w:val="00A253AB"/>
    <w:rsid w:val="00A26150"/>
    <w:rsid w:val="00A26227"/>
    <w:rsid w:val="00A2669D"/>
    <w:rsid w:val="00A26B8A"/>
    <w:rsid w:val="00A27749"/>
    <w:rsid w:val="00A27B2A"/>
    <w:rsid w:val="00A31B03"/>
    <w:rsid w:val="00A32467"/>
    <w:rsid w:val="00A33027"/>
    <w:rsid w:val="00A34589"/>
    <w:rsid w:val="00A345DB"/>
    <w:rsid w:val="00A359D3"/>
    <w:rsid w:val="00A363CF"/>
    <w:rsid w:val="00A36B2A"/>
    <w:rsid w:val="00A37DBA"/>
    <w:rsid w:val="00A4058E"/>
    <w:rsid w:val="00A4088F"/>
    <w:rsid w:val="00A4092C"/>
    <w:rsid w:val="00A40EB4"/>
    <w:rsid w:val="00A41777"/>
    <w:rsid w:val="00A42BC0"/>
    <w:rsid w:val="00A42FAB"/>
    <w:rsid w:val="00A43734"/>
    <w:rsid w:val="00A45236"/>
    <w:rsid w:val="00A46508"/>
    <w:rsid w:val="00A46DD1"/>
    <w:rsid w:val="00A47A23"/>
    <w:rsid w:val="00A47B7C"/>
    <w:rsid w:val="00A50DA6"/>
    <w:rsid w:val="00A521D5"/>
    <w:rsid w:val="00A52692"/>
    <w:rsid w:val="00A53597"/>
    <w:rsid w:val="00A53D35"/>
    <w:rsid w:val="00A53FBA"/>
    <w:rsid w:val="00A5502F"/>
    <w:rsid w:val="00A553CE"/>
    <w:rsid w:val="00A55889"/>
    <w:rsid w:val="00A562B3"/>
    <w:rsid w:val="00A56629"/>
    <w:rsid w:val="00A566E6"/>
    <w:rsid w:val="00A573D9"/>
    <w:rsid w:val="00A6095F"/>
    <w:rsid w:val="00A61048"/>
    <w:rsid w:val="00A610A3"/>
    <w:rsid w:val="00A618B6"/>
    <w:rsid w:val="00A62046"/>
    <w:rsid w:val="00A64584"/>
    <w:rsid w:val="00A6560A"/>
    <w:rsid w:val="00A7017F"/>
    <w:rsid w:val="00A720EF"/>
    <w:rsid w:val="00A7216B"/>
    <w:rsid w:val="00A7632A"/>
    <w:rsid w:val="00A80199"/>
    <w:rsid w:val="00A80C0A"/>
    <w:rsid w:val="00A81F3B"/>
    <w:rsid w:val="00A82FD0"/>
    <w:rsid w:val="00A83439"/>
    <w:rsid w:val="00A84283"/>
    <w:rsid w:val="00A85069"/>
    <w:rsid w:val="00A85F07"/>
    <w:rsid w:val="00A86163"/>
    <w:rsid w:val="00A8692C"/>
    <w:rsid w:val="00A90CCD"/>
    <w:rsid w:val="00A90DF2"/>
    <w:rsid w:val="00A91FD6"/>
    <w:rsid w:val="00A922DA"/>
    <w:rsid w:val="00A92CC9"/>
    <w:rsid w:val="00A93F43"/>
    <w:rsid w:val="00A9676A"/>
    <w:rsid w:val="00AA0603"/>
    <w:rsid w:val="00AA0BF9"/>
    <w:rsid w:val="00AA0DD7"/>
    <w:rsid w:val="00AA14B6"/>
    <w:rsid w:val="00AA23A8"/>
    <w:rsid w:val="00AA5798"/>
    <w:rsid w:val="00AA5FFB"/>
    <w:rsid w:val="00AA7CB7"/>
    <w:rsid w:val="00AB0C54"/>
    <w:rsid w:val="00AB13C3"/>
    <w:rsid w:val="00AB2561"/>
    <w:rsid w:val="00AB38D7"/>
    <w:rsid w:val="00AB4227"/>
    <w:rsid w:val="00AB4AB8"/>
    <w:rsid w:val="00AB4F3F"/>
    <w:rsid w:val="00AB51EE"/>
    <w:rsid w:val="00AB61F7"/>
    <w:rsid w:val="00AB6FFE"/>
    <w:rsid w:val="00AC06EF"/>
    <w:rsid w:val="00AC1D53"/>
    <w:rsid w:val="00AC2561"/>
    <w:rsid w:val="00AC2900"/>
    <w:rsid w:val="00AC3578"/>
    <w:rsid w:val="00AC38C6"/>
    <w:rsid w:val="00AC3AD7"/>
    <w:rsid w:val="00AC528D"/>
    <w:rsid w:val="00AC52C1"/>
    <w:rsid w:val="00AC57C5"/>
    <w:rsid w:val="00AC5AB0"/>
    <w:rsid w:val="00AC637F"/>
    <w:rsid w:val="00AC6F0C"/>
    <w:rsid w:val="00AC7266"/>
    <w:rsid w:val="00AD0791"/>
    <w:rsid w:val="00AD0F91"/>
    <w:rsid w:val="00AD2636"/>
    <w:rsid w:val="00AD33E2"/>
    <w:rsid w:val="00AD3A26"/>
    <w:rsid w:val="00AD42C0"/>
    <w:rsid w:val="00AD4F91"/>
    <w:rsid w:val="00AD660B"/>
    <w:rsid w:val="00AD7CF3"/>
    <w:rsid w:val="00AE001D"/>
    <w:rsid w:val="00AE0867"/>
    <w:rsid w:val="00AE0BEF"/>
    <w:rsid w:val="00AE2799"/>
    <w:rsid w:val="00AE2955"/>
    <w:rsid w:val="00AE5568"/>
    <w:rsid w:val="00AE6336"/>
    <w:rsid w:val="00AE6970"/>
    <w:rsid w:val="00AE78F5"/>
    <w:rsid w:val="00AF00D9"/>
    <w:rsid w:val="00AF1013"/>
    <w:rsid w:val="00AF2603"/>
    <w:rsid w:val="00AF32FD"/>
    <w:rsid w:val="00AF37D5"/>
    <w:rsid w:val="00AF4163"/>
    <w:rsid w:val="00AF47A3"/>
    <w:rsid w:val="00AF5319"/>
    <w:rsid w:val="00AF5D7F"/>
    <w:rsid w:val="00AF619E"/>
    <w:rsid w:val="00AF6C06"/>
    <w:rsid w:val="00AF6FAE"/>
    <w:rsid w:val="00B0099D"/>
    <w:rsid w:val="00B00BE5"/>
    <w:rsid w:val="00B04D40"/>
    <w:rsid w:val="00B04E09"/>
    <w:rsid w:val="00B0519F"/>
    <w:rsid w:val="00B05757"/>
    <w:rsid w:val="00B06D9A"/>
    <w:rsid w:val="00B117B5"/>
    <w:rsid w:val="00B12380"/>
    <w:rsid w:val="00B1276E"/>
    <w:rsid w:val="00B14604"/>
    <w:rsid w:val="00B14826"/>
    <w:rsid w:val="00B14FC9"/>
    <w:rsid w:val="00B17065"/>
    <w:rsid w:val="00B1770D"/>
    <w:rsid w:val="00B178D2"/>
    <w:rsid w:val="00B17C35"/>
    <w:rsid w:val="00B20747"/>
    <w:rsid w:val="00B227A2"/>
    <w:rsid w:val="00B228ED"/>
    <w:rsid w:val="00B22B80"/>
    <w:rsid w:val="00B2590A"/>
    <w:rsid w:val="00B25C73"/>
    <w:rsid w:val="00B261F1"/>
    <w:rsid w:val="00B303F8"/>
    <w:rsid w:val="00B3059A"/>
    <w:rsid w:val="00B30889"/>
    <w:rsid w:val="00B31414"/>
    <w:rsid w:val="00B31FDC"/>
    <w:rsid w:val="00B32308"/>
    <w:rsid w:val="00B32748"/>
    <w:rsid w:val="00B330AD"/>
    <w:rsid w:val="00B33FC2"/>
    <w:rsid w:val="00B356A2"/>
    <w:rsid w:val="00B36B50"/>
    <w:rsid w:val="00B36EF4"/>
    <w:rsid w:val="00B374B1"/>
    <w:rsid w:val="00B402E7"/>
    <w:rsid w:val="00B4128F"/>
    <w:rsid w:val="00B418EC"/>
    <w:rsid w:val="00B4216F"/>
    <w:rsid w:val="00B42E15"/>
    <w:rsid w:val="00B4320A"/>
    <w:rsid w:val="00B442D7"/>
    <w:rsid w:val="00B44658"/>
    <w:rsid w:val="00B4544E"/>
    <w:rsid w:val="00B46B19"/>
    <w:rsid w:val="00B50854"/>
    <w:rsid w:val="00B50C8A"/>
    <w:rsid w:val="00B52375"/>
    <w:rsid w:val="00B52722"/>
    <w:rsid w:val="00B541DD"/>
    <w:rsid w:val="00B5446A"/>
    <w:rsid w:val="00B5464F"/>
    <w:rsid w:val="00B546C3"/>
    <w:rsid w:val="00B5474F"/>
    <w:rsid w:val="00B54AA4"/>
    <w:rsid w:val="00B55210"/>
    <w:rsid w:val="00B556F2"/>
    <w:rsid w:val="00B55DF6"/>
    <w:rsid w:val="00B5772D"/>
    <w:rsid w:val="00B57F28"/>
    <w:rsid w:val="00B617FA"/>
    <w:rsid w:val="00B61FCF"/>
    <w:rsid w:val="00B632AB"/>
    <w:rsid w:val="00B654E7"/>
    <w:rsid w:val="00B65A8F"/>
    <w:rsid w:val="00B71D1A"/>
    <w:rsid w:val="00B72EA0"/>
    <w:rsid w:val="00B748BF"/>
    <w:rsid w:val="00B75CBE"/>
    <w:rsid w:val="00B7601B"/>
    <w:rsid w:val="00B76B9D"/>
    <w:rsid w:val="00B76BA6"/>
    <w:rsid w:val="00B77BD8"/>
    <w:rsid w:val="00B812FD"/>
    <w:rsid w:val="00B81342"/>
    <w:rsid w:val="00B82E6B"/>
    <w:rsid w:val="00B8323D"/>
    <w:rsid w:val="00B8354E"/>
    <w:rsid w:val="00B83EDE"/>
    <w:rsid w:val="00B84757"/>
    <w:rsid w:val="00B85A1C"/>
    <w:rsid w:val="00B8724E"/>
    <w:rsid w:val="00B90CD7"/>
    <w:rsid w:val="00B91D65"/>
    <w:rsid w:val="00B930D1"/>
    <w:rsid w:val="00B93A56"/>
    <w:rsid w:val="00B9435F"/>
    <w:rsid w:val="00B948C8"/>
    <w:rsid w:val="00B94DD9"/>
    <w:rsid w:val="00B94F0E"/>
    <w:rsid w:val="00B95104"/>
    <w:rsid w:val="00B958B0"/>
    <w:rsid w:val="00B95941"/>
    <w:rsid w:val="00B95966"/>
    <w:rsid w:val="00B96BA6"/>
    <w:rsid w:val="00BA01B9"/>
    <w:rsid w:val="00BA0E15"/>
    <w:rsid w:val="00BA4A2C"/>
    <w:rsid w:val="00BA4B2D"/>
    <w:rsid w:val="00BA4F6E"/>
    <w:rsid w:val="00BA5223"/>
    <w:rsid w:val="00BA528E"/>
    <w:rsid w:val="00BA7FEB"/>
    <w:rsid w:val="00BB04BD"/>
    <w:rsid w:val="00BB0CF0"/>
    <w:rsid w:val="00BB1B44"/>
    <w:rsid w:val="00BB2D76"/>
    <w:rsid w:val="00BB6B99"/>
    <w:rsid w:val="00BB7A46"/>
    <w:rsid w:val="00BC0BF9"/>
    <w:rsid w:val="00BC212A"/>
    <w:rsid w:val="00BC22E4"/>
    <w:rsid w:val="00BC2CDA"/>
    <w:rsid w:val="00BC3385"/>
    <w:rsid w:val="00BC4B6E"/>
    <w:rsid w:val="00BC4C39"/>
    <w:rsid w:val="00BC4EE9"/>
    <w:rsid w:val="00BC5C52"/>
    <w:rsid w:val="00BC62E3"/>
    <w:rsid w:val="00BC6C61"/>
    <w:rsid w:val="00BC73DA"/>
    <w:rsid w:val="00BD03F0"/>
    <w:rsid w:val="00BD042B"/>
    <w:rsid w:val="00BD04C6"/>
    <w:rsid w:val="00BD0D82"/>
    <w:rsid w:val="00BD1637"/>
    <w:rsid w:val="00BD1666"/>
    <w:rsid w:val="00BD26C8"/>
    <w:rsid w:val="00BD3F49"/>
    <w:rsid w:val="00BD4331"/>
    <w:rsid w:val="00BD4D19"/>
    <w:rsid w:val="00BD4D32"/>
    <w:rsid w:val="00BD4D81"/>
    <w:rsid w:val="00BD4F57"/>
    <w:rsid w:val="00BD6540"/>
    <w:rsid w:val="00BE0EF1"/>
    <w:rsid w:val="00BE1451"/>
    <w:rsid w:val="00BE182C"/>
    <w:rsid w:val="00BE4830"/>
    <w:rsid w:val="00BE5E30"/>
    <w:rsid w:val="00BE65F8"/>
    <w:rsid w:val="00BE7754"/>
    <w:rsid w:val="00BE7B23"/>
    <w:rsid w:val="00BE7E19"/>
    <w:rsid w:val="00BF138F"/>
    <w:rsid w:val="00BF2024"/>
    <w:rsid w:val="00BF2048"/>
    <w:rsid w:val="00BF22B1"/>
    <w:rsid w:val="00BF2553"/>
    <w:rsid w:val="00BF47D4"/>
    <w:rsid w:val="00BF5D03"/>
    <w:rsid w:val="00BF6BA8"/>
    <w:rsid w:val="00BF7493"/>
    <w:rsid w:val="00C001BC"/>
    <w:rsid w:val="00C007B9"/>
    <w:rsid w:val="00C00E15"/>
    <w:rsid w:val="00C023EB"/>
    <w:rsid w:val="00C02A6A"/>
    <w:rsid w:val="00C03750"/>
    <w:rsid w:val="00C061DB"/>
    <w:rsid w:val="00C06DC4"/>
    <w:rsid w:val="00C06F00"/>
    <w:rsid w:val="00C072C9"/>
    <w:rsid w:val="00C1176E"/>
    <w:rsid w:val="00C11BB6"/>
    <w:rsid w:val="00C1225A"/>
    <w:rsid w:val="00C1260E"/>
    <w:rsid w:val="00C134D0"/>
    <w:rsid w:val="00C13988"/>
    <w:rsid w:val="00C139E7"/>
    <w:rsid w:val="00C13AC9"/>
    <w:rsid w:val="00C14EA7"/>
    <w:rsid w:val="00C16695"/>
    <w:rsid w:val="00C17274"/>
    <w:rsid w:val="00C175DB"/>
    <w:rsid w:val="00C20C80"/>
    <w:rsid w:val="00C212ED"/>
    <w:rsid w:val="00C215FF"/>
    <w:rsid w:val="00C2182F"/>
    <w:rsid w:val="00C21943"/>
    <w:rsid w:val="00C2389F"/>
    <w:rsid w:val="00C2626F"/>
    <w:rsid w:val="00C276FE"/>
    <w:rsid w:val="00C30A8C"/>
    <w:rsid w:val="00C329A0"/>
    <w:rsid w:val="00C33F58"/>
    <w:rsid w:val="00C34749"/>
    <w:rsid w:val="00C3487C"/>
    <w:rsid w:val="00C3687F"/>
    <w:rsid w:val="00C37319"/>
    <w:rsid w:val="00C373D2"/>
    <w:rsid w:val="00C40D1C"/>
    <w:rsid w:val="00C433A2"/>
    <w:rsid w:val="00C44143"/>
    <w:rsid w:val="00C44FFD"/>
    <w:rsid w:val="00C45942"/>
    <w:rsid w:val="00C468A5"/>
    <w:rsid w:val="00C47D75"/>
    <w:rsid w:val="00C5042E"/>
    <w:rsid w:val="00C50847"/>
    <w:rsid w:val="00C513BE"/>
    <w:rsid w:val="00C51FEF"/>
    <w:rsid w:val="00C5238C"/>
    <w:rsid w:val="00C5391D"/>
    <w:rsid w:val="00C53B92"/>
    <w:rsid w:val="00C54968"/>
    <w:rsid w:val="00C5500D"/>
    <w:rsid w:val="00C550DA"/>
    <w:rsid w:val="00C55E58"/>
    <w:rsid w:val="00C60020"/>
    <w:rsid w:val="00C60BB0"/>
    <w:rsid w:val="00C61151"/>
    <w:rsid w:val="00C633CC"/>
    <w:rsid w:val="00C6531C"/>
    <w:rsid w:val="00C654A6"/>
    <w:rsid w:val="00C6582F"/>
    <w:rsid w:val="00C65C2A"/>
    <w:rsid w:val="00C671BC"/>
    <w:rsid w:val="00C70DE4"/>
    <w:rsid w:val="00C70FDB"/>
    <w:rsid w:val="00C71255"/>
    <w:rsid w:val="00C71585"/>
    <w:rsid w:val="00C718DE"/>
    <w:rsid w:val="00C71978"/>
    <w:rsid w:val="00C71C10"/>
    <w:rsid w:val="00C71F8E"/>
    <w:rsid w:val="00C721F7"/>
    <w:rsid w:val="00C742D3"/>
    <w:rsid w:val="00C746D3"/>
    <w:rsid w:val="00C7586A"/>
    <w:rsid w:val="00C76C6B"/>
    <w:rsid w:val="00C774A3"/>
    <w:rsid w:val="00C80A85"/>
    <w:rsid w:val="00C811F8"/>
    <w:rsid w:val="00C82F6D"/>
    <w:rsid w:val="00C87E90"/>
    <w:rsid w:val="00C9047B"/>
    <w:rsid w:val="00C9369A"/>
    <w:rsid w:val="00C94319"/>
    <w:rsid w:val="00C957D1"/>
    <w:rsid w:val="00C95963"/>
    <w:rsid w:val="00C95D7C"/>
    <w:rsid w:val="00C96B7A"/>
    <w:rsid w:val="00CA01B8"/>
    <w:rsid w:val="00CA046B"/>
    <w:rsid w:val="00CA0BB0"/>
    <w:rsid w:val="00CA14A1"/>
    <w:rsid w:val="00CA241E"/>
    <w:rsid w:val="00CA2A39"/>
    <w:rsid w:val="00CA2C4A"/>
    <w:rsid w:val="00CA2DB4"/>
    <w:rsid w:val="00CA45CF"/>
    <w:rsid w:val="00CA6344"/>
    <w:rsid w:val="00CA6460"/>
    <w:rsid w:val="00CA6EEB"/>
    <w:rsid w:val="00CA70E1"/>
    <w:rsid w:val="00CA785C"/>
    <w:rsid w:val="00CB0AC0"/>
    <w:rsid w:val="00CB1019"/>
    <w:rsid w:val="00CB1B6A"/>
    <w:rsid w:val="00CB1F47"/>
    <w:rsid w:val="00CB2391"/>
    <w:rsid w:val="00CB2B80"/>
    <w:rsid w:val="00CB2E07"/>
    <w:rsid w:val="00CB38B7"/>
    <w:rsid w:val="00CB46A0"/>
    <w:rsid w:val="00CB4748"/>
    <w:rsid w:val="00CB4DA1"/>
    <w:rsid w:val="00CB4DB7"/>
    <w:rsid w:val="00CB4E60"/>
    <w:rsid w:val="00CB4ECA"/>
    <w:rsid w:val="00CB560A"/>
    <w:rsid w:val="00CB5A3B"/>
    <w:rsid w:val="00CB5DF7"/>
    <w:rsid w:val="00CB7264"/>
    <w:rsid w:val="00CB741B"/>
    <w:rsid w:val="00CC03E0"/>
    <w:rsid w:val="00CC2B9A"/>
    <w:rsid w:val="00CC2F7B"/>
    <w:rsid w:val="00CC3060"/>
    <w:rsid w:val="00CC3E26"/>
    <w:rsid w:val="00CC40C4"/>
    <w:rsid w:val="00CC49DA"/>
    <w:rsid w:val="00CC5619"/>
    <w:rsid w:val="00CC6D8D"/>
    <w:rsid w:val="00CC7146"/>
    <w:rsid w:val="00CD0AD6"/>
    <w:rsid w:val="00CD12FA"/>
    <w:rsid w:val="00CD140D"/>
    <w:rsid w:val="00CD1F87"/>
    <w:rsid w:val="00CD2600"/>
    <w:rsid w:val="00CD3853"/>
    <w:rsid w:val="00CD43C1"/>
    <w:rsid w:val="00CD4AD1"/>
    <w:rsid w:val="00CD52B3"/>
    <w:rsid w:val="00CD579E"/>
    <w:rsid w:val="00CD6E77"/>
    <w:rsid w:val="00CE0D19"/>
    <w:rsid w:val="00CE1CAF"/>
    <w:rsid w:val="00CE2159"/>
    <w:rsid w:val="00CE3763"/>
    <w:rsid w:val="00CE419F"/>
    <w:rsid w:val="00CE41F5"/>
    <w:rsid w:val="00CE436E"/>
    <w:rsid w:val="00CE43E9"/>
    <w:rsid w:val="00CE47ED"/>
    <w:rsid w:val="00CE4C02"/>
    <w:rsid w:val="00CE5009"/>
    <w:rsid w:val="00CE5B85"/>
    <w:rsid w:val="00CF05C3"/>
    <w:rsid w:val="00CF06A1"/>
    <w:rsid w:val="00CF1A97"/>
    <w:rsid w:val="00CF247C"/>
    <w:rsid w:val="00CF3790"/>
    <w:rsid w:val="00CF4F66"/>
    <w:rsid w:val="00CF5163"/>
    <w:rsid w:val="00CF5413"/>
    <w:rsid w:val="00CF62AC"/>
    <w:rsid w:val="00CF66F9"/>
    <w:rsid w:val="00CF6F5D"/>
    <w:rsid w:val="00D00A3D"/>
    <w:rsid w:val="00D0262E"/>
    <w:rsid w:val="00D02A55"/>
    <w:rsid w:val="00D031B9"/>
    <w:rsid w:val="00D03778"/>
    <w:rsid w:val="00D045E5"/>
    <w:rsid w:val="00D04DB1"/>
    <w:rsid w:val="00D060F6"/>
    <w:rsid w:val="00D0682B"/>
    <w:rsid w:val="00D07401"/>
    <w:rsid w:val="00D07F0D"/>
    <w:rsid w:val="00D10DAB"/>
    <w:rsid w:val="00D12045"/>
    <w:rsid w:val="00D125F2"/>
    <w:rsid w:val="00D15A4B"/>
    <w:rsid w:val="00D15AC0"/>
    <w:rsid w:val="00D15B27"/>
    <w:rsid w:val="00D16110"/>
    <w:rsid w:val="00D16D01"/>
    <w:rsid w:val="00D1746D"/>
    <w:rsid w:val="00D17B19"/>
    <w:rsid w:val="00D20D14"/>
    <w:rsid w:val="00D23232"/>
    <w:rsid w:val="00D2343D"/>
    <w:rsid w:val="00D24B29"/>
    <w:rsid w:val="00D251F9"/>
    <w:rsid w:val="00D25875"/>
    <w:rsid w:val="00D25D55"/>
    <w:rsid w:val="00D2624B"/>
    <w:rsid w:val="00D26A9E"/>
    <w:rsid w:val="00D275FC"/>
    <w:rsid w:val="00D3051C"/>
    <w:rsid w:val="00D306C3"/>
    <w:rsid w:val="00D30B2A"/>
    <w:rsid w:val="00D31521"/>
    <w:rsid w:val="00D317B5"/>
    <w:rsid w:val="00D31FBC"/>
    <w:rsid w:val="00D32C72"/>
    <w:rsid w:val="00D33902"/>
    <w:rsid w:val="00D33CF8"/>
    <w:rsid w:val="00D34464"/>
    <w:rsid w:val="00D34622"/>
    <w:rsid w:val="00D3721D"/>
    <w:rsid w:val="00D4024A"/>
    <w:rsid w:val="00D4040C"/>
    <w:rsid w:val="00D406D8"/>
    <w:rsid w:val="00D40BB1"/>
    <w:rsid w:val="00D4124D"/>
    <w:rsid w:val="00D41432"/>
    <w:rsid w:val="00D457AF"/>
    <w:rsid w:val="00D47F22"/>
    <w:rsid w:val="00D47F8C"/>
    <w:rsid w:val="00D50C0E"/>
    <w:rsid w:val="00D50E85"/>
    <w:rsid w:val="00D51564"/>
    <w:rsid w:val="00D5192D"/>
    <w:rsid w:val="00D5214F"/>
    <w:rsid w:val="00D521C6"/>
    <w:rsid w:val="00D54A82"/>
    <w:rsid w:val="00D5593C"/>
    <w:rsid w:val="00D55CDB"/>
    <w:rsid w:val="00D566F8"/>
    <w:rsid w:val="00D57761"/>
    <w:rsid w:val="00D60CC1"/>
    <w:rsid w:val="00D60D30"/>
    <w:rsid w:val="00D6253E"/>
    <w:rsid w:val="00D63159"/>
    <w:rsid w:val="00D639D5"/>
    <w:rsid w:val="00D65269"/>
    <w:rsid w:val="00D65E9B"/>
    <w:rsid w:val="00D66465"/>
    <w:rsid w:val="00D66648"/>
    <w:rsid w:val="00D66B5D"/>
    <w:rsid w:val="00D66EA5"/>
    <w:rsid w:val="00D67037"/>
    <w:rsid w:val="00D673B2"/>
    <w:rsid w:val="00D67DD4"/>
    <w:rsid w:val="00D7075A"/>
    <w:rsid w:val="00D70C5D"/>
    <w:rsid w:val="00D72E59"/>
    <w:rsid w:val="00D73478"/>
    <w:rsid w:val="00D7404B"/>
    <w:rsid w:val="00D747C4"/>
    <w:rsid w:val="00D7662D"/>
    <w:rsid w:val="00D82759"/>
    <w:rsid w:val="00D832E8"/>
    <w:rsid w:val="00D83330"/>
    <w:rsid w:val="00D838D4"/>
    <w:rsid w:val="00D849AA"/>
    <w:rsid w:val="00D849AD"/>
    <w:rsid w:val="00D84B36"/>
    <w:rsid w:val="00D85443"/>
    <w:rsid w:val="00D8583C"/>
    <w:rsid w:val="00D86A69"/>
    <w:rsid w:val="00D90FF3"/>
    <w:rsid w:val="00D9112E"/>
    <w:rsid w:val="00D913D3"/>
    <w:rsid w:val="00D920E6"/>
    <w:rsid w:val="00D9412E"/>
    <w:rsid w:val="00DA00DB"/>
    <w:rsid w:val="00DA0B42"/>
    <w:rsid w:val="00DA1019"/>
    <w:rsid w:val="00DA1E9A"/>
    <w:rsid w:val="00DA1FA0"/>
    <w:rsid w:val="00DA3144"/>
    <w:rsid w:val="00DA3357"/>
    <w:rsid w:val="00DA384B"/>
    <w:rsid w:val="00DA3966"/>
    <w:rsid w:val="00DA5210"/>
    <w:rsid w:val="00DA53C3"/>
    <w:rsid w:val="00DA632F"/>
    <w:rsid w:val="00DA6CF7"/>
    <w:rsid w:val="00DA6D48"/>
    <w:rsid w:val="00DB06D0"/>
    <w:rsid w:val="00DB117B"/>
    <w:rsid w:val="00DB16C6"/>
    <w:rsid w:val="00DB1B55"/>
    <w:rsid w:val="00DB1EAF"/>
    <w:rsid w:val="00DB38A6"/>
    <w:rsid w:val="00DB3C16"/>
    <w:rsid w:val="00DB52B1"/>
    <w:rsid w:val="00DB5E25"/>
    <w:rsid w:val="00DB5E46"/>
    <w:rsid w:val="00DB6368"/>
    <w:rsid w:val="00DB64E2"/>
    <w:rsid w:val="00DB6908"/>
    <w:rsid w:val="00DB6C49"/>
    <w:rsid w:val="00DB6DD4"/>
    <w:rsid w:val="00DB71A1"/>
    <w:rsid w:val="00DB7343"/>
    <w:rsid w:val="00DB73DD"/>
    <w:rsid w:val="00DB7870"/>
    <w:rsid w:val="00DB7AEA"/>
    <w:rsid w:val="00DC0893"/>
    <w:rsid w:val="00DC1252"/>
    <w:rsid w:val="00DC1AFC"/>
    <w:rsid w:val="00DC209A"/>
    <w:rsid w:val="00DC23D1"/>
    <w:rsid w:val="00DC36CF"/>
    <w:rsid w:val="00DC424D"/>
    <w:rsid w:val="00DC45F3"/>
    <w:rsid w:val="00DC53FB"/>
    <w:rsid w:val="00DC6915"/>
    <w:rsid w:val="00DC7356"/>
    <w:rsid w:val="00DD0254"/>
    <w:rsid w:val="00DD0B52"/>
    <w:rsid w:val="00DD0C87"/>
    <w:rsid w:val="00DD1363"/>
    <w:rsid w:val="00DD15F0"/>
    <w:rsid w:val="00DD2A07"/>
    <w:rsid w:val="00DD439A"/>
    <w:rsid w:val="00DD4575"/>
    <w:rsid w:val="00DD5494"/>
    <w:rsid w:val="00DD63DD"/>
    <w:rsid w:val="00DD68A4"/>
    <w:rsid w:val="00DD72BB"/>
    <w:rsid w:val="00DD7B4B"/>
    <w:rsid w:val="00DE0538"/>
    <w:rsid w:val="00DE08BC"/>
    <w:rsid w:val="00DE0ED5"/>
    <w:rsid w:val="00DE2035"/>
    <w:rsid w:val="00DE22B4"/>
    <w:rsid w:val="00DE25F9"/>
    <w:rsid w:val="00DE26DB"/>
    <w:rsid w:val="00DE3B72"/>
    <w:rsid w:val="00DE44EC"/>
    <w:rsid w:val="00DE56DC"/>
    <w:rsid w:val="00DE5820"/>
    <w:rsid w:val="00DE7F7E"/>
    <w:rsid w:val="00DF034B"/>
    <w:rsid w:val="00DF1908"/>
    <w:rsid w:val="00DF5276"/>
    <w:rsid w:val="00DF5361"/>
    <w:rsid w:val="00DF62D4"/>
    <w:rsid w:val="00DF6819"/>
    <w:rsid w:val="00DF682E"/>
    <w:rsid w:val="00DF76EF"/>
    <w:rsid w:val="00E005D2"/>
    <w:rsid w:val="00E00B63"/>
    <w:rsid w:val="00E01187"/>
    <w:rsid w:val="00E019B3"/>
    <w:rsid w:val="00E0203E"/>
    <w:rsid w:val="00E02156"/>
    <w:rsid w:val="00E0296B"/>
    <w:rsid w:val="00E043B0"/>
    <w:rsid w:val="00E04810"/>
    <w:rsid w:val="00E04979"/>
    <w:rsid w:val="00E0794D"/>
    <w:rsid w:val="00E10646"/>
    <w:rsid w:val="00E11320"/>
    <w:rsid w:val="00E122B8"/>
    <w:rsid w:val="00E140DA"/>
    <w:rsid w:val="00E14C04"/>
    <w:rsid w:val="00E15049"/>
    <w:rsid w:val="00E15832"/>
    <w:rsid w:val="00E15B4E"/>
    <w:rsid w:val="00E16CC2"/>
    <w:rsid w:val="00E16D84"/>
    <w:rsid w:val="00E1723D"/>
    <w:rsid w:val="00E21030"/>
    <w:rsid w:val="00E213F3"/>
    <w:rsid w:val="00E22240"/>
    <w:rsid w:val="00E2239B"/>
    <w:rsid w:val="00E22590"/>
    <w:rsid w:val="00E238D0"/>
    <w:rsid w:val="00E23C35"/>
    <w:rsid w:val="00E24F1E"/>
    <w:rsid w:val="00E252A6"/>
    <w:rsid w:val="00E25EE2"/>
    <w:rsid w:val="00E25F71"/>
    <w:rsid w:val="00E2653A"/>
    <w:rsid w:val="00E26DF6"/>
    <w:rsid w:val="00E30F8D"/>
    <w:rsid w:val="00E3210B"/>
    <w:rsid w:val="00E32977"/>
    <w:rsid w:val="00E34152"/>
    <w:rsid w:val="00E34929"/>
    <w:rsid w:val="00E34F16"/>
    <w:rsid w:val="00E35835"/>
    <w:rsid w:val="00E361D3"/>
    <w:rsid w:val="00E408A0"/>
    <w:rsid w:val="00E41340"/>
    <w:rsid w:val="00E4185C"/>
    <w:rsid w:val="00E434B8"/>
    <w:rsid w:val="00E43E52"/>
    <w:rsid w:val="00E458B4"/>
    <w:rsid w:val="00E45A5B"/>
    <w:rsid w:val="00E45D77"/>
    <w:rsid w:val="00E46EA9"/>
    <w:rsid w:val="00E50913"/>
    <w:rsid w:val="00E514CD"/>
    <w:rsid w:val="00E5297A"/>
    <w:rsid w:val="00E530AD"/>
    <w:rsid w:val="00E53A2A"/>
    <w:rsid w:val="00E541E6"/>
    <w:rsid w:val="00E547C8"/>
    <w:rsid w:val="00E550DA"/>
    <w:rsid w:val="00E55564"/>
    <w:rsid w:val="00E55C70"/>
    <w:rsid w:val="00E55E34"/>
    <w:rsid w:val="00E57419"/>
    <w:rsid w:val="00E57555"/>
    <w:rsid w:val="00E576A0"/>
    <w:rsid w:val="00E579BE"/>
    <w:rsid w:val="00E57C53"/>
    <w:rsid w:val="00E61B89"/>
    <w:rsid w:val="00E62166"/>
    <w:rsid w:val="00E63A34"/>
    <w:rsid w:val="00E6535D"/>
    <w:rsid w:val="00E65E2D"/>
    <w:rsid w:val="00E6728E"/>
    <w:rsid w:val="00E676B0"/>
    <w:rsid w:val="00E67C6D"/>
    <w:rsid w:val="00E67E85"/>
    <w:rsid w:val="00E7029E"/>
    <w:rsid w:val="00E71B0E"/>
    <w:rsid w:val="00E7220E"/>
    <w:rsid w:val="00E7265C"/>
    <w:rsid w:val="00E72C2A"/>
    <w:rsid w:val="00E72FF7"/>
    <w:rsid w:val="00E7304F"/>
    <w:rsid w:val="00E73B40"/>
    <w:rsid w:val="00E7443D"/>
    <w:rsid w:val="00E75731"/>
    <w:rsid w:val="00E762F1"/>
    <w:rsid w:val="00E76994"/>
    <w:rsid w:val="00E770F7"/>
    <w:rsid w:val="00E77709"/>
    <w:rsid w:val="00E80665"/>
    <w:rsid w:val="00E80E5F"/>
    <w:rsid w:val="00E814FC"/>
    <w:rsid w:val="00E81B91"/>
    <w:rsid w:val="00E82623"/>
    <w:rsid w:val="00E8383A"/>
    <w:rsid w:val="00E84ACF"/>
    <w:rsid w:val="00E84C8F"/>
    <w:rsid w:val="00E85B5E"/>
    <w:rsid w:val="00E86113"/>
    <w:rsid w:val="00E86C71"/>
    <w:rsid w:val="00E90128"/>
    <w:rsid w:val="00E90EFF"/>
    <w:rsid w:val="00E917AB"/>
    <w:rsid w:val="00E93935"/>
    <w:rsid w:val="00E93B08"/>
    <w:rsid w:val="00E94F35"/>
    <w:rsid w:val="00E95268"/>
    <w:rsid w:val="00E96BF2"/>
    <w:rsid w:val="00E97DA5"/>
    <w:rsid w:val="00EA005D"/>
    <w:rsid w:val="00EA01BB"/>
    <w:rsid w:val="00EA0C71"/>
    <w:rsid w:val="00EA2224"/>
    <w:rsid w:val="00EA275D"/>
    <w:rsid w:val="00EA2C8D"/>
    <w:rsid w:val="00EA2E29"/>
    <w:rsid w:val="00EA2E88"/>
    <w:rsid w:val="00EA3025"/>
    <w:rsid w:val="00EA35BE"/>
    <w:rsid w:val="00EA3DEE"/>
    <w:rsid w:val="00EA4C08"/>
    <w:rsid w:val="00EA5741"/>
    <w:rsid w:val="00EA5E84"/>
    <w:rsid w:val="00EA70EE"/>
    <w:rsid w:val="00EB0DE8"/>
    <w:rsid w:val="00EB295A"/>
    <w:rsid w:val="00EB310B"/>
    <w:rsid w:val="00EB4024"/>
    <w:rsid w:val="00EB431E"/>
    <w:rsid w:val="00EB5DF2"/>
    <w:rsid w:val="00EB6181"/>
    <w:rsid w:val="00EC203A"/>
    <w:rsid w:val="00EC2318"/>
    <w:rsid w:val="00EC2A85"/>
    <w:rsid w:val="00EC2A92"/>
    <w:rsid w:val="00EC3409"/>
    <w:rsid w:val="00EC340E"/>
    <w:rsid w:val="00EC373D"/>
    <w:rsid w:val="00EC46BF"/>
    <w:rsid w:val="00EC4749"/>
    <w:rsid w:val="00EC47CA"/>
    <w:rsid w:val="00EC603D"/>
    <w:rsid w:val="00EC68A4"/>
    <w:rsid w:val="00EC69E4"/>
    <w:rsid w:val="00EC6D75"/>
    <w:rsid w:val="00EC72AC"/>
    <w:rsid w:val="00EC7AC5"/>
    <w:rsid w:val="00ED2BDA"/>
    <w:rsid w:val="00ED2F16"/>
    <w:rsid w:val="00ED362E"/>
    <w:rsid w:val="00ED453A"/>
    <w:rsid w:val="00ED6CDD"/>
    <w:rsid w:val="00ED7147"/>
    <w:rsid w:val="00ED7594"/>
    <w:rsid w:val="00ED77F9"/>
    <w:rsid w:val="00EE11D2"/>
    <w:rsid w:val="00EE1589"/>
    <w:rsid w:val="00EE19C5"/>
    <w:rsid w:val="00EE2730"/>
    <w:rsid w:val="00EE32CD"/>
    <w:rsid w:val="00EE33CA"/>
    <w:rsid w:val="00EE6A22"/>
    <w:rsid w:val="00EE7504"/>
    <w:rsid w:val="00EF1178"/>
    <w:rsid w:val="00EF28E3"/>
    <w:rsid w:val="00EF2CF5"/>
    <w:rsid w:val="00EF2CFD"/>
    <w:rsid w:val="00EF3A21"/>
    <w:rsid w:val="00EF427A"/>
    <w:rsid w:val="00EF44B4"/>
    <w:rsid w:val="00EF4F81"/>
    <w:rsid w:val="00EF7D9D"/>
    <w:rsid w:val="00F000EB"/>
    <w:rsid w:val="00F01729"/>
    <w:rsid w:val="00F01C22"/>
    <w:rsid w:val="00F02BAC"/>
    <w:rsid w:val="00F032B9"/>
    <w:rsid w:val="00F04F0E"/>
    <w:rsid w:val="00F05A9D"/>
    <w:rsid w:val="00F0706C"/>
    <w:rsid w:val="00F1025C"/>
    <w:rsid w:val="00F12896"/>
    <w:rsid w:val="00F15083"/>
    <w:rsid w:val="00F15251"/>
    <w:rsid w:val="00F15584"/>
    <w:rsid w:val="00F16F40"/>
    <w:rsid w:val="00F16FDC"/>
    <w:rsid w:val="00F1711D"/>
    <w:rsid w:val="00F207F2"/>
    <w:rsid w:val="00F227C5"/>
    <w:rsid w:val="00F234E0"/>
    <w:rsid w:val="00F23DC2"/>
    <w:rsid w:val="00F253FE"/>
    <w:rsid w:val="00F259E0"/>
    <w:rsid w:val="00F25B01"/>
    <w:rsid w:val="00F26A86"/>
    <w:rsid w:val="00F26B4B"/>
    <w:rsid w:val="00F26BED"/>
    <w:rsid w:val="00F30B1A"/>
    <w:rsid w:val="00F3272D"/>
    <w:rsid w:val="00F32C64"/>
    <w:rsid w:val="00F32EB3"/>
    <w:rsid w:val="00F3397B"/>
    <w:rsid w:val="00F342EF"/>
    <w:rsid w:val="00F34B22"/>
    <w:rsid w:val="00F34EF8"/>
    <w:rsid w:val="00F35668"/>
    <w:rsid w:val="00F408BD"/>
    <w:rsid w:val="00F41D45"/>
    <w:rsid w:val="00F420AA"/>
    <w:rsid w:val="00F420FF"/>
    <w:rsid w:val="00F424FC"/>
    <w:rsid w:val="00F4354E"/>
    <w:rsid w:val="00F437A6"/>
    <w:rsid w:val="00F43E62"/>
    <w:rsid w:val="00F4415D"/>
    <w:rsid w:val="00F4496C"/>
    <w:rsid w:val="00F46FA9"/>
    <w:rsid w:val="00F50151"/>
    <w:rsid w:val="00F52911"/>
    <w:rsid w:val="00F52AF9"/>
    <w:rsid w:val="00F5333F"/>
    <w:rsid w:val="00F55D89"/>
    <w:rsid w:val="00F565C9"/>
    <w:rsid w:val="00F56F40"/>
    <w:rsid w:val="00F57042"/>
    <w:rsid w:val="00F606B1"/>
    <w:rsid w:val="00F610B4"/>
    <w:rsid w:val="00F615A3"/>
    <w:rsid w:val="00F6204B"/>
    <w:rsid w:val="00F62486"/>
    <w:rsid w:val="00F62849"/>
    <w:rsid w:val="00F63551"/>
    <w:rsid w:val="00F6422D"/>
    <w:rsid w:val="00F642CD"/>
    <w:rsid w:val="00F649A4"/>
    <w:rsid w:val="00F65106"/>
    <w:rsid w:val="00F6587D"/>
    <w:rsid w:val="00F6597A"/>
    <w:rsid w:val="00F6633B"/>
    <w:rsid w:val="00F6653E"/>
    <w:rsid w:val="00F6743A"/>
    <w:rsid w:val="00F67CC6"/>
    <w:rsid w:val="00F705B0"/>
    <w:rsid w:val="00F71E4D"/>
    <w:rsid w:val="00F71E81"/>
    <w:rsid w:val="00F72CCA"/>
    <w:rsid w:val="00F73AA4"/>
    <w:rsid w:val="00F74653"/>
    <w:rsid w:val="00F74943"/>
    <w:rsid w:val="00F760DC"/>
    <w:rsid w:val="00F765FA"/>
    <w:rsid w:val="00F768C1"/>
    <w:rsid w:val="00F769C4"/>
    <w:rsid w:val="00F76CD0"/>
    <w:rsid w:val="00F77BF9"/>
    <w:rsid w:val="00F77CD2"/>
    <w:rsid w:val="00F82CB4"/>
    <w:rsid w:val="00F83673"/>
    <w:rsid w:val="00F84E6C"/>
    <w:rsid w:val="00F86117"/>
    <w:rsid w:val="00F8682C"/>
    <w:rsid w:val="00F86F0B"/>
    <w:rsid w:val="00F877EE"/>
    <w:rsid w:val="00F91117"/>
    <w:rsid w:val="00F91E4B"/>
    <w:rsid w:val="00F920EF"/>
    <w:rsid w:val="00F93445"/>
    <w:rsid w:val="00F939B3"/>
    <w:rsid w:val="00F94250"/>
    <w:rsid w:val="00F9690E"/>
    <w:rsid w:val="00F969F9"/>
    <w:rsid w:val="00F96DEA"/>
    <w:rsid w:val="00F97209"/>
    <w:rsid w:val="00F97BC3"/>
    <w:rsid w:val="00F97F4A"/>
    <w:rsid w:val="00FA0200"/>
    <w:rsid w:val="00FA02B4"/>
    <w:rsid w:val="00FA0581"/>
    <w:rsid w:val="00FA2142"/>
    <w:rsid w:val="00FA2F8C"/>
    <w:rsid w:val="00FA34B6"/>
    <w:rsid w:val="00FA39E4"/>
    <w:rsid w:val="00FA4199"/>
    <w:rsid w:val="00FA4FB5"/>
    <w:rsid w:val="00FA53D6"/>
    <w:rsid w:val="00FA7839"/>
    <w:rsid w:val="00FA7CE2"/>
    <w:rsid w:val="00FB07A3"/>
    <w:rsid w:val="00FB0C2E"/>
    <w:rsid w:val="00FB0E75"/>
    <w:rsid w:val="00FB1377"/>
    <w:rsid w:val="00FB16D8"/>
    <w:rsid w:val="00FB3181"/>
    <w:rsid w:val="00FB41AB"/>
    <w:rsid w:val="00FB463F"/>
    <w:rsid w:val="00FB4AE9"/>
    <w:rsid w:val="00FB580A"/>
    <w:rsid w:val="00FB5C75"/>
    <w:rsid w:val="00FB5F8B"/>
    <w:rsid w:val="00FB6A8C"/>
    <w:rsid w:val="00FB6BFE"/>
    <w:rsid w:val="00FB6E25"/>
    <w:rsid w:val="00FB6E9A"/>
    <w:rsid w:val="00FC01B8"/>
    <w:rsid w:val="00FC1058"/>
    <w:rsid w:val="00FC1765"/>
    <w:rsid w:val="00FC38A2"/>
    <w:rsid w:val="00FC3E1F"/>
    <w:rsid w:val="00FC40F7"/>
    <w:rsid w:val="00FC433B"/>
    <w:rsid w:val="00FC478F"/>
    <w:rsid w:val="00FC48F4"/>
    <w:rsid w:val="00FC5484"/>
    <w:rsid w:val="00FC5D6F"/>
    <w:rsid w:val="00FD0188"/>
    <w:rsid w:val="00FD053F"/>
    <w:rsid w:val="00FD0FFF"/>
    <w:rsid w:val="00FD2047"/>
    <w:rsid w:val="00FD26EE"/>
    <w:rsid w:val="00FD2B61"/>
    <w:rsid w:val="00FD313E"/>
    <w:rsid w:val="00FD4ADB"/>
    <w:rsid w:val="00FD5127"/>
    <w:rsid w:val="00FD5861"/>
    <w:rsid w:val="00FD5D3F"/>
    <w:rsid w:val="00FD5F29"/>
    <w:rsid w:val="00FD63D5"/>
    <w:rsid w:val="00FD676F"/>
    <w:rsid w:val="00FD681F"/>
    <w:rsid w:val="00FE16A8"/>
    <w:rsid w:val="00FE349F"/>
    <w:rsid w:val="00FE4769"/>
    <w:rsid w:val="00FE4773"/>
    <w:rsid w:val="00FE48A4"/>
    <w:rsid w:val="00FE603B"/>
    <w:rsid w:val="00FE634B"/>
    <w:rsid w:val="00FE6C8C"/>
    <w:rsid w:val="00FF3274"/>
    <w:rsid w:val="00FF38A0"/>
    <w:rsid w:val="00FF3ED8"/>
    <w:rsid w:val="00FF51BF"/>
    <w:rsid w:val="00FF57BB"/>
    <w:rsid w:val="00FF5AD2"/>
    <w:rsid w:val="00FF5C5E"/>
    <w:rsid w:val="00FF68BE"/>
    <w:rsid w:val="00FF7EE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4:docId w14:val="71CBD766"/>
  <w15:docId w15:val="{EAA8350D-299A-425C-834C-4F87BFBAC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9A3"/>
    <w:pPr>
      <w:spacing w:after="240" w:line="260" w:lineRule="exact"/>
      <w:jc w:val="both"/>
    </w:pPr>
    <w:rPr>
      <w:rFonts w:asciiTheme="minorHAnsi" w:hAnsiTheme="minorHAnsi"/>
      <w:color w:val="000000"/>
    </w:rPr>
  </w:style>
  <w:style w:type="paragraph" w:styleId="Heading1">
    <w:name w:val="heading 1"/>
    <w:basedOn w:val="HeadingBase"/>
    <w:next w:val="Normal"/>
    <w:qFormat/>
    <w:rsid w:val="001128AF"/>
    <w:pPr>
      <w:keepNext/>
      <w:spacing w:after="240"/>
      <w:outlineLvl w:val="0"/>
    </w:pPr>
    <w:rPr>
      <w:rFonts w:cs="Arial"/>
      <w:b/>
      <w:bCs/>
      <w:caps/>
      <w:kern w:val="32"/>
      <w:sz w:val="32"/>
      <w:szCs w:val="48"/>
    </w:rPr>
  </w:style>
  <w:style w:type="paragraph" w:styleId="Heading2">
    <w:name w:val="heading 2"/>
    <w:basedOn w:val="HeadingBase"/>
    <w:next w:val="Normal"/>
    <w:link w:val="Heading2Char"/>
    <w:qFormat/>
    <w:rsid w:val="00422C1D"/>
    <w:pPr>
      <w:keepNext/>
      <w:spacing w:before="120" w:after="240" w:line="260" w:lineRule="exact"/>
      <w:outlineLvl w:val="1"/>
    </w:pPr>
    <w:rPr>
      <w:rFonts w:cs="Arial"/>
      <w:b/>
      <w:bCs/>
      <w:iCs/>
      <w:sz w:val="28"/>
      <w:szCs w:val="28"/>
    </w:rPr>
  </w:style>
  <w:style w:type="paragraph" w:styleId="Heading3">
    <w:name w:val="heading 3"/>
    <w:basedOn w:val="HeadingBase"/>
    <w:next w:val="Normal"/>
    <w:link w:val="Heading3Char"/>
    <w:qFormat/>
    <w:rsid w:val="00645B20"/>
    <w:pPr>
      <w:keepNext/>
      <w:spacing w:before="240" w:after="180" w:line="260" w:lineRule="exact"/>
      <w:outlineLvl w:val="2"/>
    </w:pPr>
    <w:rPr>
      <w:rFonts w:cs="Arial"/>
      <w:b/>
      <w:bCs/>
      <w:sz w:val="24"/>
      <w:szCs w:val="26"/>
    </w:rPr>
  </w:style>
  <w:style w:type="paragraph" w:styleId="Heading4">
    <w:name w:val="heading 4"/>
    <w:basedOn w:val="HeadingBase"/>
    <w:next w:val="Normal"/>
    <w:qFormat/>
    <w:rsid w:val="00645B20"/>
    <w:pPr>
      <w:keepNext/>
      <w:spacing w:before="180" w:after="240" w:line="280" w:lineRule="exact"/>
      <w:outlineLvl w:val="3"/>
    </w:pPr>
    <w:rPr>
      <w:b/>
      <w:bCs/>
      <w:i/>
      <w:sz w:val="24"/>
      <w:szCs w:val="22"/>
    </w:rPr>
  </w:style>
  <w:style w:type="paragraph" w:styleId="Heading5">
    <w:name w:val="heading 5"/>
    <w:basedOn w:val="HeadingBase"/>
    <w:next w:val="Normal"/>
    <w:qFormat/>
    <w:rsid w:val="00E45D77"/>
    <w:pPr>
      <w:keepNext/>
      <w:spacing w:before="180" w:after="240" w:line="280" w:lineRule="exact"/>
      <w:outlineLvl w:val="4"/>
    </w:pPr>
    <w:rPr>
      <w:bCs/>
      <w:iCs/>
      <w:sz w:val="22"/>
    </w:rPr>
  </w:style>
  <w:style w:type="paragraph" w:styleId="Heading6">
    <w:name w:val="heading 6"/>
    <w:basedOn w:val="HeadingBase"/>
    <w:next w:val="Normal"/>
    <w:unhideWhenUsed/>
    <w:rsid w:val="007149D6"/>
    <w:pPr>
      <w:keepNext/>
      <w:spacing w:after="120"/>
      <w:outlineLvl w:val="5"/>
    </w:pPr>
    <w:rPr>
      <w:bCs/>
      <w:szCs w:val="22"/>
    </w:rPr>
  </w:style>
  <w:style w:type="paragraph" w:styleId="Heading7">
    <w:name w:val="heading 7"/>
    <w:basedOn w:val="Heading2"/>
    <w:next w:val="Normal"/>
    <w:unhideWhenUsed/>
    <w:rsid w:val="007149D6"/>
    <w:pPr>
      <w:jc w:val="right"/>
      <w:outlineLvl w:val="6"/>
    </w:pPr>
  </w:style>
  <w:style w:type="paragraph" w:styleId="Heading8">
    <w:name w:val="heading 8"/>
    <w:basedOn w:val="HeadingBase"/>
    <w:next w:val="Normal"/>
    <w:unhideWhenUsed/>
    <w:rsid w:val="007149D6"/>
    <w:pPr>
      <w:keepNext/>
      <w:spacing w:before="284" w:after="360"/>
      <w:jc w:val="right"/>
      <w:outlineLvl w:val="7"/>
    </w:pPr>
    <w:rPr>
      <w:iCs/>
      <w:sz w:val="48"/>
      <w:szCs w:val="24"/>
    </w:rPr>
  </w:style>
  <w:style w:type="paragraph" w:styleId="Heading9">
    <w:name w:val="heading 9"/>
    <w:basedOn w:val="HeadingBase"/>
    <w:next w:val="Normal"/>
    <w:unhideWhenUsed/>
    <w:rsid w:val="007149D6"/>
    <w:pPr>
      <w:keepNext/>
      <w:spacing w:before="170" w:after="113" w:line="320" w:lineRule="exact"/>
      <w:jc w:val="right"/>
      <w:outlineLvl w:val="8"/>
    </w:pPr>
    <w:rPr>
      <w:rFonts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7149D6"/>
    <w:pPr>
      <w:spacing w:after="0"/>
    </w:pPr>
  </w:style>
  <w:style w:type="character" w:styleId="Hyperlink">
    <w:name w:val="Hyperlink"/>
    <w:basedOn w:val="DefaultParagraphFont"/>
    <w:uiPriority w:val="99"/>
    <w:rsid w:val="00672036"/>
    <w:rPr>
      <w:color w:val="477B59" w:themeColor="accent1"/>
      <w:u w:val="none"/>
    </w:rPr>
  </w:style>
  <w:style w:type="character" w:styleId="FootnoteReference">
    <w:name w:val="footnote reference"/>
    <w:basedOn w:val="DefaultParagraphFont"/>
    <w:rsid w:val="007149D6"/>
    <w:rPr>
      <w:vertAlign w:val="superscript"/>
    </w:rPr>
  </w:style>
  <w:style w:type="paragraph" w:styleId="BalloonText">
    <w:name w:val="Balloon Text"/>
    <w:basedOn w:val="Normal"/>
    <w:rsid w:val="00415F67"/>
    <w:rPr>
      <w:rFonts w:ascii="Tahoma" w:hAnsi="Tahoma" w:cs="Tahoma"/>
      <w:sz w:val="16"/>
      <w:szCs w:val="16"/>
    </w:rPr>
  </w:style>
  <w:style w:type="character" w:styleId="PageNumber">
    <w:name w:val="page number"/>
    <w:basedOn w:val="DefaultParagraphFont"/>
    <w:rsid w:val="007149D6"/>
    <w:rPr>
      <w:rFonts w:asciiTheme="minorHAnsi" w:hAnsiTheme="minorHAnsi"/>
      <w:color w:val="003E74"/>
      <w:sz w:val="18"/>
      <w:szCs w:val="18"/>
    </w:rPr>
  </w:style>
  <w:style w:type="paragraph" w:styleId="FootnoteText">
    <w:name w:val="footnote text"/>
    <w:basedOn w:val="Normal"/>
    <w:link w:val="FootnoteTextChar"/>
    <w:rsid w:val="007149D6"/>
    <w:pPr>
      <w:tabs>
        <w:tab w:val="left" w:pos="284"/>
      </w:tabs>
      <w:spacing w:after="0" w:line="240" w:lineRule="auto"/>
      <w:ind w:left="284" w:hanging="284"/>
    </w:pPr>
    <w:rPr>
      <w:sz w:val="18"/>
    </w:rPr>
  </w:style>
  <w:style w:type="paragraph" w:customStyle="1" w:styleId="Bullet">
    <w:name w:val="Bullet"/>
    <w:aliases w:val="b,b1,b + line,Body,level 1,Bullet + line"/>
    <w:basedOn w:val="Normal"/>
    <w:link w:val="BulletChar"/>
    <w:qFormat/>
    <w:rsid w:val="007149D6"/>
    <w:pPr>
      <w:numPr>
        <w:numId w:val="1"/>
      </w:numPr>
    </w:pPr>
  </w:style>
  <w:style w:type="paragraph" w:customStyle="1" w:styleId="Dash">
    <w:name w:val="Dash"/>
    <w:basedOn w:val="Normal"/>
    <w:qFormat/>
    <w:rsid w:val="007149D6"/>
    <w:pPr>
      <w:numPr>
        <w:ilvl w:val="1"/>
        <w:numId w:val="1"/>
      </w:numPr>
      <w:tabs>
        <w:tab w:val="clear" w:pos="567"/>
        <w:tab w:val="num" w:pos="360"/>
      </w:tabs>
      <w:ind w:left="568"/>
    </w:pPr>
  </w:style>
  <w:style w:type="paragraph" w:customStyle="1" w:styleId="DoubleDot">
    <w:name w:val="Double Dot"/>
    <w:basedOn w:val="Normal"/>
    <w:qFormat/>
    <w:rsid w:val="007149D6"/>
    <w:pPr>
      <w:numPr>
        <w:ilvl w:val="2"/>
        <w:numId w:val="1"/>
      </w:numPr>
      <w:tabs>
        <w:tab w:val="clear" w:pos="850"/>
        <w:tab w:val="num" w:pos="360"/>
      </w:tabs>
      <w:ind w:left="851" w:hanging="284"/>
    </w:pPr>
  </w:style>
  <w:style w:type="paragraph" w:customStyle="1" w:styleId="OutlineNumbered1">
    <w:name w:val="Outline Numbered 1"/>
    <w:basedOn w:val="Normal"/>
    <w:unhideWhenUsed/>
    <w:rsid w:val="007149D6"/>
    <w:pPr>
      <w:numPr>
        <w:numId w:val="2"/>
      </w:numPr>
      <w:tabs>
        <w:tab w:val="clear" w:pos="567"/>
        <w:tab w:val="num" w:pos="360"/>
      </w:tabs>
      <w:ind w:left="0" w:firstLine="0"/>
    </w:pPr>
  </w:style>
  <w:style w:type="paragraph" w:customStyle="1" w:styleId="OutlineNumbered2">
    <w:name w:val="Outline Numbered 2"/>
    <w:basedOn w:val="Normal"/>
    <w:unhideWhenUsed/>
    <w:rsid w:val="007149D6"/>
    <w:pPr>
      <w:numPr>
        <w:ilvl w:val="1"/>
        <w:numId w:val="2"/>
      </w:numPr>
      <w:tabs>
        <w:tab w:val="clear" w:pos="1134"/>
        <w:tab w:val="num" w:pos="360"/>
      </w:tabs>
      <w:ind w:left="0" w:firstLine="0"/>
    </w:pPr>
  </w:style>
  <w:style w:type="paragraph" w:customStyle="1" w:styleId="OutlineNumbered3">
    <w:name w:val="Outline Numbered 3"/>
    <w:basedOn w:val="Normal"/>
    <w:unhideWhenUsed/>
    <w:rsid w:val="007149D6"/>
    <w:pPr>
      <w:numPr>
        <w:ilvl w:val="2"/>
        <w:numId w:val="2"/>
      </w:numPr>
      <w:tabs>
        <w:tab w:val="clear" w:pos="1701"/>
        <w:tab w:val="num" w:pos="360"/>
      </w:tabs>
      <w:ind w:left="0" w:firstLine="0"/>
    </w:pPr>
  </w:style>
  <w:style w:type="paragraph" w:customStyle="1" w:styleId="AlphaParagraph">
    <w:name w:val="Alpha Paragraph"/>
    <w:basedOn w:val="Normal"/>
    <w:rsid w:val="007149D6"/>
    <w:pPr>
      <w:tabs>
        <w:tab w:val="num" w:pos="360"/>
      </w:tabs>
    </w:pPr>
  </w:style>
  <w:style w:type="paragraph" w:customStyle="1" w:styleId="HeadingBase">
    <w:name w:val="Heading Base"/>
    <w:next w:val="Normal"/>
    <w:rsid w:val="00645B20"/>
    <w:rPr>
      <w:rFonts w:ascii="Calibri" w:hAnsi="Calibri"/>
      <w:color w:val="477B59" w:themeColor="accent1"/>
    </w:rPr>
  </w:style>
  <w:style w:type="paragraph" w:customStyle="1" w:styleId="AppendixHeading">
    <w:name w:val="Appendix Heading"/>
    <w:basedOn w:val="Heading1"/>
    <w:next w:val="Normal"/>
    <w:rsid w:val="000376F1"/>
    <w:rPr>
      <w:caps w:val="0"/>
      <w:sz w:val="36"/>
      <w:szCs w:val="36"/>
    </w:rPr>
  </w:style>
  <w:style w:type="character" w:customStyle="1" w:styleId="Bold">
    <w:name w:val="Bold"/>
    <w:basedOn w:val="DefaultParagraphFont"/>
    <w:rsid w:val="007149D6"/>
    <w:rPr>
      <w:b/>
    </w:rPr>
  </w:style>
  <w:style w:type="paragraph" w:customStyle="1" w:styleId="BoxHeading">
    <w:name w:val="Box Heading"/>
    <w:basedOn w:val="HeadingBase"/>
    <w:next w:val="BoxText"/>
    <w:rsid w:val="002D108B"/>
    <w:pPr>
      <w:spacing w:after="240"/>
    </w:pPr>
    <w:rPr>
      <w:b/>
      <w:color w:val="FFFFFF" w:themeColor="background1"/>
      <w:sz w:val="28"/>
    </w:rPr>
  </w:style>
  <w:style w:type="paragraph" w:customStyle="1" w:styleId="BoxTextBase">
    <w:name w:val="Box Text Base"/>
    <w:basedOn w:val="Normal"/>
    <w:rsid w:val="002D108B"/>
    <w:pPr>
      <w:spacing w:line="240" w:lineRule="auto"/>
    </w:pPr>
    <w:rPr>
      <w:color w:val="FFFFFF" w:themeColor="background1"/>
    </w:rPr>
  </w:style>
  <w:style w:type="paragraph" w:customStyle="1" w:styleId="ChartandTableFootnoteAlpha">
    <w:name w:val="Chart and Table Footnote Alpha"/>
    <w:rsid w:val="007149D6"/>
    <w:pPr>
      <w:numPr>
        <w:numId w:val="3"/>
      </w:numPr>
      <w:jc w:val="both"/>
    </w:pPr>
    <w:rPr>
      <w:rFonts w:ascii="Arial" w:hAnsi="Arial"/>
      <w:color w:val="000000"/>
      <w:sz w:val="16"/>
      <w:szCs w:val="16"/>
    </w:rPr>
  </w:style>
  <w:style w:type="paragraph" w:customStyle="1" w:styleId="ChartGraphic">
    <w:name w:val="Chart Graphic"/>
    <w:basedOn w:val="HeadingBase"/>
    <w:rsid w:val="007149D6"/>
    <w:pPr>
      <w:jc w:val="center"/>
    </w:pPr>
  </w:style>
  <w:style w:type="paragraph" w:customStyle="1" w:styleId="ChartMainHeading">
    <w:name w:val="Chart Main Heading"/>
    <w:basedOn w:val="HeadingBase"/>
    <w:next w:val="ChartGraphic"/>
    <w:rsid w:val="00422C1D"/>
    <w:pPr>
      <w:keepNext/>
      <w:spacing w:before="120"/>
      <w:jc w:val="center"/>
    </w:pPr>
    <w:rPr>
      <w:b/>
      <w:sz w:val="22"/>
    </w:rPr>
  </w:style>
  <w:style w:type="paragraph" w:customStyle="1" w:styleId="ChartorTableNote">
    <w:name w:val="Chart or Table Note"/>
    <w:next w:val="Normal"/>
    <w:link w:val="ChartorTableNoteChar"/>
    <w:rsid w:val="007149D6"/>
    <w:pPr>
      <w:jc w:val="both"/>
    </w:pPr>
    <w:rPr>
      <w:rFonts w:ascii="Arial" w:hAnsi="Arial"/>
      <w:color w:val="000000"/>
      <w:sz w:val="16"/>
    </w:rPr>
  </w:style>
  <w:style w:type="paragraph" w:customStyle="1" w:styleId="ChartSecondHeading">
    <w:name w:val="Chart Second Heading"/>
    <w:basedOn w:val="HeadingBase"/>
    <w:next w:val="ChartGraphic"/>
    <w:rsid w:val="007149D6"/>
    <w:pPr>
      <w:keepNext/>
      <w:spacing w:after="20"/>
    </w:pPr>
  </w:style>
  <w:style w:type="paragraph" w:customStyle="1" w:styleId="Classification">
    <w:name w:val="Classification"/>
    <w:basedOn w:val="HeadingBase"/>
    <w:next w:val="Footer"/>
    <w:rsid w:val="00415F67"/>
    <w:pPr>
      <w:spacing w:after="120"/>
      <w:jc w:val="center"/>
    </w:pPr>
    <w:rPr>
      <w:b/>
      <w:smallCaps/>
    </w:rPr>
  </w:style>
  <w:style w:type="paragraph" w:styleId="Footer">
    <w:name w:val="footer"/>
    <w:basedOn w:val="HeadingBase"/>
    <w:link w:val="FooterChar"/>
    <w:rsid w:val="007149D6"/>
    <w:rPr>
      <w:sz w:val="18"/>
    </w:rPr>
  </w:style>
  <w:style w:type="paragraph" w:customStyle="1" w:styleId="ContentsHeading">
    <w:name w:val="Contents Heading"/>
    <w:basedOn w:val="HeadingBase"/>
    <w:next w:val="Normal"/>
    <w:rsid w:val="00415F67"/>
    <w:pPr>
      <w:spacing w:after="360"/>
    </w:pPr>
    <w:rPr>
      <w:smallCaps/>
      <w:sz w:val="36"/>
      <w:szCs w:val="36"/>
    </w:rPr>
  </w:style>
  <w:style w:type="paragraph" w:customStyle="1" w:styleId="CoverTitleMain">
    <w:name w:val="Cover Title Main"/>
    <w:basedOn w:val="HeadingBase"/>
    <w:next w:val="Normal"/>
    <w:rsid w:val="00415F67"/>
    <w:pPr>
      <w:spacing w:after="360"/>
      <w:jc w:val="right"/>
    </w:pPr>
    <w:rPr>
      <w:b/>
      <w:sz w:val="44"/>
    </w:rPr>
  </w:style>
  <w:style w:type="paragraph" w:customStyle="1" w:styleId="CoverTitleSub">
    <w:name w:val="Cover Title Sub"/>
    <w:basedOn w:val="HeadingBase"/>
    <w:rsid w:val="00415F67"/>
    <w:pPr>
      <w:spacing w:after="360"/>
      <w:jc w:val="center"/>
    </w:pPr>
    <w:rPr>
      <w:sz w:val="36"/>
    </w:rPr>
  </w:style>
  <w:style w:type="paragraph" w:customStyle="1" w:styleId="FooterCentered">
    <w:name w:val="Footer Centered"/>
    <w:basedOn w:val="Footer"/>
    <w:rsid w:val="00415F67"/>
    <w:pPr>
      <w:jc w:val="center"/>
    </w:pPr>
  </w:style>
  <w:style w:type="paragraph" w:customStyle="1" w:styleId="FooterEven">
    <w:name w:val="Footer Even"/>
    <w:basedOn w:val="Footer"/>
    <w:rsid w:val="00757660"/>
  </w:style>
  <w:style w:type="paragraph" w:customStyle="1" w:styleId="FooterOdd">
    <w:name w:val="Footer Odd"/>
    <w:basedOn w:val="Footer"/>
    <w:rsid w:val="00757660"/>
    <w:pPr>
      <w:jc w:val="right"/>
    </w:pPr>
  </w:style>
  <w:style w:type="character" w:customStyle="1" w:styleId="FramedFooter">
    <w:name w:val="Framed Footer"/>
    <w:rsid w:val="00FB1377"/>
    <w:rPr>
      <w:rFonts w:ascii="Calibri" w:hAnsi="Calibri"/>
      <w:color w:val="477B59" w:themeColor="accent1"/>
      <w:sz w:val="18"/>
      <w:szCs w:val="18"/>
    </w:rPr>
  </w:style>
  <w:style w:type="character" w:customStyle="1" w:styleId="FramedHeader">
    <w:name w:val="Framed Header"/>
    <w:basedOn w:val="DefaultParagraphFont"/>
    <w:rsid w:val="00FB1377"/>
    <w:rPr>
      <w:rFonts w:ascii="Calibri" w:hAnsi="Calibri"/>
      <w:dstrike w:val="0"/>
      <w:color w:val="477B59" w:themeColor="accent1"/>
      <w:sz w:val="18"/>
      <w:szCs w:val="18"/>
      <w:vertAlign w:val="baseline"/>
    </w:rPr>
  </w:style>
  <w:style w:type="paragraph" w:styleId="Header">
    <w:name w:val="header"/>
    <w:basedOn w:val="HeadingBase"/>
    <w:rsid w:val="00E45D77"/>
    <w:rPr>
      <w:sz w:val="18"/>
    </w:rPr>
  </w:style>
  <w:style w:type="paragraph" w:customStyle="1" w:styleId="HeaderEven">
    <w:name w:val="Header Even"/>
    <w:basedOn w:val="Header"/>
    <w:rsid w:val="00E45D77"/>
  </w:style>
  <w:style w:type="paragraph" w:customStyle="1" w:styleId="HeaderOdd">
    <w:name w:val="Header Odd"/>
    <w:basedOn w:val="Header"/>
    <w:rsid w:val="00E45D77"/>
    <w:pPr>
      <w:jc w:val="right"/>
    </w:pPr>
  </w:style>
  <w:style w:type="paragraph" w:styleId="NormalIndent">
    <w:name w:val="Normal Indent"/>
    <w:basedOn w:val="Normal"/>
    <w:rsid w:val="007149D6"/>
    <w:pPr>
      <w:ind w:left="567"/>
    </w:pPr>
  </w:style>
  <w:style w:type="paragraph" w:customStyle="1" w:styleId="RecommendationHeading">
    <w:name w:val="Recommendation Heading"/>
    <w:basedOn w:val="HeadingBase"/>
    <w:next w:val="RecommendationText"/>
    <w:rsid w:val="00CB2B80"/>
    <w:pPr>
      <w:spacing w:after="240"/>
    </w:pPr>
    <w:rPr>
      <w:b/>
      <w:sz w:val="22"/>
    </w:rPr>
  </w:style>
  <w:style w:type="paragraph" w:customStyle="1" w:styleId="RecommendationBaseText">
    <w:name w:val="Recommendation Base Text"/>
    <w:basedOn w:val="Normal"/>
    <w:rsid w:val="00CB2B80"/>
    <w:rPr>
      <w:rFonts w:ascii="Calibri" w:hAnsi="Calibri"/>
    </w:rPr>
  </w:style>
  <w:style w:type="paragraph" w:customStyle="1" w:styleId="RecommendationText">
    <w:name w:val="Recommendation Text"/>
    <w:basedOn w:val="RecommendationBaseText"/>
    <w:rsid w:val="00CB2B80"/>
    <w:rPr>
      <w:rFonts w:asciiTheme="minorHAnsi" w:hAnsiTheme="minorHAnsi"/>
    </w:rPr>
  </w:style>
  <w:style w:type="paragraph" w:customStyle="1" w:styleId="TableTextBase">
    <w:name w:val="Table Text Base"/>
    <w:rsid w:val="007149D6"/>
    <w:pPr>
      <w:spacing w:before="40" w:after="40"/>
    </w:pPr>
    <w:rPr>
      <w:rFonts w:ascii="Calibri" w:hAnsi="Calibri"/>
      <w:color w:val="000000"/>
      <w:sz w:val="16"/>
    </w:rPr>
  </w:style>
  <w:style w:type="paragraph" w:customStyle="1" w:styleId="TableColumnHeadingCentred">
    <w:name w:val="Table Column Heading Centred"/>
    <w:basedOn w:val="TableTextBase"/>
    <w:rsid w:val="007149D6"/>
    <w:pPr>
      <w:jc w:val="center"/>
    </w:pPr>
    <w:rPr>
      <w:b/>
    </w:rPr>
  </w:style>
  <w:style w:type="paragraph" w:customStyle="1" w:styleId="TableColumnHeadingLeft">
    <w:name w:val="Table Column Heading Left"/>
    <w:basedOn w:val="TableTextBase"/>
    <w:rsid w:val="007149D6"/>
    <w:rPr>
      <w:b/>
    </w:rPr>
  </w:style>
  <w:style w:type="paragraph" w:customStyle="1" w:styleId="TableColumnHeadingRight">
    <w:name w:val="Table Column Heading Right"/>
    <w:basedOn w:val="TableTextBase"/>
    <w:rsid w:val="007149D6"/>
    <w:pPr>
      <w:jc w:val="right"/>
    </w:pPr>
    <w:rPr>
      <w:b/>
    </w:rPr>
  </w:style>
  <w:style w:type="paragraph" w:customStyle="1" w:styleId="TableGraphic">
    <w:name w:val="Table Graphic"/>
    <w:basedOn w:val="HeadingBase"/>
    <w:next w:val="Normal"/>
    <w:rsid w:val="007149D6"/>
    <w:pPr>
      <w:spacing w:after="20"/>
      <w:ind w:right="-113"/>
    </w:pPr>
    <w:rPr>
      <w:rFonts w:ascii="Helvetica" w:hAnsi="Helvetica"/>
    </w:rPr>
  </w:style>
  <w:style w:type="paragraph" w:customStyle="1" w:styleId="TableMainHeading">
    <w:name w:val="Table Main Heading"/>
    <w:basedOn w:val="HeadingBase"/>
    <w:next w:val="TableGraphic"/>
    <w:rsid w:val="00422C1D"/>
    <w:pPr>
      <w:keepNext/>
      <w:spacing w:before="120"/>
    </w:pPr>
    <w:rPr>
      <w:b/>
      <w:sz w:val="22"/>
    </w:rPr>
  </w:style>
  <w:style w:type="paragraph" w:customStyle="1" w:styleId="TableMainHeadingContd">
    <w:name w:val="Table Main Heading Contd"/>
    <w:basedOn w:val="HeadingBase"/>
    <w:next w:val="TableGraphic"/>
    <w:rsid w:val="007149D6"/>
    <w:pPr>
      <w:keepNext/>
      <w:spacing w:after="20"/>
    </w:pPr>
    <w:rPr>
      <w:b/>
      <w:sz w:val="22"/>
    </w:rPr>
  </w:style>
  <w:style w:type="paragraph" w:customStyle="1" w:styleId="TableSecondHeading">
    <w:name w:val="Table Second Heading"/>
    <w:basedOn w:val="HeadingBase"/>
    <w:next w:val="TableGraphic"/>
    <w:rsid w:val="007149D6"/>
    <w:pPr>
      <w:keepNext/>
      <w:spacing w:after="20"/>
    </w:pPr>
  </w:style>
  <w:style w:type="paragraph" w:customStyle="1" w:styleId="TableTextCentered">
    <w:name w:val="Table Text Centered"/>
    <w:basedOn w:val="TableTextBase"/>
    <w:rsid w:val="007149D6"/>
    <w:pPr>
      <w:jc w:val="center"/>
    </w:pPr>
  </w:style>
  <w:style w:type="paragraph" w:customStyle="1" w:styleId="TableTextIndented">
    <w:name w:val="Table Text Indented"/>
    <w:basedOn w:val="TableTextBase"/>
    <w:rsid w:val="007149D6"/>
    <w:pPr>
      <w:ind w:left="284"/>
    </w:pPr>
  </w:style>
  <w:style w:type="paragraph" w:customStyle="1" w:styleId="TableTextLeft">
    <w:name w:val="Table Text Left"/>
    <w:basedOn w:val="TableTextBase"/>
    <w:rsid w:val="007149D6"/>
    <w:pPr>
      <w:spacing w:before="60" w:after="60"/>
    </w:pPr>
  </w:style>
  <w:style w:type="paragraph" w:customStyle="1" w:styleId="TableTextRight">
    <w:name w:val="Table Text Right"/>
    <w:basedOn w:val="TableTextBase"/>
    <w:rsid w:val="007149D6"/>
    <w:pPr>
      <w:jc w:val="right"/>
    </w:pPr>
  </w:style>
  <w:style w:type="paragraph" w:styleId="TOC1">
    <w:name w:val="toc 1"/>
    <w:basedOn w:val="HeadingBase"/>
    <w:next w:val="Normal"/>
    <w:uiPriority w:val="39"/>
    <w:rsid w:val="00757660"/>
    <w:pPr>
      <w:tabs>
        <w:tab w:val="right" w:leader="dot" w:pos="7700"/>
      </w:tabs>
      <w:spacing w:before="120"/>
      <w:ind w:right="851"/>
    </w:pPr>
    <w:rPr>
      <w:b/>
      <w:caps/>
      <w:noProof/>
      <w:sz w:val="24"/>
      <w:szCs w:val="22"/>
    </w:rPr>
  </w:style>
  <w:style w:type="paragraph" w:styleId="TOC2">
    <w:name w:val="toc 2"/>
    <w:basedOn w:val="Normal"/>
    <w:next w:val="Normal"/>
    <w:uiPriority w:val="39"/>
    <w:rsid w:val="007149D6"/>
    <w:pPr>
      <w:tabs>
        <w:tab w:val="right" w:leader="dot" w:pos="7700"/>
      </w:tabs>
      <w:spacing w:after="40"/>
      <w:ind w:right="851"/>
      <w:jc w:val="left"/>
    </w:pPr>
    <w:rPr>
      <w:rFonts w:ascii="Calibri" w:hAnsi="Calibri"/>
      <w:noProof/>
    </w:rPr>
  </w:style>
  <w:style w:type="paragraph" w:styleId="TOC3">
    <w:name w:val="toc 3"/>
    <w:basedOn w:val="Normal"/>
    <w:next w:val="Normal"/>
    <w:rsid w:val="007149D6"/>
    <w:pPr>
      <w:tabs>
        <w:tab w:val="right" w:leader="dot" w:pos="7700"/>
      </w:tabs>
      <w:spacing w:after="40" w:line="240" w:lineRule="auto"/>
      <w:ind w:right="851"/>
      <w:jc w:val="left"/>
    </w:pPr>
    <w:rPr>
      <w:rFonts w:ascii="Calibri" w:hAnsi="Calibri"/>
      <w:noProof/>
    </w:rPr>
  </w:style>
  <w:style w:type="paragraph" w:styleId="TOC4">
    <w:name w:val="toc 4"/>
    <w:basedOn w:val="Normal"/>
    <w:next w:val="Normal"/>
    <w:unhideWhenUsed/>
    <w:rsid w:val="007149D6"/>
    <w:pPr>
      <w:tabs>
        <w:tab w:val="right" w:leader="dot" w:pos="7700"/>
      </w:tabs>
      <w:spacing w:after="0" w:line="240" w:lineRule="auto"/>
      <w:ind w:left="284" w:right="851" w:hanging="284"/>
      <w:jc w:val="left"/>
    </w:pPr>
    <w:rPr>
      <w:rFonts w:ascii="Calibri" w:hAnsi="Calibri"/>
      <w:noProof/>
    </w:rPr>
  </w:style>
  <w:style w:type="character" w:customStyle="1" w:styleId="Italic">
    <w:name w:val="Italic"/>
    <w:basedOn w:val="DefaultParagraphFont"/>
    <w:rsid w:val="00415F67"/>
    <w:rPr>
      <w:i/>
    </w:rPr>
  </w:style>
  <w:style w:type="paragraph" w:customStyle="1" w:styleId="OneLevelNumberedParagraph">
    <w:name w:val="One Level Numbered Paragraph"/>
    <w:basedOn w:val="Normal"/>
    <w:unhideWhenUsed/>
    <w:rsid w:val="007149D6"/>
    <w:pPr>
      <w:numPr>
        <w:numId w:val="4"/>
      </w:numPr>
    </w:pPr>
  </w:style>
  <w:style w:type="paragraph" w:customStyle="1" w:styleId="BoxText">
    <w:name w:val="Box Text"/>
    <w:basedOn w:val="BoxTextBase"/>
    <w:rsid w:val="002D108B"/>
  </w:style>
  <w:style w:type="paragraph" w:customStyle="1" w:styleId="BoxBullet">
    <w:name w:val="Box Bullet"/>
    <w:basedOn w:val="BoxTextBase"/>
    <w:rsid w:val="00415F67"/>
    <w:pPr>
      <w:tabs>
        <w:tab w:val="num" w:pos="283"/>
      </w:tabs>
      <w:ind w:left="283" w:hanging="283"/>
    </w:pPr>
  </w:style>
  <w:style w:type="paragraph" w:customStyle="1" w:styleId="BoxDash">
    <w:name w:val="Box Dash"/>
    <w:basedOn w:val="Normal"/>
    <w:rsid w:val="002D108B"/>
    <w:pPr>
      <w:tabs>
        <w:tab w:val="num" w:pos="567"/>
      </w:tabs>
      <w:ind w:left="567" w:hanging="284"/>
    </w:pPr>
    <w:rPr>
      <w:color w:val="FFFFFF" w:themeColor="background1"/>
    </w:rPr>
  </w:style>
  <w:style w:type="paragraph" w:customStyle="1" w:styleId="BoxDoubleDot">
    <w:name w:val="Box Double Dot"/>
    <w:basedOn w:val="BoxTextBase"/>
    <w:rsid w:val="00415F67"/>
    <w:pPr>
      <w:tabs>
        <w:tab w:val="num" w:pos="850"/>
      </w:tabs>
      <w:ind w:left="850" w:hanging="283"/>
    </w:pPr>
  </w:style>
  <w:style w:type="paragraph" w:customStyle="1" w:styleId="RecommendationBullet">
    <w:name w:val="Recommendation Bullet"/>
    <w:basedOn w:val="RecommendationBaseText"/>
    <w:rsid w:val="00CB2B80"/>
    <w:pPr>
      <w:tabs>
        <w:tab w:val="num" w:pos="283"/>
      </w:tabs>
      <w:ind w:left="283" w:hanging="283"/>
    </w:pPr>
  </w:style>
  <w:style w:type="paragraph" w:customStyle="1" w:styleId="RecommendationDash">
    <w:name w:val="Recommendation Dash"/>
    <w:basedOn w:val="RecommendationBaseText"/>
    <w:rsid w:val="00CB2B80"/>
    <w:pPr>
      <w:tabs>
        <w:tab w:val="num" w:pos="567"/>
      </w:tabs>
      <w:ind w:left="567" w:hanging="284"/>
    </w:pPr>
  </w:style>
  <w:style w:type="paragraph" w:customStyle="1" w:styleId="RecommendationDoubleDot">
    <w:name w:val="Recommendation Double Dot"/>
    <w:basedOn w:val="RecommendationBaseText"/>
    <w:rsid w:val="00CB2B80"/>
    <w:pPr>
      <w:tabs>
        <w:tab w:val="num" w:pos="850"/>
      </w:tabs>
      <w:ind w:left="850" w:hanging="283"/>
    </w:pPr>
  </w:style>
  <w:style w:type="character" w:customStyle="1" w:styleId="Boldanditalic">
    <w:name w:val="Bold and italic"/>
    <w:basedOn w:val="DefaultParagraphFont"/>
    <w:rsid w:val="007149D6"/>
    <w:rPr>
      <w:b/>
      <w:i/>
    </w:rPr>
  </w:style>
  <w:style w:type="paragraph" w:styleId="Caption">
    <w:name w:val="caption"/>
    <w:basedOn w:val="Normal"/>
    <w:next w:val="Normal"/>
    <w:qFormat/>
    <w:rsid w:val="00415F67"/>
    <w:pPr>
      <w:spacing w:before="120" w:after="120"/>
    </w:pPr>
    <w:rPr>
      <w:b/>
      <w:bCs/>
    </w:rPr>
  </w:style>
  <w:style w:type="character" w:styleId="CommentReference">
    <w:name w:val="annotation reference"/>
    <w:basedOn w:val="DefaultParagraphFont"/>
    <w:uiPriority w:val="99"/>
    <w:rsid w:val="00415F67"/>
    <w:rPr>
      <w:sz w:val="16"/>
      <w:szCs w:val="16"/>
    </w:rPr>
  </w:style>
  <w:style w:type="paragraph" w:styleId="CommentText">
    <w:name w:val="annotation text"/>
    <w:basedOn w:val="Normal"/>
    <w:link w:val="CommentTextChar"/>
    <w:uiPriority w:val="99"/>
    <w:rsid w:val="00415F67"/>
  </w:style>
  <w:style w:type="paragraph" w:styleId="CommentSubject">
    <w:name w:val="annotation subject"/>
    <w:basedOn w:val="CommentText"/>
    <w:next w:val="CommentText"/>
    <w:rsid w:val="00415F67"/>
    <w:rPr>
      <w:b/>
      <w:bCs/>
    </w:rPr>
  </w:style>
  <w:style w:type="paragraph" w:styleId="DocumentMap">
    <w:name w:val="Document Map"/>
    <w:basedOn w:val="Normal"/>
    <w:rsid w:val="00415F67"/>
    <w:pPr>
      <w:shd w:val="clear" w:color="auto" w:fill="000080"/>
    </w:pPr>
    <w:rPr>
      <w:rFonts w:ascii="Tahoma" w:hAnsi="Tahoma" w:cs="Tahoma"/>
    </w:rPr>
  </w:style>
  <w:style w:type="character" w:styleId="EndnoteReference">
    <w:name w:val="endnote reference"/>
    <w:basedOn w:val="DefaultParagraphFont"/>
    <w:rsid w:val="007149D6"/>
    <w:rPr>
      <w:vertAlign w:val="superscript"/>
    </w:rPr>
  </w:style>
  <w:style w:type="paragraph" w:styleId="EndnoteText">
    <w:name w:val="endnote text"/>
    <w:basedOn w:val="Normal"/>
    <w:rsid w:val="007149D6"/>
  </w:style>
  <w:style w:type="paragraph" w:styleId="Index1">
    <w:name w:val="index 1"/>
    <w:basedOn w:val="Normal"/>
    <w:next w:val="Normal"/>
    <w:autoRedefine/>
    <w:rsid w:val="00415F67"/>
    <w:pPr>
      <w:ind w:left="200" w:hanging="200"/>
    </w:pPr>
  </w:style>
  <w:style w:type="paragraph" w:styleId="Index2">
    <w:name w:val="index 2"/>
    <w:basedOn w:val="Normal"/>
    <w:next w:val="Normal"/>
    <w:autoRedefine/>
    <w:rsid w:val="00415F67"/>
    <w:pPr>
      <w:ind w:left="400" w:hanging="200"/>
    </w:pPr>
  </w:style>
  <w:style w:type="paragraph" w:styleId="Index3">
    <w:name w:val="index 3"/>
    <w:basedOn w:val="Normal"/>
    <w:next w:val="Normal"/>
    <w:autoRedefine/>
    <w:rsid w:val="00415F67"/>
    <w:pPr>
      <w:ind w:left="600" w:hanging="200"/>
    </w:pPr>
  </w:style>
  <w:style w:type="paragraph" w:styleId="Index4">
    <w:name w:val="index 4"/>
    <w:basedOn w:val="Normal"/>
    <w:next w:val="Normal"/>
    <w:autoRedefine/>
    <w:rsid w:val="00415F67"/>
    <w:pPr>
      <w:ind w:left="800" w:hanging="200"/>
    </w:pPr>
  </w:style>
  <w:style w:type="paragraph" w:styleId="Index5">
    <w:name w:val="index 5"/>
    <w:basedOn w:val="Normal"/>
    <w:next w:val="Normal"/>
    <w:autoRedefine/>
    <w:rsid w:val="00415F67"/>
    <w:pPr>
      <w:ind w:left="1000" w:hanging="200"/>
    </w:pPr>
  </w:style>
  <w:style w:type="paragraph" w:styleId="Index6">
    <w:name w:val="index 6"/>
    <w:basedOn w:val="Normal"/>
    <w:next w:val="Normal"/>
    <w:autoRedefine/>
    <w:rsid w:val="00415F67"/>
    <w:pPr>
      <w:ind w:left="1200" w:hanging="200"/>
    </w:pPr>
  </w:style>
  <w:style w:type="paragraph" w:styleId="Index7">
    <w:name w:val="index 7"/>
    <w:basedOn w:val="Normal"/>
    <w:next w:val="Normal"/>
    <w:autoRedefine/>
    <w:rsid w:val="00415F67"/>
    <w:pPr>
      <w:ind w:left="1400" w:hanging="200"/>
    </w:pPr>
  </w:style>
  <w:style w:type="paragraph" w:styleId="Index8">
    <w:name w:val="index 8"/>
    <w:basedOn w:val="Normal"/>
    <w:next w:val="Normal"/>
    <w:autoRedefine/>
    <w:rsid w:val="00415F67"/>
    <w:pPr>
      <w:ind w:left="1600" w:hanging="200"/>
    </w:pPr>
  </w:style>
  <w:style w:type="paragraph" w:styleId="Index9">
    <w:name w:val="index 9"/>
    <w:basedOn w:val="Normal"/>
    <w:next w:val="Normal"/>
    <w:autoRedefine/>
    <w:rsid w:val="00415F67"/>
    <w:pPr>
      <w:ind w:left="1800" w:hanging="200"/>
    </w:pPr>
  </w:style>
  <w:style w:type="paragraph" w:styleId="IndexHeading">
    <w:name w:val="index heading"/>
    <w:basedOn w:val="Normal"/>
    <w:next w:val="Index1"/>
    <w:rsid w:val="00CB2B80"/>
    <w:rPr>
      <w:rFonts w:ascii="Calibri" w:hAnsi="Calibri" w:cs="Arial"/>
      <w:b/>
      <w:bCs/>
      <w:color w:val="003E74"/>
    </w:rPr>
  </w:style>
  <w:style w:type="paragraph" w:styleId="MacroText">
    <w:name w:val="macro"/>
    <w:rsid w:val="00415F6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paragraph" w:styleId="TableofAuthorities">
    <w:name w:val="table of authorities"/>
    <w:basedOn w:val="Normal"/>
    <w:next w:val="Normal"/>
    <w:rsid w:val="00415F67"/>
    <w:pPr>
      <w:ind w:left="200" w:hanging="200"/>
    </w:pPr>
  </w:style>
  <w:style w:type="paragraph" w:styleId="TableofFigures">
    <w:name w:val="table of figures"/>
    <w:basedOn w:val="Normal"/>
    <w:next w:val="Normal"/>
    <w:rsid w:val="00415F67"/>
    <w:pPr>
      <w:ind w:left="400" w:hanging="400"/>
    </w:pPr>
  </w:style>
  <w:style w:type="paragraph" w:styleId="TOAHeading">
    <w:name w:val="toa heading"/>
    <w:basedOn w:val="Normal"/>
    <w:next w:val="Normal"/>
    <w:rsid w:val="00645B20"/>
    <w:pPr>
      <w:spacing w:before="120"/>
    </w:pPr>
    <w:rPr>
      <w:rFonts w:ascii="Calibri" w:hAnsi="Calibri" w:cs="Arial"/>
      <w:b/>
      <w:bCs/>
      <w:color w:val="477B59" w:themeColor="accent1"/>
      <w:sz w:val="24"/>
      <w:szCs w:val="24"/>
    </w:rPr>
  </w:style>
  <w:style w:type="paragraph" w:styleId="TOC5">
    <w:name w:val="toc 5"/>
    <w:basedOn w:val="TOC2"/>
    <w:next w:val="Normal"/>
    <w:autoRedefine/>
    <w:rsid w:val="00190289"/>
    <w:pPr>
      <w:ind w:left="1260" w:hanging="1260"/>
    </w:pPr>
  </w:style>
  <w:style w:type="paragraph" w:styleId="TOC6">
    <w:name w:val="toc 6"/>
    <w:basedOn w:val="Normal"/>
    <w:next w:val="Normal"/>
    <w:rsid w:val="007149D6"/>
    <w:pPr>
      <w:tabs>
        <w:tab w:val="left" w:pos="1080"/>
        <w:tab w:val="left" w:pos="1134"/>
        <w:tab w:val="right" w:leader="dot" w:pos="7700"/>
      </w:tabs>
      <w:spacing w:after="40"/>
      <w:ind w:left="1080" w:right="851" w:hanging="1080"/>
      <w:jc w:val="left"/>
    </w:pPr>
    <w:rPr>
      <w:rFonts w:ascii="Calibri" w:hAnsi="Calibri"/>
      <w:noProof/>
    </w:rPr>
  </w:style>
  <w:style w:type="paragraph" w:styleId="TOC7">
    <w:name w:val="toc 7"/>
    <w:basedOn w:val="Normal"/>
    <w:next w:val="Normal"/>
    <w:autoRedefine/>
    <w:rsid w:val="007149D6"/>
    <w:pPr>
      <w:ind w:left="1200"/>
    </w:pPr>
    <w:rPr>
      <w:rFonts w:ascii="Calibri" w:hAnsi="Calibri"/>
    </w:rPr>
  </w:style>
  <w:style w:type="paragraph" w:styleId="TOC8">
    <w:name w:val="toc 8"/>
    <w:basedOn w:val="Normal"/>
    <w:next w:val="Normal"/>
    <w:autoRedefine/>
    <w:rsid w:val="00CB2B80"/>
    <w:pPr>
      <w:ind w:left="1400"/>
    </w:pPr>
    <w:rPr>
      <w:rFonts w:ascii="Calibri" w:hAnsi="Calibri"/>
    </w:rPr>
  </w:style>
  <w:style w:type="paragraph" w:styleId="TOC9">
    <w:name w:val="toc 9"/>
    <w:basedOn w:val="Normal"/>
    <w:next w:val="Normal"/>
    <w:autoRedefine/>
    <w:rsid w:val="00CB2B80"/>
    <w:pPr>
      <w:ind w:left="1600"/>
    </w:pPr>
    <w:rPr>
      <w:rFonts w:ascii="Calibri" w:hAnsi="Calibri"/>
    </w:rPr>
  </w:style>
  <w:style w:type="paragraph" w:customStyle="1" w:styleId="AppendixAHeading3">
    <w:name w:val="AppendixAHeading3"/>
    <w:basedOn w:val="Heading3"/>
    <w:next w:val="AppendixAHeading4"/>
    <w:rsid w:val="00CB2B80"/>
    <w:pPr>
      <w:tabs>
        <w:tab w:val="num" w:pos="567"/>
      </w:tabs>
      <w:ind w:left="567" w:hanging="567"/>
    </w:pPr>
    <w:rPr>
      <w:i/>
    </w:rPr>
  </w:style>
  <w:style w:type="paragraph" w:customStyle="1" w:styleId="AppendixAHeading4">
    <w:name w:val="AppendixAHeading4"/>
    <w:basedOn w:val="Heading4"/>
    <w:next w:val="Bullet"/>
    <w:rsid w:val="00086030"/>
    <w:pPr>
      <w:tabs>
        <w:tab w:val="num" w:pos="567"/>
      </w:tabs>
    </w:pPr>
  </w:style>
  <w:style w:type="paragraph" w:customStyle="1" w:styleId="AppendixGHeading3">
    <w:name w:val="AppendixGHeading3"/>
    <w:basedOn w:val="Heading3"/>
    <w:rsid w:val="002E3C94"/>
    <w:pPr>
      <w:tabs>
        <w:tab w:val="num" w:pos="567"/>
      </w:tabs>
      <w:ind w:left="567" w:hanging="567"/>
    </w:pPr>
  </w:style>
  <w:style w:type="paragraph" w:customStyle="1" w:styleId="NumberedParagraph">
    <w:name w:val="Numbered Paragraph"/>
    <w:basedOn w:val="Normal"/>
    <w:rsid w:val="007149D6"/>
    <w:pPr>
      <w:numPr>
        <w:numId w:val="5"/>
      </w:numPr>
    </w:pPr>
  </w:style>
  <w:style w:type="paragraph" w:customStyle="1" w:styleId="Heading3noTOC">
    <w:name w:val="Heading 3 no TOC"/>
    <w:basedOn w:val="Heading3"/>
    <w:rsid w:val="00E45D77"/>
    <w:pPr>
      <w:outlineLvl w:val="9"/>
    </w:pPr>
  </w:style>
  <w:style w:type="character" w:styleId="FollowedHyperlink">
    <w:name w:val="FollowedHyperlink"/>
    <w:basedOn w:val="DefaultParagraphFont"/>
    <w:rsid w:val="007149D6"/>
    <w:rPr>
      <w:color w:val="000000"/>
      <w:u w:val="none"/>
    </w:rPr>
  </w:style>
  <w:style w:type="paragraph" w:customStyle="1" w:styleId="Style1">
    <w:name w:val="Style1"/>
    <w:basedOn w:val="AppendixAHeading3"/>
    <w:next w:val="AppendixAHeading4"/>
    <w:rsid w:val="00093A04"/>
    <w:pPr>
      <w:tabs>
        <w:tab w:val="clear" w:pos="567"/>
      </w:tabs>
      <w:ind w:left="0" w:firstLine="0"/>
    </w:pPr>
  </w:style>
  <w:style w:type="paragraph" w:customStyle="1" w:styleId="AppendixAHeading3NotItalic">
    <w:name w:val="AppendixAHeading3NotItalic"/>
    <w:basedOn w:val="HeadingBase"/>
    <w:next w:val="AppendixAHeading4"/>
    <w:rsid w:val="00CB2B80"/>
    <w:pPr>
      <w:tabs>
        <w:tab w:val="num" w:pos="567"/>
      </w:tabs>
      <w:spacing w:before="57" w:after="57" w:line="280" w:lineRule="exact"/>
      <w:ind w:left="567" w:hanging="567"/>
    </w:pPr>
    <w:rPr>
      <w:b/>
      <w:sz w:val="24"/>
    </w:rPr>
  </w:style>
  <w:style w:type="paragraph" w:customStyle="1" w:styleId="Heading1noTOC">
    <w:name w:val="Heading 1 no TOC"/>
    <w:basedOn w:val="Heading1"/>
    <w:next w:val="Normal"/>
    <w:rsid w:val="007149D6"/>
  </w:style>
  <w:style w:type="paragraph" w:customStyle="1" w:styleId="Heading2noTOC">
    <w:name w:val="Heading 2 no TOC"/>
    <w:basedOn w:val="Heading2"/>
    <w:next w:val="Normal"/>
    <w:rsid w:val="007149D6"/>
    <w:pPr>
      <w:outlineLvl w:val="9"/>
    </w:pPr>
  </w:style>
  <w:style w:type="paragraph" w:customStyle="1" w:styleId="Heading9noTOC">
    <w:name w:val="Heading 9 no TOC"/>
    <w:basedOn w:val="Heading9"/>
    <w:rsid w:val="007278B4"/>
    <w:pPr>
      <w:outlineLvl w:val="9"/>
    </w:pPr>
  </w:style>
  <w:style w:type="character" w:customStyle="1" w:styleId="Italics">
    <w:name w:val="Italics"/>
    <w:basedOn w:val="DefaultParagraphFont"/>
    <w:rsid w:val="00E676B0"/>
    <w:rPr>
      <w:i/>
    </w:rPr>
  </w:style>
  <w:style w:type="character" w:customStyle="1" w:styleId="A5">
    <w:name w:val="A5"/>
    <w:uiPriority w:val="99"/>
    <w:rsid w:val="00E676B0"/>
    <w:rPr>
      <w:rFonts w:cs="Swiss 721 BT"/>
      <w:color w:val="000000"/>
      <w:sz w:val="20"/>
      <w:szCs w:val="20"/>
    </w:rPr>
  </w:style>
  <w:style w:type="paragraph" w:styleId="TOCHeading">
    <w:name w:val="TOC Heading"/>
    <w:basedOn w:val="Heading1"/>
    <w:next w:val="Normal"/>
    <w:uiPriority w:val="39"/>
    <w:semiHidden/>
    <w:unhideWhenUsed/>
    <w:qFormat/>
    <w:rsid w:val="007149D6"/>
    <w:pPr>
      <w:keepLines/>
      <w:spacing w:before="480" w:after="0" w:line="260" w:lineRule="exact"/>
      <w:jc w:val="both"/>
      <w:outlineLvl w:val="9"/>
    </w:pPr>
    <w:rPr>
      <w:rFonts w:asciiTheme="majorHAnsi" w:eastAsiaTheme="majorEastAsia" w:hAnsiTheme="majorHAnsi" w:cstheme="majorBidi"/>
      <w:kern w:val="0"/>
      <w:sz w:val="28"/>
      <w:szCs w:val="28"/>
    </w:rPr>
  </w:style>
  <w:style w:type="paragraph" w:styleId="IntenseQuote">
    <w:name w:val="Intense Quote"/>
    <w:basedOn w:val="Normal"/>
    <w:next w:val="Normal"/>
    <w:link w:val="IntenseQuoteChar"/>
    <w:uiPriority w:val="30"/>
    <w:qFormat/>
    <w:rsid w:val="000C204B"/>
    <w:pPr>
      <w:pBdr>
        <w:bottom w:val="single" w:sz="4" w:space="4" w:color="477B59" w:themeColor="accent1"/>
      </w:pBdr>
      <w:spacing w:before="200" w:after="280"/>
      <w:ind w:left="936" w:right="936"/>
    </w:pPr>
    <w:rPr>
      <w:b/>
      <w:bCs/>
      <w:i/>
      <w:iCs/>
      <w:color w:val="003E74"/>
    </w:rPr>
  </w:style>
  <w:style w:type="character" w:customStyle="1" w:styleId="IntenseQuoteChar">
    <w:name w:val="Intense Quote Char"/>
    <w:basedOn w:val="DefaultParagraphFont"/>
    <w:link w:val="IntenseQuote"/>
    <w:uiPriority w:val="30"/>
    <w:rsid w:val="000C204B"/>
    <w:rPr>
      <w:rFonts w:ascii="Book Antiqua" w:hAnsi="Book Antiqua"/>
      <w:b/>
      <w:bCs/>
      <w:i/>
      <w:iCs/>
      <w:color w:val="003E74"/>
    </w:rPr>
  </w:style>
  <w:style w:type="character" w:styleId="IntenseEmphasis">
    <w:name w:val="Intense Emphasis"/>
    <w:basedOn w:val="DefaultParagraphFont"/>
    <w:uiPriority w:val="21"/>
    <w:qFormat/>
    <w:rsid w:val="000C204B"/>
    <w:rPr>
      <w:b/>
      <w:bCs/>
      <w:i/>
      <w:iCs/>
      <w:color w:val="003E74"/>
    </w:rPr>
  </w:style>
  <w:style w:type="paragraph" w:styleId="Subtitle">
    <w:name w:val="Subtitle"/>
    <w:basedOn w:val="Normal"/>
    <w:next w:val="Normal"/>
    <w:link w:val="SubtitleChar"/>
    <w:qFormat/>
    <w:rsid w:val="007149D6"/>
    <w:pPr>
      <w:numPr>
        <w:ilvl w:val="1"/>
      </w:numPr>
      <w:spacing w:line="240" w:lineRule="auto"/>
      <w:jc w:val="right"/>
    </w:pPr>
    <w:rPr>
      <w:rFonts w:asciiTheme="majorHAnsi" w:eastAsiaTheme="majorEastAsia" w:hAnsiTheme="majorHAnsi" w:cstheme="majorBidi"/>
      <w:iCs/>
      <w:color w:val="auto"/>
      <w:sz w:val="36"/>
      <w:szCs w:val="24"/>
    </w:rPr>
  </w:style>
  <w:style w:type="character" w:customStyle="1" w:styleId="SubtitleChar">
    <w:name w:val="Subtitle Char"/>
    <w:basedOn w:val="DefaultParagraphFont"/>
    <w:link w:val="Subtitle"/>
    <w:rsid w:val="007149D6"/>
    <w:rPr>
      <w:rFonts w:asciiTheme="majorHAnsi" w:eastAsiaTheme="majorEastAsia" w:hAnsiTheme="majorHAnsi" w:cstheme="majorBidi"/>
      <w:iCs/>
      <w:sz w:val="36"/>
      <w:szCs w:val="24"/>
    </w:rPr>
  </w:style>
  <w:style w:type="paragraph" w:styleId="BlockText">
    <w:name w:val="Block Text"/>
    <w:basedOn w:val="Normal"/>
    <w:rsid w:val="000C204B"/>
    <w:pPr>
      <w:pBdr>
        <w:top w:val="single" w:sz="2" w:space="10" w:color="477B59" w:themeColor="accent1" w:shadow="1" w:frame="1"/>
        <w:left w:val="single" w:sz="2" w:space="10" w:color="477B59" w:themeColor="accent1" w:shadow="1" w:frame="1"/>
        <w:bottom w:val="single" w:sz="2" w:space="10" w:color="477B59" w:themeColor="accent1" w:shadow="1" w:frame="1"/>
        <w:right w:val="single" w:sz="2" w:space="10" w:color="477B59" w:themeColor="accent1" w:shadow="1" w:frame="1"/>
      </w:pBdr>
      <w:ind w:left="1152" w:right="1152"/>
    </w:pPr>
    <w:rPr>
      <w:rFonts w:eastAsiaTheme="minorEastAsia" w:cstheme="minorBidi"/>
      <w:i/>
      <w:iCs/>
      <w:color w:val="003E74"/>
    </w:rPr>
  </w:style>
  <w:style w:type="paragraph" w:customStyle="1" w:styleId="Table">
    <w:name w:val="Table"/>
    <w:basedOn w:val="Normal"/>
    <w:rsid w:val="001607BB"/>
  </w:style>
  <w:style w:type="paragraph" w:styleId="NormalWeb">
    <w:name w:val="Normal (Web)"/>
    <w:basedOn w:val="Normal"/>
    <w:uiPriority w:val="99"/>
    <w:rsid w:val="007149D6"/>
    <w:rPr>
      <w:rFonts w:ascii="Times New Roman" w:hAnsi="Times New Roman"/>
      <w:sz w:val="24"/>
      <w:szCs w:val="24"/>
    </w:rPr>
  </w:style>
  <w:style w:type="paragraph" w:customStyle="1" w:styleId="Circletext">
    <w:name w:val="Circle text"/>
    <w:basedOn w:val="BoxText"/>
    <w:qFormat/>
    <w:rsid w:val="007049A3"/>
    <w:pPr>
      <w:ind w:left="142"/>
    </w:pPr>
    <w:rPr>
      <w:b/>
      <w:color w:val="auto"/>
      <w:sz w:val="24"/>
    </w:rPr>
  </w:style>
  <w:style w:type="table" w:styleId="TableGrid">
    <w:name w:val="Table Grid"/>
    <w:basedOn w:val="TableNormal"/>
    <w:rsid w:val="00384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6416F8"/>
    <w:rPr>
      <w:rFonts w:asciiTheme="minorHAnsi" w:hAnsiTheme="minorHAnsi"/>
      <w:color w:val="000000"/>
    </w:rPr>
  </w:style>
  <w:style w:type="paragraph" w:styleId="Revision">
    <w:name w:val="Revision"/>
    <w:hidden/>
    <w:uiPriority w:val="99"/>
    <w:semiHidden/>
    <w:rsid w:val="00707043"/>
    <w:rPr>
      <w:rFonts w:asciiTheme="minorHAnsi" w:hAnsiTheme="minorHAnsi"/>
      <w:color w:val="000000"/>
    </w:rPr>
  </w:style>
  <w:style w:type="character" w:customStyle="1" w:styleId="BulletChar">
    <w:name w:val="Bullet Char"/>
    <w:aliases w:val="b Char,b + line Char Char,b Char Char,b1 Char,b + line Char,Body Char,level 1 Char,Bullet + line Char,Number Char,Bullets Char,L Char,List Paragraph1 Char,List Paragraph11 Char,Recommendation Char,List Paragraph2 Char,List Paragraph Char"/>
    <w:basedOn w:val="DefaultParagraphFont"/>
    <w:link w:val="Bullet"/>
    <w:qFormat/>
    <w:rsid w:val="00125B1D"/>
    <w:rPr>
      <w:rFonts w:asciiTheme="minorHAnsi" w:hAnsiTheme="minorHAnsi"/>
      <w:color w:val="000000"/>
    </w:rPr>
  </w:style>
  <w:style w:type="paragraph" w:styleId="ListParagraph">
    <w:name w:val="List Paragraph"/>
    <w:basedOn w:val="Normal"/>
    <w:uiPriority w:val="34"/>
    <w:qFormat/>
    <w:rsid w:val="00FB16D8"/>
    <w:pPr>
      <w:ind w:left="720"/>
      <w:contextualSpacing/>
    </w:pPr>
  </w:style>
  <w:style w:type="paragraph" w:customStyle="1" w:styleId="ChartorTableFootnote">
    <w:name w:val="Chart or Table Footnote"/>
    <w:basedOn w:val="ChartorTableNote"/>
    <w:next w:val="Normal"/>
    <w:autoRedefine/>
    <w:qFormat/>
    <w:rsid w:val="009F768E"/>
    <w:pPr>
      <w:numPr>
        <w:numId w:val="6"/>
      </w:numPr>
    </w:pPr>
  </w:style>
  <w:style w:type="paragraph" w:customStyle="1" w:styleId="CaseStudyHeading">
    <w:name w:val="Case Study Heading"/>
    <w:basedOn w:val="Normal"/>
    <w:qFormat/>
    <w:rsid w:val="007149D6"/>
    <w:pPr>
      <w:tabs>
        <w:tab w:val="left" w:pos="1418"/>
      </w:tabs>
      <w:spacing w:before="300" w:after="120" w:line="240" w:lineRule="auto"/>
      <w:jc w:val="center"/>
    </w:pPr>
    <w:rPr>
      <w:rFonts w:ascii="Calibri" w:hAnsi="Calibri"/>
      <w:b/>
      <w:color w:val="FFFFFF" w:themeColor="background1"/>
      <w:sz w:val="28"/>
      <w:szCs w:val="24"/>
    </w:rPr>
  </w:style>
  <w:style w:type="paragraph" w:customStyle="1" w:styleId="CaseStudyText">
    <w:name w:val="Case Study Text"/>
    <w:basedOn w:val="Normal"/>
    <w:rsid w:val="007149D6"/>
    <w:pPr>
      <w:spacing w:after="120" w:line="240" w:lineRule="exact"/>
      <w:ind w:left="284" w:right="284"/>
    </w:pPr>
    <w:rPr>
      <w:rFonts w:ascii="Calibri" w:hAnsi="Calibri"/>
      <w:color w:val="FFFFFF" w:themeColor="background1"/>
    </w:rPr>
  </w:style>
  <w:style w:type="character" w:customStyle="1" w:styleId="FooterChar">
    <w:name w:val="Footer Char"/>
    <w:basedOn w:val="DefaultParagraphFont"/>
    <w:link w:val="Footer"/>
    <w:rsid w:val="007F6EF0"/>
    <w:rPr>
      <w:rFonts w:ascii="Calibri" w:hAnsi="Calibri"/>
      <w:color w:val="003E74"/>
      <w:sz w:val="18"/>
    </w:rPr>
  </w:style>
  <w:style w:type="character" w:customStyle="1" w:styleId="StyleBold">
    <w:name w:val="Style Bold"/>
    <w:basedOn w:val="DefaultParagraphFont"/>
    <w:rsid w:val="00F969F9"/>
    <w:rPr>
      <w:b/>
      <w:bCs/>
    </w:rPr>
  </w:style>
  <w:style w:type="character" w:customStyle="1" w:styleId="Link-Bookmark">
    <w:name w:val="Link - Bookmark"/>
    <w:basedOn w:val="DefaultParagraphFont"/>
    <w:rsid w:val="00F969F9"/>
    <w:rPr>
      <w:color w:val="0000FF"/>
      <w:u w:val="single"/>
      <w:bdr w:val="none" w:sz="0" w:space="0" w:color="auto"/>
      <w:shd w:val="clear" w:color="auto" w:fill="FFCC99"/>
    </w:rPr>
  </w:style>
  <w:style w:type="table" w:customStyle="1" w:styleId="Tablewithborder">
    <w:name w:val="Table with border"/>
    <w:basedOn w:val="TableNormal"/>
    <w:rsid w:val="00F969F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422C1D"/>
    <w:pPr>
      <w:shd w:val="pct30" w:color="auto" w:fill="auto"/>
      <w:spacing w:before="200" w:after="0" w:line="240" w:lineRule="auto"/>
      <w:jc w:val="left"/>
    </w:pPr>
    <w:rPr>
      <w:rFonts w:ascii="Arial" w:hAnsi="Arial"/>
      <w:b/>
      <w:color w:val="653979"/>
      <w:sz w:val="22"/>
      <w:szCs w:val="24"/>
    </w:rPr>
  </w:style>
  <w:style w:type="paragraph" w:styleId="BodyText">
    <w:name w:val="Body Text"/>
    <w:link w:val="BodyTextChar"/>
    <w:qFormat/>
    <w:rsid w:val="008138D5"/>
    <w:pPr>
      <w:spacing w:after="120" w:line="276" w:lineRule="auto"/>
      <w:jc w:val="both"/>
    </w:pPr>
    <w:rPr>
      <w:rFonts w:ascii="Calibri" w:eastAsiaTheme="minorEastAsia" w:hAnsi="Calibri" w:cstheme="minorBidi"/>
      <w:sz w:val="21"/>
      <w:szCs w:val="22"/>
      <w:lang w:val="en-GB" w:eastAsia="en-GB"/>
    </w:rPr>
  </w:style>
  <w:style w:type="character" w:customStyle="1" w:styleId="BodyTextChar">
    <w:name w:val="Body Text Char"/>
    <w:basedOn w:val="DefaultParagraphFont"/>
    <w:link w:val="BodyText"/>
    <w:rsid w:val="008138D5"/>
    <w:rPr>
      <w:rFonts w:ascii="Calibri" w:eastAsiaTheme="minorEastAsia" w:hAnsi="Calibri" w:cstheme="minorBidi"/>
      <w:sz w:val="21"/>
      <w:szCs w:val="22"/>
      <w:lang w:val="en-GB" w:eastAsia="en-GB"/>
    </w:rPr>
  </w:style>
  <w:style w:type="character" w:customStyle="1" w:styleId="FootnoteTextChar">
    <w:name w:val="Footnote Text Char"/>
    <w:basedOn w:val="DefaultParagraphFont"/>
    <w:link w:val="FootnoteText"/>
    <w:rsid w:val="008138D5"/>
    <w:rPr>
      <w:rFonts w:asciiTheme="minorHAnsi" w:hAnsiTheme="minorHAnsi"/>
      <w:color w:val="000000"/>
      <w:sz w:val="18"/>
    </w:rPr>
  </w:style>
  <w:style w:type="paragraph" w:customStyle="1" w:styleId="Title2">
    <w:name w:val="Title 2"/>
    <w:basedOn w:val="HeadingBase"/>
    <w:rsid w:val="007149D6"/>
    <w:pPr>
      <w:spacing w:after="600"/>
      <w:jc w:val="right"/>
    </w:pPr>
    <w:rPr>
      <w:color w:val="A32035"/>
      <w:sz w:val="36"/>
      <w:szCs w:val="36"/>
    </w:rPr>
  </w:style>
  <w:style w:type="paragraph" w:customStyle="1" w:styleId="CaseStudyBullet">
    <w:name w:val="Case Study Bullet"/>
    <w:basedOn w:val="Normal"/>
    <w:rsid w:val="007149D6"/>
    <w:pPr>
      <w:tabs>
        <w:tab w:val="left" w:pos="397"/>
        <w:tab w:val="num" w:pos="567"/>
      </w:tabs>
      <w:spacing w:after="120" w:line="240" w:lineRule="exact"/>
      <w:ind w:left="624" w:right="340" w:hanging="284"/>
    </w:pPr>
    <w:rPr>
      <w:color w:val="FFFFFF" w:themeColor="background1"/>
    </w:rPr>
  </w:style>
  <w:style w:type="paragraph" w:customStyle="1" w:styleId="TableText-bullet">
    <w:name w:val="Table Text - bullet"/>
    <w:basedOn w:val="TableTextLeft"/>
    <w:rsid w:val="007149D6"/>
    <w:pPr>
      <w:numPr>
        <w:numId w:val="23"/>
      </w:numPr>
      <w:ind w:left="284" w:hanging="284"/>
    </w:pPr>
  </w:style>
  <w:style w:type="paragraph" w:customStyle="1" w:styleId="TableText-dash">
    <w:name w:val="Table Text - dash"/>
    <w:basedOn w:val="TableText-bullet"/>
    <w:rsid w:val="007149D6"/>
    <w:pPr>
      <w:numPr>
        <w:numId w:val="24"/>
      </w:numPr>
      <w:ind w:left="568" w:hanging="284"/>
    </w:pPr>
  </w:style>
  <w:style w:type="paragraph" w:styleId="Title">
    <w:name w:val="Title"/>
    <w:basedOn w:val="Normal"/>
    <w:next w:val="Normal"/>
    <w:link w:val="TitleChar"/>
    <w:qFormat/>
    <w:rsid w:val="007149D6"/>
    <w:pPr>
      <w:spacing w:after="600" w:line="240" w:lineRule="auto"/>
      <w:contextualSpacing/>
      <w:jc w:val="right"/>
    </w:pPr>
    <w:rPr>
      <w:rFonts w:asciiTheme="majorHAnsi" w:eastAsiaTheme="majorEastAsia" w:hAnsiTheme="majorHAnsi" w:cstheme="majorBidi"/>
      <w:b/>
      <w:color w:val="auto"/>
      <w:spacing w:val="-10"/>
      <w:kern w:val="28"/>
      <w:sz w:val="48"/>
      <w:szCs w:val="56"/>
    </w:rPr>
  </w:style>
  <w:style w:type="character" w:customStyle="1" w:styleId="TitleChar">
    <w:name w:val="Title Char"/>
    <w:basedOn w:val="DefaultParagraphFont"/>
    <w:link w:val="Title"/>
    <w:rsid w:val="007149D6"/>
    <w:rPr>
      <w:rFonts w:asciiTheme="majorHAnsi" w:eastAsiaTheme="majorEastAsia" w:hAnsiTheme="majorHAnsi" w:cstheme="majorBidi"/>
      <w:b/>
      <w:spacing w:val="-10"/>
      <w:kern w:val="28"/>
      <w:sz w:val="48"/>
      <w:szCs w:val="56"/>
    </w:rPr>
  </w:style>
  <w:style w:type="character" w:styleId="LineNumber">
    <w:name w:val="line number"/>
    <w:basedOn w:val="DefaultParagraphFont"/>
    <w:semiHidden/>
    <w:unhideWhenUsed/>
    <w:rsid w:val="00652010"/>
  </w:style>
  <w:style w:type="paragraph" w:customStyle="1" w:styleId="Default">
    <w:name w:val="Default"/>
    <w:basedOn w:val="Normal"/>
    <w:link w:val="DefaultChar"/>
    <w:rsid w:val="00394455"/>
    <w:pPr>
      <w:autoSpaceDE w:val="0"/>
      <w:autoSpaceDN w:val="0"/>
      <w:spacing w:after="0" w:line="240" w:lineRule="auto"/>
      <w:jc w:val="left"/>
    </w:pPr>
    <w:rPr>
      <w:rFonts w:ascii="Calibri" w:eastAsiaTheme="minorHAnsi" w:hAnsi="Calibri" w:cs="Calibri"/>
      <w:sz w:val="24"/>
      <w:szCs w:val="24"/>
      <w:lang w:eastAsia="en-US"/>
    </w:rPr>
  </w:style>
  <w:style w:type="character" w:customStyle="1" w:styleId="DefaultChar">
    <w:name w:val="Default Char"/>
    <w:basedOn w:val="DefaultParagraphFont"/>
    <w:link w:val="Default"/>
    <w:rsid w:val="00DD1363"/>
    <w:rPr>
      <w:rFonts w:ascii="Calibri" w:eastAsiaTheme="minorHAnsi" w:hAnsi="Calibri" w:cs="Calibri"/>
      <w:color w:val="000000"/>
      <w:sz w:val="24"/>
      <w:szCs w:val="24"/>
      <w:lang w:eastAsia="en-US"/>
    </w:rPr>
  </w:style>
  <w:style w:type="character" w:styleId="Emphasis">
    <w:name w:val="Emphasis"/>
    <w:basedOn w:val="DefaultParagraphFont"/>
    <w:uiPriority w:val="20"/>
    <w:qFormat/>
    <w:rsid w:val="00DD1363"/>
    <w:rPr>
      <w:i/>
      <w:iCs/>
    </w:rPr>
  </w:style>
  <w:style w:type="character" w:customStyle="1" w:styleId="Heading2Char">
    <w:name w:val="Heading 2 Char"/>
    <w:basedOn w:val="DefaultParagraphFont"/>
    <w:link w:val="Heading2"/>
    <w:rsid w:val="00DD1363"/>
    <w:rPr>
      <w:rFonts w:ascii="Calibri" w:hAnsi="Calibri" w:cs="Arial"/>
      <w:b/>
      <w:bCs/>
      <w:iCs/>
      <w:color w:val="653979"/>
      <w:sz w:val="28"/>
      <w:szCs w:val="28"/>
    </w:rPr>
  </w:style>
  <w:style w:type="character" w:customStyle="1" w:styleId="Heading3Char">
    <w:name w:val="Heading 3 Char"/>
    <w:basedOn w:val="DefaultParagraphFont"/>
    <w:link w:val="Heading3"/>
    <w:rsid w:val="00645B20"/>
    <w:rPr>
      <w:rFonts w:ascii="Calibri" w:hAnsi="Calibri" w:cs="Arial"/>
      <w:b/>
      <w:bCs/>
      <w:color w:val="477B59" w:themeColor="accent1"/>
      <w:sz w:val="24"/>
      <w:szCs w:val="26"/>
    </w:rPr>
  </w:style>
  <w:style w:type="character" w:customStyle="1" w:styleId="ChartorTableNoteChar">
    <w:name w:val="Chart or Table Note Char"/>
    <w:basedOn w:val="DefaultParagraphFont"/>
    <w:link w:val="ChartorTableNote"/>
    <w:rsid w:val="00777CCB"/>
    <w:rPr>
      <w:rFonts w:ascii="Arial" w:hAnsi="Arial"/>
      <w:color w:val="000000"/>
      <w:sz w:val="16"/>
    </w:rPr>
  </w:style>
  <w:style w:type="paragraph" w:customStyle="1" w:styleId="Caveat">
    <w:name w:val="Caveat"/>
    <w:basedOn w:val="ChartorTableNote"/>
    <w:link w:val="CaveatChar"/>
    <w:qFormat/>
    <w:rsid w:val="00507081"/>
  </w:style>
  <w:style w:type="character" w:customStyle="1" w:styleId="CaveatChar">
    <w:name w:val="Caveat Char"/>
    <w:basedOn w:val="ChartorTableNoteChar"/>
    <w:link w:val="Caveat"/>
    <w:rsid w:val="00507081"/>
    <w:rPr>
      <w:rFonts w:ascii="Arial" w:hAnsi="Arial"/>
      <w:color w:val="000000"/>
      <w:sz w:val="16"/>
    </w:rPr>
  </w:style>
  <w:style w:type="numbering" w:customStyle="1" w:styleId="BulletedList">
    <w:name w:val="Bulleted List"/>
    <w:uiPriority w:val="99"/>
    <w:rsid w:val="00E81B91"/>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5002">
      <w:bodyDiv w:val="1"/>
      <w:marLeft w:val="0"/>
      <w:marRight w:val="0"/>
      <w:marTop w:val="0"/>
      <w:marBottom w:val="0"/>
      <w:divBdr>
        <w:top w:val="none" w:sz="0" w:space="0" w:color="auto"/>
        <w:left w:val="none" w:sz="0" w:space="0" w:color="auto"/>
        <w:bottom w:val="none" w:sz="0" w:space="0" w:color="auto"/>
        <w:right w:val="none" w:sz="0" w:space="0" w:color="auto"/>
      </w:divBdr>
    </w:div>
    <w:div w:id="10835430">
      <w:bodyDiv w:val="1"/>
      <w:marLeft w:val="0"/>
      <w:marRight w:val="0"/>
      <w:marTop w:val="0"/>
      <w:marBottom w:val="0"/>
      <w:divBdr>
        <w:top w:val="none" w:sz="0" w:space="0" w:color="auto"/>
        <w:left w:val="none" w:sz="0" w:space="0" w:color="auto"/>
        <w:bottom w:val="none" w:sz="0" w:space="0" w:color="auto"/>
        <w:right w:val="none" w:sz="0" w:space="0" w:color="auto"/>
      </w:divBdr>
    </w:div>
    <w:div w:id="11343034">
      <w:bodyDiv w:val="1"/>
      <w:marLeft w:val="0"/>
      <w:marRight w:val="0"/>
      <w:marTop w:val="0"/>
      <w:marBottom w:val="0"/>
      <w:divBdr>
        <w:top w:val="none" w:sz="0" w:space="0" w:color="auto"/>
        <w:left w:val="none" w:sz="0" w:space="0" w:color="auto"/>
        <w:bottom w:val="none" w:sz="0" w:space="0" w:color="auto"/>
        <w:right w:val="none" w:sz="0" w:space="0" w:color="auto"/>
      </w:divBdr>
    </w:div>
    <w:div w:id="23599543">
      <w:bodyDiv w:val="1"/>
      <w:marLeft w:val="0"/>
      <w:marRight w:val="0"/>
      <w:marTop w:val="0"/>
      <w:marBottom w:val="0"/>
      <w:divBdr>
        <w:top w:val="none" w:sz="0" w:space="0" w:color="auto"/>
        <w:left w:val="none" w:sz="0" w:space="0" w:color="auto"/>
        <w:bottom w:val="none" w:sz="0" w:space="0" w:color="auto"/>
        <w:right w:val="none" w:sz="0" w:space="0" w:color="auto"/>
      </w:divBdr>
    </w:div>
    <w:div w:id="35158527">
      <w:bodyDiv w:val="1"/>
      <w:marLeft w:val="0"/>
      <w:marRight w:val="0"/>
      <w:marTop w:val="0"/>
      <w:marBottom w:val="0"/>
      <w:divBdr>
        <w:top w:val="none" w:sz="0" w:space="0" w:color="auto"/>
        <w:left w:val="none" w:sz="0" w:space="0" w:color="auto"/>
        <w:bottom w:val="none" w:sz="0" w:space="0" w:color="auto"/>
        <w:right w:val="none" w:sz="0" w:space="0" w:color="auto"/>
      </w:divBdr>
    </w:div>
    <w:div w:id="69665140">
      <w:bodyDiv w:val="1"/>
      <w:marLeft w:val="0"/>
      <w:marRight w:val="0"/>
      <w:marTop w:val="0"/>
      <w:marBottom w:val="0"/>
      <w:divBdr>
        <w:top w:val="none" w:sz="0" w:space="0" w:color="auto"/>
        <w:left w:val="none" w:sz="0" w:space="0" w:color="auto"/>
        <w:bottom w:val="none" w:sz="0" w:space="0" w:color="auto"/>
        <w:right w:val="none" w:sz="0" w:space="0" w:color="auto"/>
      </w:divBdr>
    </w:div>
    <w:div w:id="72971660">
      <w:bodyDiv w:val="1"/>
      <w:marLeft w:val="0"/>
      <w:marRight w:val="0"/>
      <w:marTop w:val="0"/>
      <w:marBottom w:val="0"/>
      <w:divBdr>
        <w:top w:val="none" w:sz="0" w:space="0" w:color="auto"/>
        <w:left w:val="none" w:sz="0" w:space="0" w:color="auto"/>
        <w:bottom w:val="none" w:sz="0" w:space="0" w:color="auto"/>
        <w:right w:val="none" w:sz="0" w:space="0" w:color="auto"/>
      </w:divBdr>
    </w:div>
    <w:div w:id="86772102">
      <w:bodyDiv w:val="1"/>
      <w:marLeft w:val="0"/>
      <w:marRight w:val="0"/>
      <w:marTop w:val="0"/>
      <w:marBottom w:val="0"/>
      <w:divBdr>
        <w:top w:val="none" w:sz="0" w:space="0" w:color="auto"/>
        <w:left w:val="none" w:sz="0" w:space="0" w:color="auto"/>
        <w:bottom w:val="none" w:sz="0" w:space="0" w:color="auto"/>
        <w:right w:val="none" w:sz="0" w:space="0" w:color="auto"/>
      </w:divBdr>
    </w:div>
    <w:div w:id="98569963">
      <w:bodyDiv w:val="1"/>
      <w:marLeft w:val="0"/>
      <w:marRight w:val="0"/>
      <w:marTop w:val="0"/>
      <w:marBottom w:val="0"/>
      <w:divBdr>
        <w:top w:val="none" w:sz="0" w:space="0" w:color="auto"/>
        <w:left w:val="none" w:sz="0" w:space="0" w:color="auto"/>
        <w:bottom w:val="none" w:sz="0" w:space="0" w:color="auto"/>
        <w:right w:val="none" w:sz="0" w:space="0" w:color="auto"/>
      </w:divBdr>
    </w:div>
    <w:div w:id="112554322">
      <w:bodyDiv w:val="1"/>
      <w:marLeft w:val="0"/>
      <w:marRight w:val="0"/>
      <w:marTop w:val="0"/>
      <w:marBottom w:val="0"/>
      <w:divBdr>
        <w:top w:val="none" w:sz="0" w:space="0" w:color="auto"/>
        <w:left w:val="none" w:sz="0" w:space="0" w:color="auto"/>
        <w:bottom w:val="none" w:sz="0" w:space="0" w:color="auto"/>
        <w:right w:val="none" w:sz="0" w:space="0" w:color="auto"/>
      </w:divBdr>
    </w:div>
    <w:div w:id="144930500">
      <w:bodyDiv w:val="1"/>
      <w:marLeft w:val="0"/>
      <w:marRight w:val="0"/>
      <w:marTop w:val="0"/>
      <w:marBottom w:val="0"/>
      <w:divBdr>
        <w:top w:val="none" w:sz="0" w:space="0" w:color="auto"/>
        <w:left w:val="none" w:sz="0" w:space="0" w:color="auto"/>
        <w:bottom w:val="none" w:sz="0" w:space="0" w:color="auto"/>
        <w:right w:val="none" w:sz="0" w:space="0" w:color="auto"/>
      </w:divBdr>
    </w:div>
    <w:div w:id="152110808">
      <w:bodyDiv w:val="1"/>
      <w:marLeft w:val="0"/>
      <w:marRight w:val="0"/>
      <w:marTop w:val="0"/>
      <w:marBottom w:val="0"/>
      <w:divBdr>
        <w:top w:val="none" w:sz="0" w:space="0" w:color="auto"/>
        <w:left w:val="none" w:sz="0" w:space="0" w:color="auto"/>
        <w:bottom w:val="none" w:sz="0" w:space="0" w:color="auto"/>
        <w:right w:val="none" w:sz="0" w:space="0" w:color="auto"/>
      </w:divBdr>
    </w:div>
    <w:div w:id="188371972">
      <w:bodyDiv w:val="1"/>
      <w:marLeft w:val="0"/>
      <w:marRight w:val="0"/>
      <w:marTop w:val="0"/>
      <w:marBottom w:val="0"/>
      <w:divBdr>
        <w:top w:val="none" w:sz="0" w:space="0" w:color="auto"/>
        <w:left w:val="none" w:sz="0" w:space="0" w:color="auto"/>
        <w:bottom w:val="none" w:sz="0" w:space="0" w:color="auto"/>
        <w:right w:val="none" w:sz="0" w:space="0" w:color="auto"/>
      </w:divBdr>
    </w:div>
    <w:div w:id="192377897">
      <w:bodyDiv w:val="1"/>
      <w:marLeft w:val="0"/>
      <w:marRight w:val="0"/>
      <w:marTop w:val="0"/>
      <w:marBottom w:val="0"/>
      <w:divBdr>
        <w:top w:val="none" w:sz="0" w:space="0" w:color="auto"/>
        <w:left w:val="none" w:sz="0" w:space="0" w:color="auto"/>
        <w:bottom w:val="none" w:sz="0" w:space="0" w:color="auto"/>
        <w:right w:val="none" w:sz="0" w:space="0" w:color="auto"/>
      </w:divBdr>
    </w:div>
    <w:div w:id="202401922">
      <w:bodyDiv w:val="1"/>
      <w:marLeft w:val="0"/>
      <w:marRight w:val="0"/>
      <w:marTop w:val="0"/>
      <w:marBottom w:val="0"/>
      <w:divBdr>
        <w:top w:val="none" w:sz="0" w:space="0" w:color="auto"/>
        <w:left w:val="none" w:sz="0" w:space="0" w:color="auto"/>
        <w:bottom w:val="none" w:sz="0" w:space="0" w:color="auto"/>
        <w:right w:val="none" w:sz="0" w:space="0" w:color="auto"/>
      </w:divBdr>
    </w:div>
    <w:div w:id="213543940">
      <w:bodyDiv w:val="1"/>
      <w:marLeft w:val="0"/>
      <w:marRight w:val="0"/>
      <w:marTop w:val="0"/>
      <w:marBottom w:val="0"/>
      <w:divBdr>
        <w:top w:val="none" w:sz="0" w:space="0" w:color="auto"/>
        <w:left w:val="none" w:sz="0" w:space="0" w:color="auto"/>
        <w:bottom w:val="none" w:sz="0" w:space="0" w:color="auto"/>
        <w:right w:val="none" w:sz="0" w:space="0" w:color="auto"/>
      </w:divBdr>
    </w:div>
    <w:div w:id="233784878">
      <w:bodyDiv w:val="1"/>
      <w:marLeft w:val="0"/>
      <w:marRight w:val="0"/>
      <w:marTop w:val="0"/>
      <w:marBottom w:val="0"/>
      <w:divBdr>
        <w:top w:val="none" w:sz="0" w:space="0" w:color="auto"/>
        <w:left w:val="none" w:sz="0" w:space="0" w:color="auto"/>
        <w:bottom w:val="none" w:sz="0" w:space="0" w:color="auto"/>
        <w:right w:val="none" w:sz="0" w:space="0" w:color="auto"/>
      </w:divBdr>
    </w:div>
    <w:div w:id="236600799">
      <w:bodyDiv w:val="1"/>
      <w:marLeft w:val="0"/>
      <w:marRight w:val="0"/>
      <w:marTop w:val="0"/>
      <w:marBottom w:val="0"/>
      <w:divBdr>
        <w:top w:val="none" w:sz="0" w:space="0" w:color="auto"/>
        <w:left w:val="none" w:sz="0" w:space="0" w:color="auto"/>
        <w:bottom w:val="none" w:sz="0" w:space="0" w:color="auto"/>
        <w:right w:val="none" w:sz="0" w:space="0" w:color="auto"/>
      </w:divBdr>
    </w:div>
    <w:div w:id="245071224">
      <w:bodyDiv w:val="1"/>
      <w:marLeft w:val="0"/>
      <w:marRight w:val="0"/>
      <w:marTop w:val="0"/>
      <w:marBottom w:val="0"/>
      <w:divBdr>
        <w:top w:val="none" w:sz="0" w:space="0" w:color="auto"/>
        <w:left w:val="none" w:sz="0" w:space="0" w:color="auto"/>
        <w:bottom w:val="none" w:sz="0" w:space="0" w:color="auto"/>
        <w:right w:val="none" w:sz="0" w:space="0" w:color="auto"/>
      </w:divBdr>
    </w:div>
    <w:div w:id="272592496">
      <w:bodyDiv w:val="1"/>
      <w:marLeft w:val="0"/>
      <w:marRight w:val="0"/>
      <w:marTop w:val="0"/>
      <w:marBottom w:val="0"/>
      <w:divBdr>
        <w:top w:val="none" w:sz="0" w:space="0" w:color="auto"/>
        <w:left w:val="none" w:sz="0" w:space="0" w:color="auto"/>
        <w:bottom w:val="none" w:sz="0" w:space="0" w:color="auto"/>
        <w:right w:val="none" w:sz="0" w:space="0" w:color="auto"/>
      </w:divBdr>
    </w:div>
    <w:div w:id="283319002">
      <w:bodyDiv w:val="1"/>
      <w:marLeft w:val="0"/>
      <w:marRight w:val="0"/>
      <w:marTop w:val="0"/>
      <w:marBottom w:val="0"/>
      <w:divBdr>
        <w:top w:val="none" w:sz="0" w:space="0" w:color="auto"/>
        <w:left w:val="none" w:sz="0" w:space="0" w:color="auto"/>
        <w:bottom w:val="none" w:sz="0" w:space="0" w:color="auto"/>
        <w:right w:val="none" w:sz="0" w:space="0" w:color="auto"/>
      </w:divBdr>
    </w:div>
    <w:div w:id="292252172">
      <w:bodyDiv w:val="1"/>
      <w:marLeft w:val="0"/>
      <w:marRight w:val="0"/>
      <w:marTop w:val="0"/>
      <w:marBottom w:val="0"/>
      <w:divBdr>
        <w:top w:val="none" w:sz="0" w:space="0" w:color="auto"/>
        <w:left w:val="none" w:sz="0" w:space="0" w:color="auto"/>
        <w:bottom w:val="none" w:sz="0" w:space="0" w:color="auto"/>
        <w:right w:val="none" w:sz="0" w:space="0" w:color="auto"/>
      </w:divBdr>
    </w:div>
    <w:div w:id="295719540">
      <w:bodyDiv w:val="1"/>
      <w:marLeft w:val="0"/>
      <w:marRight w:val="0"/>
      <w:marTop w:val="0"/>
      <w:marBottom w:val="0"/>
      <w:divBdr>
        <w:top w:val="none" w:sz="0" w:space="0" w:color="auto"/>
        <w:left w:val="none" w:sz="0" w:space="0" w:color="auto"/>
        <w:bottom w:val="none" w:sz="0" w:space="0" w:color="auto"/>
        <w:right w:val="none" w:sz="0" w:space="0" w:color="auto"/>
      </w:divBdr>
    </w:div>
    <w:div w:id="302542506">
      <w:bodyDiv w:val="1"/>
      <w:marLeft w:val="0"/>
      <w:marRight w:val="0"/>
      <w:marTop w:val="0"/>
      <w:marBottom w:val="0"/>
      <w:divBdr>
        <w:top w:val="none" w:sz="0" w:space="0" w:color="auto"/>
        <w:left w:val="none" w:sz="0" w:space="0" w:color="auto"/>
        <w:bottom w:val="none" w:sz="0" w:space="0" w:color="auto"/>
        <w:right w:val="none" w:sz="0" w:space="0" w:color="auto"/>
      </w:divBdr>
    </w:div>
    <w:div w:id="307438368">
      <w:bodyDiv w:val="1"/>
      <w:marLeft w:val="0"/>
      <w:marRight w:val="0"/>
      <w:marTop w:val="0"/>
      <w:marBottom w:val="0"/>
      <w:divBdr>
        <w:top w:val="none" w:sz="0" w:space="0" w:color="auto"/>
        <w:left w:val="none" w:sz="0" w:space="0" w:color="auto"/>
        <w:bottom w:val="none" w:sz="0" w:space="0" w:color="auto"/>
        <w:right w:val="none" w:sz="0" w:space="0" w:color="auto"/>
      </w:divBdr>
    </w:div>
    <w:div w:id="331883942">
      <w:bodyDiv w:val="1"/>
      <w:marLeft w:val="0"/>
      <w:marRight w:val="0"/>
      <w:marTop w:val="0"/>
      <w:marBottom w:val="0"/>
      <w:divBdr>
        <w:top w:val="none" w:sz="0" w:space="0" w:color="auto"/>
        <w:left w:val="none" w:sz="0" w:space="0" w:color="auto"/>
        <w:bottom w:val="none" w:sz="0" w:space="0" w:color="auto"/>
        <w:right w:val="none" w:sz="0" w:space="0" w:color="auto"/>
      </w:divBdr>
    </w:div>
    <w:div w:id="343947191">
      <w:bodyDiv w:val="1"/>
      <w:marLeft w:val="0"/>
      <w:marRight w:val="0"/>
      <w:marTop w:val="0"/>
      <w:marBottom w:val="0"/>
      <w:divBdr>
        <w:top w:val="none" w:sz="0" w:space="0" w:color="auto"/>
        <w:left w:val="none" w:sz="0" w:space="0" w:color="auto"/>
        <w:bottom w:val="none" w:sz="0" w:space="0" w:color="auto"/>
        <w:right w:val="none" w:sz="0" w:space="0" w:color="auto"/>
      </w:divBdr>
    </w:div>
    <w:div w:id="362747836">
      <w:bodyDiv w:val="1"/>
      <w:marLeft w:val="0"/>
      <w:marRight w:val="0"/>
      <w:marTop w:val="0"/>
      <w:marBottom w:val="0"/>
      <w:divBdr>
        <w:top w:val="none" w:sz="0" w:space="0" w:color="auto"/>
        <w:left w:val="none" w:sz="0" w:space="0" w:color="auto"/>
        <w:bottom w:val="none" w:sz="0" w:space="0" w:color="auto"/>
        <w:right w:val="none" w:sz="0" w:space="0" w:color="auto"/>
      </w:divBdr>
    </w:div>
    <w:div w:id="366492285">
      <w:bodyDiv w:val="1"/>
      <w:marLeft w:val="0"/>
      <w:marRight w:val="0"/>
      <w:marTop w:val="0"/>
      <w:marBottom w:val="0"/>
      <w:divBdr>
        <w:top w:val="none" w:sz="0" w:space="0" w:color="auto"/>
        <w:left w:val="none" w:sz="0" w:space="0" w:color="auto"/>
        <w:bottom w:val="none" w:sz="0" w:space="0" w:color="auto"/>
        <w:right w:val="none" w:sz="0" w:space="0" w:color="auto"/>
      </w:divBdr>
    </w:div>
    <w:div w:id="393507164">
      <w:bodyDiv w:val="1"/>
      <w:marLeft w:val="0"/>
      <w:marRight w:val="0"/>
      <w:marTop w:val="0"/>
      <w:marBottom w:val="0"/>
      <w:divBdr>
        <w:top w:val="none" w:sz="0" w:space="0" w:color="auto"/>
        <w:left w:val="none" w:sz="0" w:space="0" w:color="auto"/>
        <w:bottom w:val="none" w:sz="0" w:space="0" w:color="auto"/>
        <w:right w:val="none" w:sz="0" w:space="0" w:color="auto"/>
      </w:divBdr>
    </w:div>
    <w:div w:id="394858397">
      <w:bodyDiv w:val="1"/>
      <w:marLeft w:val="0"/>
      <w:marRight w:val="0"/>
      <w:marTop w:val="0"/>
      <w:marBottom w:val="0"/>
      <w:divBdr>
        <w:top w:val="none" w:sz="0" w:space="0" w:color="auto"/>
        <w:left w:val="none" w:sz="0" w:space="0" w:color="auto"/>
        <w:bottom w:val="none" w:sz="0" w:space="0" w:color="auto"/>
        <w:right w:val="none" w:sz="0" w:space="0" w:color="auto"/>
      </w:divBdr>
    </w:div>
    <w:div w:id="402143744">
      <w:bodyDiv w:val="1"/>
      <w:marLeft w:val="0"/>
      <w:marRight w:val="0"/>
      <w:marTop w:val="0"/>
      <w:marBottom w:val="0"/>
      <w:divBdr>
        <w:top w:val="none" w:sz="0" w:space="0" w:color="auto"/>
        <w:left w:val="none" w:sz="0" w:space="0" w:color="auto"/>
        <w:bottom w:val="none" w:sz="0" w:space="0" w:color="auto"/>
        <w:right w:val="none" w:sz="0" w:space="0" w:color="auto"/>
      </w:divBdr>
    </w:div>
    <w:div w:id="403190155">
      <w:bodyDiv w:val="1"/>
      <w:marLeft w:val="0"/>
      <w:marRight w:val="0"/>
      <w:marTop w:val="0"/>
      <w:marBottom w:val="0"/>
      <w:divBdr>
        <w:top w:val="none" w:sz="0" w:space="0" w:color="auto"/>
        <w:left w:val="none" w:sz="0" w:space="0" w:color="auto"/>
        <w:bottom w:val="none" w:sz="0" w:space="0" w:color="auto"/>
        <w:right w:val="none" w:sz="0" w:space="0" w:color="auto"/>
      </w:divBdr>
    </w:div>
    <w:div w:id="416753470">
      <w:bodyDiv w:val="1"/>
      <w:marLeft w:val="0"/>
      <w:marRight w:val="0"/>
      <w:marTop w:val="0"/>
      <w:marBottom w:val="0"/>
      <w:divBdr>
        <w:top w:val="none" w:sz="0" w:space="0" w:color="auto"/>
        <w:left w:val="none" w:sz="0" w:space="0" w:color="auto"/>
        <w:bottom w:val="none" w:sz="0" w:space="0" w:color="auto"/>
        <w:right w:val="none" w:sz="0" w:space="0" w:color="auto"/>
      </w:divBdr>
    </w:div>
    <w:div w:id="432241316">
      <w:bodyDiv w:val="1"/>
      <w:marLeft w:val="0"/>
      <w:marRight w:val="0"/>
      <w:marTop w:val="0"/>
      <w:marBottom w:val="0"/>
      <w:divBdr>
        <w:top w:val="none" w:sz="0" w:space="0" w:color="auto"/>
        <w:left w:val="none" w:sz="0" w:space="0" w:color="auto"/>
        <w:bottom w:val="none" w:sz="0" w:space="0" w:color="auto"/>
        <w:right w:val="none" w:sz="0" w:space="0" w:color="auto"/>
      </w:divBdr>
    </w:div>
    <w:div w:id="476342201">
      <w:bodyDiv w:val="1"/>
      <w:marLeft w:val="0"/>
      <w:marRight w:val="0"/>
      <w:marTop w:val="0"/>
      <w:marBottom w:val="0"/>
      <w:divBdr>
        <w:top w:val="none" w:sz="0" w:space="0" w:color="auto"/>
        <w:left w:val="none" w:sz="0" w:space="0" w:color="auto"/>
        <w:bottom w:val="none" w:sz="0" w:space="0" w:color="auto"/>
        <w:right w:val="none" w:sz="0" w:space="0" w:color="auto"/>
      </w:divBdr>
    </w:div>
    <w:div w:id="483425197">
      <w:bodyDiv w:val="1"/>
      <w:marLeft w:val="0"/>
      <w:marRight w:val="0"/>
      <w:marTop w:val="0"/>
      <w:marBottom w:val="0"/>
      <w:divBdr>
        <w:top w:val="none" w:sz="0" w:space="0" w:color="auto"/>
        <w:left w:val="none" w:sz="0" w:space="0" w:color="auto"/>
        <w:bottom w:val="none" w:sz="0" w:space="0" w:color="auto"/>
        <w:right w:val="none" w:sz="0" w:space="0" w:color="auto"/>
      </w:divBdr>
    </w:div>
    <w:div w:id="489256421">
      <w:bodyDiv w:val="1"/>
      <w:marLeft w:val="0"/>
      <w:marRight w:val="0"/>
      <w:marTop w:val="0"/>
      <w:marBottom w:val="0"/>
      <w:divBdr>
        <w:top w:val="none" w:sz="0" w:space="0" w:color="auto"/>
        <w:left w:val="none" w:sz="0" w:space="0" w:color="auto"/>
        <w:bottom w:val="none" w:sz="0" w:space="0" w:color="auto"/>
        <w:right w:val="none" w:sz="0" w:space="0" w:color="auto"/>
      </w:divBdr>
    </w:div>
    <w:div w:id="498354269">
      <w:bodyDiv w:val="1"/>
      <w:marLeft w:val="0"/>
      <w:marRight w:val="0"/>
      <w:marTop w:val="0"/>
      <w:marBottom w:val="0"/>
      <w:divBdr>
        <w:top w:val="none" w:sz="0" w:space="0" w:color="auto"/>
        <w:left w:val="none" w:sz="0" w:space="0" w:color="auto"/>
        <w:bottom w:val="none" w:sz="0" w:space="0" w:color="auto"/>
        <w:right w:val="none" w:sz="0" w:space="0" w:color="auto"/>
      </w:divBdr>
    </w:div>
    <w:div w:id="504248956">
      <w:bodyDiv w:val="1"/>
      <w:marLeft w:val="0"/>
      <w:marRight w:val="0"/>
      <w:marTop w:val="0"/>
      <w:marBottom w:val="0"/>
      <w:divBdr>
        <w:top w:val="none" w:sz="0" w:space="0" w:color="auto"/>
        <w:left w:val="none" w:sz="0" w:space="0" w:color="auto"/>
        <w:bottom w:val="none" w:sz="0" w:space="0" w:color="auto"/>
        <w:right w:val="none" w:sz="0" w:space="0" w:color="auto"/>
      </w:divBdr>
    </w:div>
    <w:div w:id="511189885">
      <w:bodyDiv w:val="1"/>
      <w:marLeft w:val="0"/>
      <w:marRight w:val="0"/>
      <w:marTop w:val="0"/>
      <w:marBottom w:val="0"/>
      <w:divBdr>
        <w:top w:val="none" w:sz="0" w:space="0" w:color="auto"/>
        <w:left w:val="none" w:sz="0" w:space="0" w:color="auto"/>
        <w:bottom w:val="none" w:sz="0" w:space="0" w:color="auto"/>
        <w:right w:val="none" w:sz="0" w:space="0" w:color="auto"/>
      </w:divBdr>
    </w:div>
    <w:div w:id="517818618">
      <w:bodyDiv w:val="1"/>
      <w:marLeft w:val="0"/>
      <w:marRight w:val="0"/>
      <w:marTop w:val="0"/>
      <w:marBottom w:val="0"/>
      <w:divBdr>
        <w:top w:val="none" w:sz="0" w:space="0" w:color="auto"/>
        <w:left w:val="none" w:sz="0" w:space="0" w:color="auto"/>
        <w:bottom w:val="none" w:sz="0" w:space="0" w:color="auto"/>
        <w:right w:val="none" w:sz="0" w:space="0" w:color="auto"/>
      </w:divBdr>
    </w:div>
    <w:div w:id="562177986">
      <w:bodyDiv w:val="1"/>
      <w:marLeft w:val="0"/>
      <w:marRight w:val="0"/>
      <w:marTop w:val="0"/>
      <w:marBottom w:val="0"/>
      <w:divBdr>
        <w:top w:val="none" w:sz="0" w:space="0" w:color="auto"/>
        <w:left w:val="none" w:sz="0" w:space="0" w:color="auto"/>
        <w:bottom w:val="none" w:sz="0" w:space="0" w:color="auto"/>
        <w:right w:val="none" w:sz="0" w:space="0" w:color="auto"/>
      </w:divBdr>
    </w:div>
    <w:div w:id="562299222">
      <w:bodyDiv w:val="1"/>
      <w:marLeft w:val="0"/>
      <w:marRight w:val="0"/>
      <w:marTop w:val="0"/>
      <w:marBottom w:val="0"/>
      <w:divBdr>
        <w:top w:val="none" w:sz="0" w:space="0" w:color="auto"/>
        <w:left w:val="none" w:sz="0" w:space="0" w:color="auto"/>
        <w:bottom w:val="none" w:sz="0" w:space="0" w:color="auto"/>
        <w:right w:val="none" w:sz="0" w:space="0" w:color="auto"/>
      </w:divBdr>
    </w:div>
    <w:div w:id="579099393">
      <w:bodyDiv w:val="1"/>
      <w:marLeft w:val="0"/>
      <w:marRight w:val="0"/>
      <w:marTop w:val="0"/>
      <w:marBottom w:val="0"/>
      <w:divBdr>
        <w:top w:val="none" w:sz="0" w:space="0" w:color="auto"/>
        <w:left w:val="none" w:sz="0" w:space="0" w:color="auto"/>
        <w:bottom w:val="none" w:sz="0" w:space="0" w:color="auto"/>
        <w:right w:val="none" w:sz="0" w:space="0" w:color="auto"/>
      </w:divBdr>
    </w:div>
    <w:div w:id="579557623">
      <w:bodyDiv w:val="1"/>
      <w:marLeft w:val="0"/>
      <w:marRight w:val="0"/>
      <w:marTop w:val="0"/>
      <w:marBottom w:val="0"/>
      <w:divBdr>
        <w:top w:val="none" w:sz="0" w:space="0" w:color="auto"/>
        <w:left w:val="none" w:sz="0" w:space="0" w:color="auto"/>
        <w:bottom w:val="none" w:sz="0" w:space="0" w:color="auto"/>
        <w:right w:val="none" w:sz="0" w:space="0" w:color="auto"/>
      </w:divBdr>
    </w:div>
    <w:div w:id="580649806">
      <w:bodyDiv w:val="1"/>
      <w:marLeft w:val="0"/>
      <w:marRight w:val="0"/>
      <w:marTop w:val="0"/>
      <w:marBottom w:val="0"/>
      <w:divBdr>
        <w:top w:val="none" w:sz="0" w:space="0" w:color="auto"/>
        <w:left w:val="none" w:sz="0" w:space="0" w:color="auto"/>
        <w:bottom w:val="none" w:sz="0" w:space="0" w:color="auto"/>
        <w:right w:val="none" w:sz="0" w:space="0" w:color="auto"/>
      </w:divBdr>
    </w:div>
    <w:div w:id="589971018">
      <w:bodyDiv w:val="1"/>
      <w:marLeft w:val="0"/>
      <w:marRight w:val="0"/>
      <w:marTop w:val="0"/>
      <w:marBottom w:val="0"/>
      <w:divBdr>
        <w:top w:val="none" w:sz="0" w:space="0" w:color="auto"/>
        <w:left w:val="none" w:sz="0" w:space="0" w:color="auto"/>
        <w:bottom w:val="none" w:sz="0" w:space="0" w:color="auto"/>
        <w:right w:val="none" w:sz="0" w:space="0" w:color="auto"/>
      </w:divBdr>
    </w:div>
    <w:div w:id="597179333">
      <w:bodyDiv w:val="1"/>
      <w:marLeft w:val="0"/>
      <w:marRight w:val="0"/>
      <w:marTop w:val="0"/>
      <w:marBottom w:val="0"/>
      <w:divBdr>
        <w:top w:val="none" w:sz="0" w:space="0" w:color="auto"/>
        <w:left w:val="none" w:sz="0" w:space="0" w:color="auto"/>
        <w:bottom w:val="none" w:sz="0" w:space="0" w:color="auto"/>
        <w:right w:val="none" w:sz="0" w:space="0" w:color="auto"/>
      </w:divBdr>
    </w:div>
    <w:div w:id="669411139">
      <w:bodyDiv w:val="1"/>
      <w:marLeft w:val="0"/>
      <w:marRight w:val="0"/>
      <w:marTop w:val="0"/>
      <w:marBottom w:val="0"/>
      <w:divBdr>
        <w:top w:val="none" w:sz="0" w:space="0" w:color="auto"/>
        <w:left w:val="none" w:sz="0" w:space="0" w:color="auto"/>
        <w:bottom w:val="none" w:sz="0" w:space="0" w:color="auto"/>
        <w:right w:val="none" w:sz="0" w:space="0" w:color="auto"/>
      </w:divBdr>
    </w:div>
    <w:div w:id="683215919">
      <w:bodyDiv w:val="1"/>
      <w:marLeft w:val="0"/>
      <w:marRight w:val="0"/>
      <w:marTop w:val="0"/>
      <w:marBottom w:val="0"/>
      <w:divBdr>
        <w:top w:val="none" w:sz="0" w:space="0" w:color="auto"/>
        <w:left w:val="none" w:sz="0" w:space="0" w:color="auto"/>
        <w:bottom w:val="none" w:sz="0" w:space="0" w:color="auto"/>
        <w:right w:val="none" w:sz="0" w:space="0" w:color="auto"/>
      </w:divBdr>
    </w:div>
    <w:div w:id="701520417">
      <w:bodyDiv w:val="1"/>
      <w:marLeft w:val="0"/>
      <w:marRight w:val="0"/>
      <w:marTop w:val="0"/>
      <w:marBottom w:val="0"/>
      <w:divBdr>
        <w:top w:val="none" w:sz="0" w:space="0" w:color="auto"/>
        <w:left w:val="none" w:sz="0" w:space="0" w:color="auto"/>
        <w:bottom w:val="none" w:sz="0" w:space="0" w:color="auto"/>
        <w:right w:val="none" w:sz="0" w:space="0" w:color="auto"/>
      </w:divBdr>
    </w:div>
    <w:div w:id="704523021">
      <w:bodyDiv w:val="1"/>
      <w:marLeft w:val="0"/>
      <w:marRight w:val="0"/>
      <w:marTop w:val="0"/>
      <w:marBottom w:val="0"/>
      <w:divBdr>
        <w:top w:val="none" w:sz="0" w:space="0" w:color="auto"/>
        <w:left w:val="none" w:sz="0" w:space="0" w:color="auto"/>
        <w:bottom w:val="none" w:sz="0" w:space="0" w:color="auto"/>
        <w:right w:val="none" w:sz="0" w:space="0" w:color="auto"/>
      </w:divBdr>
    </w:div>
    <w:div w:id="721174359">
      <w:bodyDiv w:val="1"/>
      <w:marLeft w:val="0"/>
      <w:marRight w:val="0"/>
      <w:marTop w:val="0"/>
      <w:marBottom w:val="0"/>
      <w:divBdr>
        <w:top w:val="none" w:sz="0" w:space="0" w:color="auto"/>
        <w:left w:val="none" w:sz="0" w:space="0" w:color="auto"/>
        <w:bottom w:val="none" w:sz="0" w:space="0" w:color="auto"/>
        <w:right w:val="none" w:sz="0" w:space="0" w:color="auto"/>
      </w:divBdr>
    </w:div>
    <w:div w:id="722945752">
      <w:bodyDiv w:val="1"/>
      <w:marLeft w:val="0"/>
      <w:marRight w:val="0"/>
      <w:marTop w:val="0"/>
      <w:marBottom w:val="0"/>
      <w:divBdr>
        <w:top w:val="none" w:sz="0" w:space="0" w:color="auto"/>
        <w:left w:val="none" w:sz="0" w:space="0" w:color="auto"/>
        <w:bottom w:val="none" w:sz="0" w:space="0" w:color="auto"/>
        <w:right w:val="none" w:sz="0" w:space="0" w:color="auto"/>
      </w:divBdr>
    </w:div>
    <w:div w:id="730006858">
      <w:bodyDiv w:val="1"/>
      <w:marLeft w:val="0"/>
      <w:marRight w:val="0"/>
      <w:marTop w:val="0"/>
      <w:marBottom w:val="0"/>
      <w:divBdr>
        <w:top w:val="none" w:sz="0" w:space="0" w:color="auto"/>
        <w:left w:val="none" w:sz="0" w:space="0" w:color="auto"/>
        <w:bottom w:val="none" w:sz="0" w:space="0" w:color="auto"/>
        <w:right w:val="none" w:sz="0" w:space="0" w:color="auto"/>
      </w:divBdr>
    </w:div>
    <w:div w:id="739668331">
      <w:bodyDiv w:val="1"/>
      <w:marLeft w:val="0"/>
      <w:marRight w:val="0"/>
      <w:marTop w:val="0"/>
      <w:marBottom w:val="0"/>
      <w:divBdr>
        <w:top w:val="none" w:sz="0" w:space="0" w:color="auto"/>
        <w:left w:val="none" w:sz="0" w:space="0" w:color="auto"/>
        <w:bottom w:val="none" w:sz="0" w:space="0" w:color="auto"/>
        <w:right w:val="none" w:sz="0" w:space="0" w:color="auto"/>
      </w:divBdr>
    </w:div>
    <w:div w:id="740099993">
      <w:bodyDiv w:val="1"/>
      <w:marLeft w:val="0"/>
      <w:marRight w:val="0"/>
      <w:marTop w:val="0"/>
      <w:marBottom w:val="0"/>
      <w:divBdr>
        <w:top w:val="none" w:sz="0" w:space="0" w:color="auto"/>
        <w:left w:val="none" w:sz="0" w:space="0" w:color="auto"/>
        <w:bottom w:val="none" w:sz="0" w:space="0" w:color="auto"/>
        <w:right w:val="none" w:sz="0" w:space="0" w:color="auto"/>
      </w:divBdr>
    </w:div>
    <w:div w:id="761603968">
      <w:bodyDiv w:val="1"/>
      <w:marLeft w:val="0"/>
      <w:marRight w:val="0"/>
      <w:marTop w:val="0"/>
      <w:marBottom w:val="0"/>
      <w:divBdr>
        <w:top w:val="none" w:sz="0" w:space="0" w:color="auto"/>
        <w:left w:val="none" w:sz="0" w:space="0" w:color="auto"/>
        <w:bottom w:val="none" w:sz="0" w:space="0" w:color="auto"/>
        <w:right w:val="none" w:sz="0" w:space="0" w:color="auto"/>
      </w:divBdr>
    </w:div>
    <w:div w:id="772091523">
      <w:bodyDiv w:val="1"/>
      <w:marLeft w:val="0"/>
      <w:marRight w:val="0"/>
      <w:marTop w:val="0"/>
      <w:marBottom w:val="0"/>
      <w:divBdr>
        <w:top w:val="none" w:sz="0" w:space="0" w:color="auto"/>
        <w:left w:val="none" w:sz="0" w:space="0" w:color="auto"/>
        <w:bottom w:val="none" w:sz="0" w:space="0" w:color="auto"/>
        <w:right w:val="none" w:sz="0" w:space="0" w:color="auto"/>
      </w:divBdr>
    </w:div>
    <w:div w:id="777602601">
      <w:bodyDiv w:val="1"/>
      <w:marLeft w:val="0"/>
      <w:marRight w:val="0"/>
      <w:marTop w:val="0"/>
      <w:marBottom w:val="0"/>
      <w:divBdr>
        <w:top w:val="none" w:sz="0" w:space="0" w:color="auto"/>
        <w:left w:val="none" w:sz="0" w:space="0" w:color="auto"/>
        <w:bottom w:val="none" w:sz="0" w:space="0" w:color="auto"/>
        <w:right w:val="none" w:sz="0" w:space="0" w:color="auto"/>
      </w:divBdr>
    </w:div>
    <w:div w:id="785584682">
      <w:bodyDiv w:val="1"/>
      <w:marLeft w:val="0"/>
      <w:marRight w:val="0"/>
      <w:marTop w:val="0"/>
      <w:marBottom w:val="0"/>
      <w:divBdr>
        <w:top w:val="none" w:sz="0" w:space="0" w:color="auto"/>
        <w:left w:val="none" w:sz="0" w:space="0" w:color="auto"/>
        <w:bottom w:val="none" w:sz="0" w:space="0" w:color="auto"/>
        <w:right w:val="none" w:sz="0" w:space="0" w:color="auto"/>
      </w:divBdr>
    </w:div>
    <w:div w:id="791285122">
      <w:bodyDiv w:val="1"/>
      <w:marLeft w:val="0"/>
      <w:marRight w:val="0"/>
      <w:marTop w:val="0"/>
      <w:marBottom w:val="0"/>
      <w:divBdr>
        <w:top w:val="none" w:sz="0" w:space="0" w:color="auto"/>
        <w:left w:val="none" w:sz="0" w:space="0" w:color="auto"/>
        <w:bottom w:val="none" w:sz="0" w:space="0" w:color="auto"/>
        <w:right w:val="none" w:sz="0" w:space="0" w:color="auto"/>
      </w:divBdr>
    </w:div>
    <w:div w:id="805203312">
      <w:bodyDiv w:val="1"/>
      <w:marLeft w:val="0"/>
      <w:marRight w:val="0"/>
      <w:marTop w:val="0"/>
      <w:marBottom w:val="0"/>
      <w:divBdr>
        <w:top w:val="none" w:sz="0" w:space="0" w:color="auto"/>
        <w:left w:val="none" w:sz="0" w:space="0" w:color="auto"/>
        <w:bottom w:val="none" w:sz="0" w:space="0" w:color="auto"/>
        <w:right w:val="none" w:sz="0" w:space="0" w:color="auto"/>
      </w:divBdr>
    </w:div>
    <w:div w:id="808060380">
      <w:bodyDiv w:val="1"/>
      <w:marLeft w:val="0"/>
      <w:marRight w:val="0"/>
      <w:marTop w:val="0"/>
      <w:marBottom w:val="0"/>
      <w:divBdr>
        <w:top w:val="none" w:sz="0" w:space="0" w:color="auto"/>
        <w:left w:val="none" w:sz="0" w:space="0" w:color="auto"/>
        <w:bottom w:val="none" w:sz="0" w:space="0" w:color="auto"/>
        <w:right w:val="none" w:sz="0" w:space="0" w:color="auto"/>
      </w:divBdr>
    </w:div>
    <w:div w:id="808060499">
      <w:bodyDiv w:val="1"/>
      <w:marLeft w:val="0"/>
      <w:marRight w:val="0"/>
      <w:marTop w:val="0"/>
      <w:marBottom w:val="0"/>
      <w:divBdr>
        <w:top w:val="none" w:sz="0" w:space="0" w:color="auto"/>
        <w:left w:val="none" w:sz="0" w:space="0" w:color="auto"/>
        <w:bottom w:val="none" w:sz="0" w:space="0" w:color="auto"/>
        <w:right w:val="none" w:sz="0" w:space="0" w:color="auto"/>
      </w:divBdr>
    </w:div>
    <w:div w:id="810250937">
      <w:bodyDiv w:val="1"/>
      <w:marLeft w:val="0"/>
      <w:marRight w:val="0"/>
      <w:marTop w:val="0"/>
      <w:marBottom w:val="0"/>
      <w:divBdr>
        <w:top w:val="none" w:sz="0" w:space="0" w:color="auto"/>
        <w:left w:val="none" w:sz="0" w:space="0" w:color="auto"/>
        <w:bottom w:val="none" w:sz="0" w:space="0" w:color="auto"/>
        <w:right w:val="none" w:sz="0" w:space="0" w:color="auto"/>
      </w:divBdr>
    </w:div>
    <w:div w:id="810833169">
      <w:bodyDiv w:val="1"/>
      <w:marLeft w:val="0"/>
      <w:marRight w:val="0"/>
      <w:marTop w:val="0"/>
      <w:marBottom w:val="0"/>
      <w:divBdr>
        <w:top w:val="none" w:sz="0" w:space="0" w:color="auto"/>
        <w:left w:val="none" w:sz="0" w:space="0" w:color="auto"/>
        <w:bottom w:val="none" w:sz="0" w:space="0" w:color="auto"/>
        <w:right w:val="none" w:sz="0" w:space="0" w:color="auto"/>
      </w:divBdr>
    </w:div>
    <w:div w:id="815415385">
      <w:bodyDiv w:val="1"/>
      <w:marLeft w:val="0"/>
      <w:marRight w:val="0"/>
      <w:marTop w:val="0"/>
      <w:marBottom w:val="0"/>
      <w:divBdr>
        <w:top w:val="none" w:sz="0" w:space="0" w:color="auto"/>
        <w:left w:val="none" w:sz="0" w:space="0" w:color="auto"/>
        <w:bottom w:val="none" w:sz="0" w:space="0" w:color="auto"/>
        <w:right w:val="none" w:sz="0" w:space="0" w:color="auto"/>
      </w:divBdr>
    </w:div>
    <w:div w:id="817263519">
      <w:bodyDiv w:val="1"/>
      <w:marLeft w:val="0"/>
      <w:marRight w:val="0"/>
      <w:marTop w:val="0"/>
      <w:marBottom w:val="0"/>
      <w:divBdr>
        <w:top w:val="none" w:sz="0" w:space="0" w:color="auto"/>
        <w:left w:val="none" w:sz="0" w:space="0" w:color="auto"/>
        <w:bottom w:val="none" w:sz="0" w:space="0" w:color="auto"/>
        <w:right w:val="none" w:sz="0" w:space="0" w:color="auto"/>
      </w:divBdr>
    </w:div>
    <w:div w:id="829753843">
      <w:bodyDiv w:val="1"/>
      <w:marLeft w:val="0"/>
      <w:marRight w:val="0"/>
      <w:marTop w:val="0"/>
      <w:marBottom w:val="0"/>
      <w:divBdr>
        <w:top w:val="none" w:sz="0" w:space="0" w:color="auto"/>
        <w:left w:val="none" w:sz="0" w:space="0" w:color="auto"/>
        <w:bottom w:val="none" w:sz="0" w:space="0" w:color="auto"/>
        <w:right w:val="none" w:sz="0" w:space="0" w:color="auto"/>
      </w:divBdr>
    </w:div>
    <w:div w:id="836186733">
      <w:bodyDiv w:val="1"/>
      <w:marLeft w:val="0"/>
      <w:marRight w:val="0"/>
      <w:marTop w:val="0"/>
      <w:marBottom w:val="0"/>
      <w:divBdr>
        <w:top w:val="none" w:sz="0" w:space="0" w:color="auto"/>
        <w:left w:val="none" w:sz="0" w:space="0" w:color="auto"/>
        <w:bottom w:val="none" w:sz="0" w:space="0" w:color="auto"/>
        <w:right w:val="none" w:sz="0" w:space="0" w:color="auto"/>
      </w:divBdr>
    </w:div>
    <w:div w:id="836573342">
      <w:bodyDiv w:val="1"/>
      <w:marLeft w:val="0"/>
      <w:marRight w:val="0"/>
      <w:marTop w:val="0"/>
      <w:marBottom w:val="0"/>
      <w:divBdr>
        <w:top w:val="none" w:sz="0" w:space="0" w:color="auto"/>
        <w:left w:val="none" w:sz="0" w:space="0" w:color="auto"/>
        <w:bottom w:val="none" w:sz="0" w:space="0" w:color="auto"/>
        <w:right w:val="none" w:sz="0" w:space="0" w:color="auto"/>
      </w:divBdr>
    </w:div>
    <w:div w:id="838621232">
      <w:bodyDiv w:val="1"/>
      <w:marLeft w:val="0"/>
      <w:marRight w:val="0"/>
      <w:marTop w:val="0"/>
      <w:marBottom w:val="0"/>
      <w:divBdr>
        <w:top w:val="none" w:sz="0" w:space="0" w:color="auto"/>
        <w:left w:val="none" w:sz="0" w:space="0" w:color="auto"/>
        <w:bottom w:val="none" w:sz="0" w:space="0" w:color="auto"/>
        <w:right w:val="none" w:sz="0" w:space="0" w:color="auto"/>
      </w:divBdr>
    </w:div>
    <w:div w:id="847059860">
      <w:bodyDiv w:val="1"/>
      <w:marLeft w:val="0"/>
      <w:marRight w:val="0"/>
      <w:marTop w:val="0"/>
      <w:marBottom w:val="0"/>
      <w:divBdr>
        <w:top w:val="none" w:sz="0" w:space="0" w:color="auto"/>
        <w:left w:val="none" w:sz="0" w:space="0" w:color="auto"/>
        <w:bottom w:val="none" w:sz="0" w:space="0" w:color="auto"/>
        <w:right w:val="none" w:sz="0" w:space="0" w:color="auto"/>
      </w:divBdr>
    </w:div>
    <w:div w:id="849223348">
      <w:bodyDiv w:val="1"/>
      <w:marLeft w:val="0"/>
      <w:marRight w:val="0"/>
      <w:marTop w:val="0"/>
      <w:marBottom w:val="0"/>
      <w:divBdr>
        <w:top w:val="none" w:sz="0" w:space="0" w:color="auto"/>
        <w:left w:val="none" w:sz="0" w:space="0" w:color="auto"/>
        <w:bottom w:val="none" w:sz="0" w:space="0" w:color="auto"/>
        <w:right w:val="none" w:sz="0" w:space="0" w:color="auto"/>
      </w:divBdr>
    </w:div>
    <w:div w:id="853687627">
      <w:bodyDiv w:val="1"/>
      <w:marLeft w:val="0"/>
      <w:marRight w:val="0"/>
      <w:marTop w:val="0"/>
      <w:marBottom w:val="0"/>
      <w:divBdr>
        <w:top w:val="none" w:sz="0" w:space="0" w:color="auto"/>
        <w:left w:val="none" w:sz="0" w:space="0" w:color="auto"/>
        <w:bottom w:val="none" w:sz="0" w:space="0" w:color="auto"/>
        <w:right w:val="none" w:sz="0" w:space="0" w:color="auto"/>
      </w:divBdr>
    </w:div>
    <w:div w:id="853887750">
      <w:bodyDiv w:val="1"/>
      <w:marLeft w:val="0"/>
      <w:marRight w:val="0"/>
      <w:marTop w:val="0"/>
      <w:marBottom w:val="0"/>
      <w:divBdr>
        <w:top w:val="none" w:sz="0" w:space="0" w:color="auto"/>
        <w:left w:val="none" w:sz="0" w:space="0" w:color="auto"/>
        <w:bottom w:val="none" w:sz="0" w:space="0" w:color="auto"/>
        <w:right w:val="none" w:sz="0" w:space="0" w:color="auto"/>
      </w:divBdr>
    </w:div>
    <w:div w:id="870187307">
      <w:bodyDiv w:val="1"/>
      <w:marLeft w:val="0"/>
      <w:marRight w:val="0"/>
      <w:marTop w:val="0"/>
      <w:marBottom w:val="0"/>
      <w:divBdr>
        <w:top w:val="none" w:sz="0" w:space="0" w:color="auto"/>
        <w:left w:val="none" w:sz="0" w:space="0" w:color="auto"/>
        <w:bottom w:val="none" w:sz="0" w:space="0" w:color="auto"/>
        <w:right w:val="none" w:sz="0" w:space="0" w:color="auto"/>
      </w:divBdr>
    </w:div>
    <w:div w:id="873621295">
      <w:bodyDiv w:val="1"/>
      <w:marLeft w:val="0"/>
      <w:marRight w:val="0"/>
      <w:marTop w:val="0"/>
      <w:marBottom w:val="0"/>
      <w:divBdr>
        <w:top w:val="none" w:sz="0" w:space="0" w:color="auto"/>
        <w:left w:val="none" w:sz="0" w:space="0" w:color="auto"/>
        <w:bottom w:val="none" w:sz="0" w:space="0" w:color="auto"/>
        <w:right w:val="none" w:sz="0" w:space="0" w:color="auto"/>
      </w:divBdr>
    </w:div>
    <w:div w:id="879243993">
      <w:bodyDiv w:val="1"/>
      <w:marLeft w:val="0"/>
      <w:marRight w:val="0"/>
      <w:marTop w:val="0"/>
      <w:marBottom w:val="0"/>
      <w:divBdr>
        <w:top w:val="none" w:sz="0" w:space="0" w:color="auto"/>
        <w:left w:val="none" w:sz="0" w:space="0" w:color="auto"/>
        <w:bottom w:val="none" w:sz="0" w:space="0" w:color="auto"/>
        <w:right w:val="none" w:sz="0" w:space="0" w:color="auto"/>
      </w:divBdr>
    </w:div>
    <w:div w:id="911088050">
      <w:bodyDiv w:val="1"/>
      <w:marLeft w:val="0"/>
      <w:marRight w:val="0"/>
      <w:marTop w:val="0"/>
      <w:marBottom w:val="0"/>
      <w:divBdr>
        <w:top w:val="none" w:sz="0" w:space="0" w:color="auto"/>
        <w:left w:val="none" w:sz="0" w:space="0" w:color="auto"/>
        <w:bottom w:val="none" w:sz="0" w:space="0" w:color="auto"/>
        <w:right w:val="none" w:sz="0" w:space="0" w:color="auto"/>
      </w:divBdr>
    </w:div>
    <w:div w:id="921719718">
      <w:bodyDiv w:val="1"/>
      <w:marLeft w:val="0"/>
      <w:marRight w:val="0"/>
      <w:marTop w:val="0"/>
      <w:marBottom w:val="0"/>
      <w:divBdr>
        <w:top w:val="none" w:sz="0" w:space="0" w:color="auto"/>
        <w:left w:val="none" w:sz="0" w:space="0" w:color="auto"/>
        <w:bottom w:val="none" w:sz="0" w:space="0" w:color="auto"/>
        <w:right w:val="none" w:sz="0" w:space="0" w:color="auto"/>
      </w:divBdr>
    </w:div>
    <w:div w:id="934284492">
      <w:bodyDiv w:val="1"/>
      <w:marLeft w:val="0"/>
      <w:marRight w:val="0"/>
      <w:marTop w:val="0"/>
      <w:marBottom w:val="0"/>
      <w:divBdr>
        <w:top w:val="none" w:sz="0" w:space="0" w:color="auto"/>
        <w:left w:val="none" w:sz="0" w:space="0" w:color="auto"/>
        <w:bottom w:val="none" w:sz="0" w:space="0" w:color="auto"/>
        <w:right w:val="none" w:sz="0" w:space="0" w:color="auto"/>
      </w:divBdr>
    </w:div>
    <w:div w:id="941304110">
      <w:bodyDiv w:val="1"/>
      <w:marLeft w:val="0"/>
      <w:marRight w:val="0"/>
      <w:marTop w:val="0"/>
      <w:marBottom w:val="0"/>
      <w:divBdr>
        <w:top w:val="none" w:sz="0" w:space="0" w:color="auto"/>
        <w:left w:val="none" w:sz="0" w:space="0" w:color="auto"/>
        <w:bottom w:val="none" w:sz="0" w:space="0" w:color="auto"/>
        <w:right w:val="none" w:sz="0" w:space="0" w:color="auto"/>
      </w:divBdr>
    </w:div>
    <w:div w:id="947733975">
      <w:bodyDiv w:val="1"/>
      <w:marLeft w:val="0"/>
      <w:marRight w:val="0"/>
      <w:marTop w:val="0"/>
      <w:marBottom w:val="0"/>
      <w:divBdr>
        <w:top w:val="none" w:sz="0" w:space="0" w:color="auto"/>
        <w:left w:val="none" w:sz="0" w:space="0" w:color="auto"/>
        <w:bottom w:val="none" w:sz="0" w:space="0" w:color="auto"/>
        <w:right w:val="none" w:sz="0" w:space="0" w:color="auto"/>
      </w:divBdr>
    </w:div>
    <w:div w:id="951011684">
      <w:bodyDiv w:val="1"/>
      <w:marLeft w:val="0"/>
      <w:marRight w:val="0"/>
      <w:marTop w:val="0"/>
      <w:marBottom w:val="0"/>
      <w:divBdr>
        <w:top w:val="none" w:sz="0" w:space="0" w:color="auto"/>
        <w:left w:val="none" w:sz="0" w:space="0" w:color="auto"/>
        <w:bottom w:val="none" w:sz="0" w:space="0" w:color="auto"/>
        <w:right w:val="none" w:sz="0" w:space="0" w:color="auto"/>
      </w:divBdr>
    </w:div>
    <w:div w:id="953554473">
      <w:bodyDiv w:val="1"/>
      <w:marLeft w:val="0"/>
      <w:marRight w:val="0"/>
      <w:marTop w:val="0"/>
      <w:marBottom w:val="0"/>
      <w:divBdr>
        <w:top w:val="none" w:sz="0" w:space="0" w:color="auto"/>
        <w:left w:val="none" w:sz="0" w:space="0" w:color="auto"/>
        <w:bottom w:val="none" w:sz="0" w:space="0" w:color="auto"/>
        <w:right w:val="none" w:sz="0" w:space="0" w:color="auto"/>
      </w:divBdr>
    </w:div>
    <w:div w:id="953832483">
      <w:bodyDiv w:val="1"/>
      <w:marLeft w:val="0"/>
      <w:marRight w:val="0"/>
      <w:marTop w:val="0"/>
      <w:marBottom w:val="0"/>
      <w:divBdr>
        <w:top w:val="none" w:sz="0" w:space="0" w:color="auto"/>
        <w:left w:val="none" w:sz="0" w:space="0" w:color="auto"/>
        <w:bottom w:val="none" w:sz="0" w:space="0" w:color="auto"/>
        <w:right w:val="none" w:sz="0" w:space="0" w:color="auto"/>
      </w:divBdr>
    </w:div>
    <w:div w:id="966787386">
      <w:bodyDiv w:val="1"/>
      <w:marLeft w:val="0"/>
      <w:marRight w:val="0"/>
      <w:marTop w:val="0"/>
      <w:marBottom w:val="0"/>
      <w:divBdr>
        <w:top w:val="none" w:sz="0" w:space="0" w:color="auto"/>
        <w:left w:val="none" w:sz="0" w:space="0" w:color="auto"/>
        <w:bottom w:val="none" w:sz="0" w:space="0" w:color="auto"/>
        <w:right w:val="none" w:sz="0" w:space="0" w:color="auto"/>
      </w:divBdr>
    </w:div>
    <w:div w:id="969826847">
      <w:bodyDiv w:val="1"/>
      <w:marLeft w:val="0"/>
      <w:marRight w:val="0"/>
      <w:marTop w:val="0"/>
      <w:marBottom w:val="0"/>
      <w:divBdr>
        <w:top w:val="none" w:sz="0" w:space="0" w:color="auto"/>
        <w:left w:val="none" w:sz="0" w:space="0" w:color="auto"/>
        <w:bottom w:val="none" w:sz="0" w:space="0" w:color="auto"/>
        <w:right w:val="none" w:sz="0" w:space="0" w:color="auto"/>
      </w:divBdr>
    </w:div>
    <w:div w:id="978606308">
      <w:bodyDiv w:val="1"/>
      <w:marLeft w:val="0"/>
      <w:marRight w:val="0"/>
      <w:marTop w:val="0"/>
      <w:marBottom w:val="0"/>
      <w:divBdr>
        <w:top w:val="none" w:sz="0" w:space="0" w:color="auto"/>
        <w:left w:val="none" w:sz="0" w:space="0" w:color="auto"/>
        <w:bottom w:val="none" w:sz="0" w:space="0" w:color="auto"/>
        <w:right w:val="none" w:sz="0" w:space="0" w:color="auto"/>
      </w:divBdr>
    </w:div>
    <w:div w:id="1002045668">
      <w:bodyDiv w:val="1"/>
      <w:marLeft w:val="0"/>
      <w:marRight w:val="0"/>
      <w:marTop w:val="0"/>
      <w:marBottom w:val="0"/>
      <w:divBdr>
        <w:top w:val="none" w:sz="0" w:space="0" w:color="auto"/>
        <w:left w:val="none" w:sz="0" w:space="0" w:color="auto"/>
        <w:bottom w:val="none" w:sz="0" w:space="0" w:color="auto"/>
        <w:right w:val="none" w:sz="0" w:space="0" w:color="auto"/>
      </w:divBdr>
    </w:div>
    <w:div w:id="1004667052">
      <w:bodyDiv w:val="1"/>
      <w:marLeft w:val="0"/>
      <w:marRight w:val="0"/>
      <w:marTop w:val="0"/>
      <w:marBottom w:val="0"/>
      <w:divBdr>
        <w:top w:val="none" w:sz="0" w:space="0" w:color="auto"/>
        <w:left w:val="none" w:sz="0" w:space="0" w:color="auto"/>
        <w:bottom w:val="none" w:sz="0" w:space="0" w:color="auto"/>
        <w:right w:val="none" w:sz="0" w:space="0" w:color="auto"/>
      </w:divBdr>
    </w:div>
    <w:div w:id="1012756944">
      <w:bodyDiv w:val="1"/>
      <w:marLeft w:val="0"/>
      <w:marRight w:val="0"/>
      <w:marTop w:val="0"/>
      <w:marBottom w:val="0"/>
      <w:divBdr>
        <w:top w:val="none" w:sz="0" w:space="0" w:color="auto"/>
        <w:left w:val="none" w:sz="0" w:space="0" w:color="auto"/>
        <w:bottom w:val="none" w:sz="0" w:space="0" w:color="auto"/>
        <w:right w:val="none" w:sz="0" w:space="0" w:color="auto"/>
      </w:divBdr>
    </w:div>
    <w:div w:id="1016229224">
      <w:bodyDiv w:val="1"/>
      <w:marLeft w:val="0"/>
      <w:marRight w:val="0"/>
      <w:marTop w:val="0"/>
      <w:marBottom w:val="0"/>
      <w:divBdr>
        <w:top w:val="none" w:sz="0" w:space="0" w:color="auto"/>
        <w:left w:val="none" w:sz="0" w:space="0" w:color="auto"/>
        <w:bottom w:val="none" w:sz="0" w:space="0" w:color="auto"/>
        <w:right w:val="none" w:sz="0" w:space="0" w:color="auto"/>
      </w:divBdr>
    </w:div>
    <w:div w:id="1018772978">
      <w:bodyDiv w:val="1"/>
      <w:marLeft w:val="0"/>
      <w:marRight w:val="0"/>
      <w:marTop w:val="0"/>
      <w:marBottom w:val="0"/>
      <w:divBdr>
        <w:top w:val="none" w:sz="0" w:space="0" w:color="auto"/>
        <w:left w:val="none" w:sz="0" w:space="0" w:color="auto"/>
        <w:bottom w:val="none" w:sz="0" w:space="0" w:color="auto"/>
        <w:right w:val="none" w:sz="0" w:space="0" w:color="auto"/>
      </w:divBdr>
    </w:div>
    <w:div w:id="1032456054">
      <w:bodyDiv w:val="1"/>
      <w:marLeft w:val="0"/>
      <w:marRight w:val="0"/>
      <w:marTop w:val="0"/>
      <w:marBottom w:val="0"/>
      <w:divBdr>
        <w:top w:val="none" w:sz="0" w:space="0" w:color="auto"/>
        <w:left w:val="none" w:sz="0" w:space="0" w:color="auto"/>
        <w:bottom w:val="none" w:sz="0" w:space="0" w:color="auto"/>
        <w:right w:val="none" w:sz="0" w:space="0" w:color="auto"/>
      </w:divBdr>
    </w:div>
    <w:div w:id="1035959214">
      <w:bodyDiv w:val="1"/>
      <w:marLeft w:val="0"/>
      <w:marRight w:val="0"/>
      <w:marTop w:val="0"/>
      <w:marBottom w:val="0"/>
      <w:divBdr>
        <w:top w:val="none" w:sz="0" w:space="0" w:color="auto"/>
        <w:left w:val="none" w:sz="0" w:space="0" w:color="auto"/>
        <w:bottom w:val="none" w:sz="0" w:space="0" w:color="auto"/>
        <w:right w:val="none" w:sz="0" w:space="0" w:color="auto"/>
      </w:divBdr>
    </w:div>
    <w:div w:id="1056515694">
      <w:bodyDiv w:val="1"/>
      <w:marLeft w:val="0"/>
      <w:marRight w:val="0"/>
      <w:marTop w:val="0"/>
      <w:marBottom w:val="0"/>
      <w:divBdr>
        <w:top w:val="none" w:sz="0" w:space="0" w:color="auto"/>
        <w:left w:val="none" w:sz="0" w:space="0" w:color="auto"/>
        <w:bottom w:val="none" w:sz="0" w:space="0" w:color="auto"/>
        <w:right w:val="none" w:sz="0" w:space="0" w:color="auto"/>
      </w:divBdr>
    </w:div>
    <w:div w:id="1061094303">
      <w:bodyDiv w:val="1"/>
      <w:marLeft w:val="0"/>
      <w:marRight w:val="0"/>
      <w:marTop w:val="0"/>
      <w:marBottom w:val="0"/>
      <w:divBdr>
        <w:top w:val="none" w:sz="0" w:space="0" w:color="auto"/>
        <w:left w:val="none" w:sz="0" w:space="0" w:color="auto"/>
        <w:bottom w:val="none" w:sz="0" w:space="0" w:color="auto"/>
        <w:right w:val="none" w:sz="0" w:space="0" w:color="auto"/>
      </w:divBdr>
    </w:div>
    <w:div w:id="1078482813">
      <w:bodyDiv w:val="1"/>
      <w:marLeft w:val="0"/>
      <w:marRight w:val="0"/>
      <w:marTop w:val="0"/>
      <w:marBottom w:val="0"/>
      <w:divBdr>
        <w:top w:val="none" w:sz="0" w:space="0" w:color="auto"/>
        <w:left w:val="none" w:sz="0" w:space="0" w:color="auto"/>
        <w:bottom w:val="none" w:sz="0" w:space="0" w:color="auto"/>
        <w:right w:val="none" w:sz="0" w:space="0" w:color="auto"/>
      </w:divBdr>
    </w:div>
    <w:div w:id="1105806054">
      <w:bodyDiv w:val="1"/>
      <w:marLeft w:val="0"/>
      <w:marRight w:val="0"/>
      <w:marTop w:val="0"/>
      <w:marBottom w:val="0"/>
      <w:divBdr>
        <w:top w:val="none" w:sz="0" w:space="0" w:color="auto"/>
        <w:left w:val="none" w:sz="0" w:space="0" w:color="auto"/>
        <w:bottom w:val="none" w:sz="0" w:space="0" w:color="auto"/>
        <w:right w:val="none" w:sz="0" w:space="0" w:color="auto"/>
      </w:divBdr>
    </w:div>
    <w:div w:id="1107195249">
      <w:bodyDiv w:val="1"/>
      <w:marLeft w:val="0"/>
      <w:marRight w:val="0"/>
      <w:marTop w:val="0"/>
      <w:marBottom w:val="0"/>
      <w:divBdr>
        <w:top w:val="none" w:sz="0" w:space="0" w:color="auto"/>
        <w:left w:val="none" w:sz="0" w:space="0" w:color="auto"/>
        <w:bottom w:val="none" w:sz="0" w:space="0" w:color="auto"/>
        <w:right w:val="none" w:sz="0" w:space="0" w:color="auto"/>
      </w:divBdr>
    </w:div>
    <w:div w:id="1137524499">
      <w:bodyDiv w:val="1"/>
      <w:marLeft w:val="0"/>
      <w:marRight w:val="0"/>
      <w:marTop w:val="0"/>
      <w:marBottom w:val="0"/>
      <w:divBdr>
        <w:top w:val="none" w:sz="0" w:space="0" w:color="auto"/>
        <w:left w:val="none" w:sz="0" w:space="0" w:color="auto"/>
        <w:bottom w:val="none" w:sz="0" w:space="0" w:color="auto"/>
        <w:right w:val="none" w:sz="0" w:space="0" w:color="auto"/>
      </w:divBdr>
    </w:div>
    <w:div w:id="1145320287">
      <w:bodyDiv w:val="1"/>
      <w:marLeft w:val="0"/>
      <w:marRight w:val="0"/>
      <w:marTop w:val="0"/>
      <w:marBottom w:val="0"/>
      <w:divBdr>
        <w:top w:val="none" w:sz="0" w:space="0" w:color="auto"/>
        <w:left w:val="none" w:sz="0" w:space="0" w:color="auto"/>
        <w:bottom w:val="none" w:sz="0" w:space="0" w:color="auto"/>
        <w:right w:val="none" w:sz="0" w:space="0" w:color="auto"/>
      </w:divBdr>
    </w:div>
    <w:div w:id="1165130675">
      <w:bodyDiv w:val="1"/>
      <w:marLeft w:val="0"/>
      <w:marRight w:val="0"/>
      <w:marTop w:val="0"/>
      <w:marBottom w:val="0"/>
      <w:divBdr>
        <w:top w:val="none" w:sz="0" w:space="0" w:color="auto"/>
        <w:left w:val="none" w:sz="0" w:space="0" w:color="auto"/>
        <w:bottom w:val="none" w:sz="0" w:space="0" w:color="auto"/>
        <w:right w:val="none" w:sz="0" w:space="0" w:color="auto"/>
      </w:divBdr>
    </w:div>
    <w:div w:id="1165513116">
      <w:bodyDiv w:val="1"/>
      <w:marLeft w:val="0"/>
      <w:marRight w:val="0"/>
      <w:marTop w:val="0"/>
      <w:marBottom w:val="0"/>
      <w:divBdr>
        <w:top w:val="none" w:sz="0" w:space="0" w:color="auto"/>
        <w:left w:val="none" w:sz="0" w:space="0" w:color="auto"/>
        <w:bottom w:val="none" w:sz="0" w:space="0" w:color="auto"/>
        <w:right w:val="none" w:sz="0" w:space="0" w:color="auto"/>
      </w:divBdr>
    </w:div>
    <w:div w:id="1181433566">
      <w:bodyDiv w:val="1"/>
      <w:marLeft w:val="0"/>
      <w:marRight w:val="0"/>
      <w:marTop w:val="0"/>
      <w:marBottom w:val="0"/>
      <w:divBdr>
        <w:top w:val="none" w:sz="0" w:space="0" w:color="auto"/>
        <w:left w:val="none" w:sz="0" w:space="0" w:color="auto"/>
        <w:bottom w:val="none" w:sz="0" w:space="0" w:color="auto"/>
        <w:right w:val="none" w:sz="0" w:space="0" w:color="auto"/>
      </w:divBdr>
    </w:div>
    <w:div w:id="1183285068">
      <w:bodyDiv w:val="1"/>
      <w:marLeft w:val="0"/>
      <w:marRight w:val="0"/>
      <w:marTop w:val="0"/>
      <w:marBottom w:val="0"/>
      <w:divBdr>
        <w:top w:val="none" w:sz="0" w:space="0" w:color="auto"/>
        <w:left w:val="none" w:sz="0" w:space="0" w:color="auto"/>
        <w:bottom w:val="none" w:sz="0" w:space="0" w:color="auto"/>
        <w:right w:val="none" w:sz="0" w:space="0" w:color="auto"/>
      </w:divBdr>
    </w:div>
    <w:div w:id="1190029770">
      <w:bodyDiv w:val="1"/>
      <w:marLeft w:val="0"/>
      <w:marRight w:val="0"/>
      <w:marTop w:val="0"/>
      <w:marBottom w:val="0"/>
      <w:divBdr>
        <w:top w:val="none" w:sz="0" w:space="0" w:color="auto"/>
        <w:left w:val="none" w:sz="0" w:space="0" w:color="auto"/>
        <w:bottom w:val="none" w:sz="0" w:space="0" w:color="auto"/>
        <w:right w:val="none" w:sz="0" w:space="0" w:color="auto"/>
      </w:divBdr>
    </w:div>
    <w:div w:id="1205093641">
      <w:bodyDiv w:val="1"/>
      <w:marLeft w:val="0"/>
      <w:marRight w:val="0"/>
      <w:marTop w:val="0"/>
      <w:marBottom w:val="0"/>
      <w:divBdr>
        <w:top w:val="none" w:sz="0" w:space="0" w:color="auto"/>
        <w:left w:val="none" w:sz="0" w:space="0" w:color="auto"/>
        <w:bottom w:val="none" w:sz="0" w:space="0" w:color="auto"/>
        <w:right w:val="none" w:sz="0" w:space="0" w:color="auto"/>
      </w:divBdr>
    </w:div>
    <w:div w:id="1205948449">
      <w:bodyDiv w:val="1"/>
      <w:marLeft w:val="0"/>
      <w:marRight w:val="0"/>
      <w:marTop w:val="0"/>
      <w:marBottom w:val="0"/>
      <w:divBdr>
        <w:top w:val="none" w:sz="0" w:space="0" w:color="auto"/>
        <w:left w:val="none" w:sz="0" w:space="0" w:color="auto"/>
        <w:bottom w:val="none" w:sz="0" w:space="0" w:color="auto"/>
        <w:right w:val="none" w:sz="0" w:space="0" w:color="auto"/>
      </w:divBdr>
    </w:div>
    <w:div w:id="1217663204">
      <w:bodyDiv w:val="1"/>
      <w:marLeft w:val="0"/>
      <w:marRight w:val="0"/>
      <w:marTop w:val="0"/>
      <w:marBottom w:val="0"/>
      <w:divBdr>
        <w:top w:val="none" w:sz="0" w:space="0" w:color="auto"/>
        <w:left w:val="none" w:sz="0" w:space="0" w:color="auto"/>
        <w:bottom w:val="none" w:sz="0" w:space="0" w:color="auto"/>
        <w:right w:val="none" w:sz="0" w:space="0" w:color="auto"/>
      </w:divBdr>
    </w:div>
    <w:div w:id="1226257432">
      <w:bodyDiv w:val="1"/>
      <w:marLeft w:val="0"/>
      <w:marRight w:val="0"/>
      <w:marTop w:val="0"/>
      <w:marBottom w:val="0"/>
      <w:divBdr>
        <w:top w:val="none" w:sz="0" w:space="0" w:color="auto"/>
        <w:left w:val="none" w:sz="0" w:space="0" w:color="auto"/>
        <w:bottom w:val="none" w:sz="0" w:space="0" w:color="auto"/>
        <w:right w:val="none" w:sz="0" w:space="0" w:color="auto"/>
      </w:divBdr>
    </w:div>
    <w:div w:id="1231966007">
      <w:bodyDiv w:val="1"/>
      <w:marLeft w:val="0"/>
      <w:marRight w:val="0"/>
      <w:marTop w:val="0"/>
      <w:marBottom w:val="0"/>
      <w:divBdr>
        <w:top w:val="none" w:sz="0" w:space="0" w:color="auto"/>
        <w:left w:val="none" w:sz="0" w:space="0" w:color="auto"/>
        <w:bottom w:val="none" w:sz="0" w:space="0" w:color="auto"/>
        <w:right w:val="none" w:sz="0" w:space="0" w:color="auto"/>
      </w:divBdr>
    </w:div>
    <w:div w:id="1246962324">
      <w:bodyDiv w:val="1"/>
      <w:marLeft w:val="0"/>
      <w:marRight w:val="0"/>
      <w:marTop w:val="0"/>
      <w:marBottom w:val="0"/>
      <w:divBdr>
        <w:top w:val="none" w:sz="0" w:space="0" w:color="auto"/>
        <w:left w:val="none" w:sz="0" w:space="0" w:color="auto"/>
        <w:bottom w:val="none" w:sz="0" w:space="0" w:color="auto"/>
        <w:right w:val="none" w:sz="0" w:space="0" w:color="auto"/>
      </w:divBdr>
    </w:div>
    <w:div w:id="1247687595">
      <w:bodyDiv w:val="1"/>
      <w:marLeft w:val="0"/>
      <w:marRight w:val="0"/>
      <w:marTop w:val="0"/>
      <w:marBottom w:val="0"/>
      <w:divBdr>
        <w:top w:val="none" w:sz="0" w:space="0" w:color="auto"/>
        <w:left w:val="none" w:sz="0" w:space="0" w:color="auto"/>
        <w:bottom w:val="none" w:sz="0" w:space="0" w:color="auto"/>
        <w:right w:val="none" w:sz="0" w:space="0" w:color="auto"/>
      </w:divBdr>
    </w:div>
    <w:div w:id="1294168701">
      <w:bodyDiv w:val="1"/>
      <w:marLeft w:val="0"/>
      <w:marRight w:val="0"/>
      <w:marTop w:val="0"/>
      <w:marBottom w:val="0"/>
      <w:divBdr>
        <w:top w:val="none" w:sz="0" w:space="0" w:color="auto"/>
        <w:left w:val="none" w:sz="0" w:space="0" w:color="auto"/>
        <w:bottom w:val="none" w:sz="0" w:space="0" w:color="auto"/>
        <w:right w:val="none" w:sz="0" w:space="0" w:color="auto"/>
      </w:divBdr>
    </w:div>
    <w:div w:id="1311128832">
      <w:bodyDiv w:val="1"/>
      <w:marLeft w:val="0"/>
      <w:marRight w:val="0"/>
      <w:marTop w:val="0"/>
      <w:marBottom w:val="0"/>
      <w:divBdr>
        <w:top w:val="none" w:sz="0" w:space="0" w:color="auto"/>
        <w:left w:val="none" w:sz="0" w:space="0" w:color="auto"/>
        <w:bottom w:val="none" w:sz="0" w:space="0" w:color="auto"/>
        <w:right w:val="none" w:sz="0" w:space="0" w:color="auto"/>
      </w:divBdr>
    </w:div>
    <w:div w:id="1315338031">
      <w:bodyDiv w:val="1"/>
      <w:marLeft w:val="0"/>
      <w:marRight w:val="0"/>
      <w:marTop w:val="0"/>
      <w:marBottom w:val="0"/>
      <w:divBdr>
        <w:top w:val="none" w:sz="0" w:space="0" w:color="auto"/>
        <w:left w:val="none" w:sz="0" w:space="0" w:color="auto"/>
        <w:bottom w:val="none" w:sz="0" w:space="0" w:color="auto"/>
        <w:right w:val="none" w:sz="0" w:space="0" w:color="auto"/>
      </w:divBdr>
    </w:div>
    <w:div w:id="1330211783">
      <w:bodyDiv w:val="1"/>
      <w:marLeft w:val="0"/>
      <w:marRight w:val="0"/>
      <w:marTop w:val="0"/>
      <w:marBottom w:val="0"/>
      <w:divBdr>
        <w:top w:val="none" w:sz="0" w:space="0" w:color="auto"/>
        <w:left w:val="none" w:sz="0" w:space="0" w:color="auto"/>
        <w:bottom w:val="none" w:sz="0" w:space="0" w:color="auto"/>
        <w:right w:val="none" w:sz="0" w:space="0" w:color="auto"/>
      </w:divBdr>
    </w:div>
    <w:div w:id="1354379586">
      <w:bodyDiv w:val="1"/>
      <w:marLeft w:val="0"/>
      <w:marRight w:val="0"/>
      <w:marTop w:val="0"/>
      <w:marBottom w:val="0"/>
      <w:divBdr>
        <w:top w:val="none" w:sz="0" w:space="0" w:color="auto"/>
        <w:left w:val="none" w:sz="0" w:space="0" w:color="auto"/>
        <w:bottom w:val="none" w:sz="0" w:space="0" w:color="auto"/>
        <w:right w:val="none" w:sz="0" w:space="0" w:color="auto"/>
      </w:divBdr>
    </w:div>
    <w:div w:id="1357535799">
      <w:bodyDiv w:val="1"/>
      <w:marLeft w:val="0"/>
      <w:marRight w:val="0"/>
      <w:marTop w:val="0"/>
      <w:marBottom w:val="0"/>
      <w:divBdr>
        <w:top w:val="none" w:sz="0" w:space="0" w:color="auto"/>
        <w:left w:val="none" w:sz="0" w:space="0" w:color="auto"/>
        <w:bottom w:val="none" w:sz="0" w:space="0" w:color="auto"/>
        <w:right w:val="none" w:sz="0" w:space="0" w:color="auto"/>
      </w:divBdr>
    </w:div>
    <w:div w:id="1378040995">
      <w:bodyDiv w:val="1"/>
      <w:marLeft w:val="0"/>
      <w:marRight w:val="0"/>
      <w:marTop w:val="0"/>
      <w:marBottom w:val="0"/>
      <w:divBdr>
        <w:top w:val="none" w:sz="0" w:space="0" w:color="auto"/>
        <w:left w:val="none" w:sz="0" w:space="0" w:color="auto"/>
        <w:bottom w:val="none" w:sz="0" w:space="0" w:color="auto"/>
        <w:right w:val="none" w:sz="0" w:space="0" w:color="auto"/>
      </w:divBdr>
    </w:div>
    <w:div w:id="1388918101">
      <w:bodyDiv w:val="1"/>
      <w:marLeft w:val="0"/>
      <w:marRight w:val="0"/>
      <w:marTop w:val="0"/>
      <w:marBottom w:val="0"/>
      <w:divBdr>
        <w:top w:val="none" w:sz="0" w:space="0" w:color="auto"/>
        <w:left w:val="none" w:sz="0" w:space="0" w:color="auto"/>
        <w:bottom w:val="none" w:sz="0" w:space="0" w:color="auto"/>
        <w:right w:val="none" w:sz="0" w:space="0" w:color="auto"/>
      </w:divBdr>
    </w:div>
    <w:div w:id="1395465789">
      <w:bodyDiv w:val="1"/>
      <w:marLeft w:val="0"/>
      <w:marRight w:val="0"/>
      <w:marTop w:val="0"/>
      <w:marBottom w:val="0"/>
      <w:divBdr>
        <w:top w:val="none" w:sz="0" w:space="0" w:color="auto"/>
        <w:left w:val="none" w:sz="0" w:space="0" w:color="auto"/>
        <w:bottom w:val="none" w:sz="0" w:space="0" w:color="auto"/>
        <w:right w:val="none" w:sz="0" w:space="0" w:color="auto"/>
      </w:divBdr>
    </w:div>
    <w:div w:id="1410930595">
      <w:bodyDiv w:val="1"/>
      <w:marLeft w:val="0"/>
      <w:marRight w:val="0"/>
      <w:marTop w:val="0"/>
      <w:marBottom w:val="0"/>
      <w:divBdr>
        <w:top w:val="none" w:sz="0" w:space="0" w:color="auto"/>
        <w:left w:val="none" w:sz="0" w:space="0" w:color="auto"/>
        <w:bottom w:val="none" w:sz="0" w:space="0" w:color="auto"/>
        <w:right w:val="none" w:sz="0" w:space="0" w:color="auto"/>
      </w:divBdr>
    </w:div>
    <w:div w:id="1429813311">
      <w:bodyDiv w:val="1"/>
      <w:marLeft w:val="0"/>
      <w:marRight w:val="0"/>
      <w:marTop w:val="0"/>
      <w:marBottom w:val="0"/>
      <w:divBdr>
        <w:top w:val="none" w:sz="0" w:space="0" w:color="auto"/>
        <w:left w:val="none" w:sz="0" w:space="0" w:color="auto"/>
        <w:bottom w:val="none" w:sz="0" w:space="0" w:color="auto"/>
        <w:right w:val="none" w:sz="0" w:space="0" w:color="auto"/>
      </w:divBdr>
    </w:div>
    <w:div w:id="1444232596">
      <w:bodyDiv w:val="1"/>
      <w:marLeft w:val="0"/>
      <w:marRight w:val="0"/>
      <w:marTop w:val="0"/>
      <w:marBottom w:val="0"/>
      <w:divBdr>
        <w:top w:val="none" w:sz="0" w:space="0" w:color="auto"/>
        <w:left w:val="none" w:sz="0" w:space="0" w:color="auto"/>
        <w:bottom w:val="none" w:sz="0" w:space="0" w:color="auto"/>
        <w:right w:val="none" w:sz="0" w:space="0" w:color="auto"/>
      </w:divBdr>
    </w:div>
    <w:div w:id="1456021228">
      <w:bodyDiv w:val="1"/>
      <w:marLeft w:val="0"/>
      <w:marRight w:val="0"/>
      <w:marTop w:val="0"/>
      <w:marBottom w:val="0"/>
      <w:divBdr>
        <w:top w:val="none" w:sz="0" w:space="0" w:color="auto"/>
        <w:left w:val="none" w:sz="0" w:space="0" w:color="auto"/>
        <w:bottom w:val="none" w:sz="0" w:space="0" w:color="auto"/>
        <w:right w:val="none" w:sz="0" w:space="0" w:color="auto"/>
      </w:divBdr>
    </w:div>
    <w:div w:id="1460105292">
      <w:bodyDiv w:val="1"/>
      <w:marLeft w:val="0"/>
      <w:marRight w:val="0"/>
      <w:marTop w:val="0"/>
      <w:marBottom w:val="0"/>
      <w:divBdr>
        <w:top w:val="none" w:sz="0" w:space="0" w:color="auto"/>
        <w:left w:val="none" w:sz="0" w:space="0" w:color="auto"/>
        <w:bottom w:val="none" w:sz="0" w:space="0" w:color="auto"/>
        <w:right w:val="none" w:sz="0" w:space="0" w:color="auto"/>
      </w:divBdr>
    </w:div>
    <w:div w:id="1505974170">
      <w:bodyDiv w:val="1"/>
      <w:marLeft w:val="0"/>
      <w:marRight w:val="0"/>
      <w:marTop w:val="0"/>
      <w:marBottom w:val="0"/>
      <w:divBdr>
        <w:top w:val="none" w:sz="0" w:space="0" w:color="auto"/>
        <w:left w:val="none" w:sz="0" w:space="0" w:color="auto"/>
        <w:bottom w:val="none" w:sz="0" w:space="0" w:color="auto"/>
        <w:right w:val="none" w:sz="0" w:space="0" w:color="auto"/>
      </w:divBdr>
    </w:div>
    <w:div w:id="1510829059">
      <w:bodyDiv w:val="1"/>
      <w:marLeft w:val="0"/>
      <w:marRight w:val="0"/>
      <w:marTop w:val="0"/>
      <w:marBottom w:val="0"/>
      <w:divBdr>
        <w:top w:val="none" w:sz="0" w:space="0" w:color="auto"/>
        <w:left w:val="none" w:sz="0" w:space="0" w:color="auto"/>
        <w:bottom w:val="none" w:sz="0" w:space="0" w:color="auto"/>
        <w:right w:val="none" w:sz="0" w:space="0" w:color="auto"/>
      </w:divBdr>
    </w:div>
    <w:div w:id="1517189974">
      <w:bodyDiv w:val="1"/>
      <w:marLeft w:val="0"/>
      <w:marRight w:val="0"/>
      <w:marTop w:val="0"/>
      <w:marBottom w:val="0"/>
      <w:divBdr>
        <w:top w:val="none" w:sz="0" w:space="0" w:color="auto"/>
        <w:left w:val="none" w:sz="0" w:space="0" w:color="auto"/>
        <w:bottom w:val="none" w:sz="0" w:space="0" w:color="auto"/>
        <w:right w:val="none" w:sz="0" w:space="0" w:color="auto"/>
      </w:divBdr>
    </w:div>
    <w:div w:id="1539974454">
      <w:bodyDiv w:val="1"/>
      <w:marLeft w:val="0"/>
      <w:marRight w:val="0"/>
      <w:marTop w:val="0"/>
      <w:marBottom w:val="0"/>
      <w:divBdr>
        <w:top w:val="none" w:sz="0" w:space="0" w:color="auto"/>
        <w:left w:val="none" w:sz="0" w:space="0" w:color="auto"/>
        <w:bottom w:val="none" w:sz="0" w:space="0" w:color="auto"/>
        <w:right w:val="none" w:sz="0" w:space="0" w:color="auto"/>
      </w:divBdr>
    </w:div>
    <w:div w:id="1549681857">
      <w:bodyDiv w:val="1"/>
      <w:marLeft w:val="0"/>
      <w:marRight w:val="0"/>
      <w:marTop w:val="0"/>
      <w:marBottom w:val="0"/>
      <w:divBdr>
        <w:top w:val="none" w:sz="0" w:space="0" w:color="auto"/>
        <w:left w:val="none" w:sz="0" w:space="0" w:color="auto"/>
        <w:bottom w:val="none" w:sz="0" w:space="0" w:color="auto"/>
        <w:right w:val="none" w:sz="0" w:space="0" w:color="auto"/>
      </w:divBdr>
    </w:div>
    <w:div w:id="1566337388">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80752795">
      <w:bodyDiv w:val="1"/>
      <w:marLeft w:val="0"/>
      <w:marRight w:val="0"/>
      <w:marTop w:val="0"/>
      <w:marBottom w:val="0"/>
      <w:divBdr>
        <w:top w:val="none" w:sz="0" w:space="0" w:color="auto"/>
        <w:left w:val="none" w:sz="0" w:space="0" w:color="auto"/>
        <w:bottom w:val="none" w:sz="0" w:space="0" w:color="auto"/>
        <w:right w:val="none" w:sz="0" w:space="0" w:color="auto"/>
      </w:divBdr>
    </w:div>
    <w:div w:id="1597636680">
      <w:bodyDiv w:val="1"/>
      <w:marLeft w:val="0"/>
      <w:marRight w:val="0"/>
      <w:marTop w:val="0"/>
      <w:marBottom w:val="0"/>
      <w:divBdr>
        <w:top w:val="none" w:sz="0" w:space="0" w:color="auto"/>
        <w:left w:val="none" w:sz="0" w:space="0" w:color="auto"/>
        <w:bottom w:val="none" w:sz="0" w:space="0" w:color="auto"/>
        <w:right w:val="none" w:sz="0" w:space="0" w:color="auto"/>
      </w:divBdr>
    </w:div>
    <w:div w:id="1603105420">
      <w:bodyDiv w:val="1"/>
      <w:marLeft w:val="0"/>
      <w:marRight w:val="0"/>
      <w:marTop w:val="0"/>
      <w:marBottom w:val="0"/>
      <w:divBdr>
        <w:top w:val="none" w:sz="0" w:space="0" w:color="auto"/>
        <w:left w:val="none" w:sz="0" w:space="0" w:color="auto"/>
        <w:bottom w:val="none" w:sz="0" w:space="0" w:color="auto"/>
        <w:right w:val="none" w:sz="0" w:space="0" w:color="auto"/>
      </w:divBdr>
    </w:div>
    <w:div w:id="1606039252">
      <w:bodyDiv w:val="1"/>
      <w:marLeft w:val="0"/>
      <w:marRight w:val="0"/>
      <w:marTop w:val="0"/>
      <w:marBottom w:val="0"/>
      <w:divBdr>
        <w:top w:val="none" w:sz="0" w:space="0" w:color="auto"/>
        <w:left w:val="none" w:sz="0" w:space="0" w:color="auto"/>
        <w:bottom w:val="none" w:sz="0" w:space="0" w:color="auto"/>
        <w:right w:val="none" w:sz="0" w:space="0" w:color="auto"/>
      </w:divBdr>
    </w:div>
    <w:div w:id="1655529650">
      <w:bodyDiv w:val="1"/>
      <w:marLeft w:val="0"/>
      <w:marRight w:val="0"/>
      <w:marTop w:val="0"/>
      <w:marBottom w:val="0"/>
      <w:divBdr>
        <w:top w:val="none" w:sz="0" w:space="0" w:color="auto"/>
        <w:left w:val="none" w:sz="0" w:space="0" w:color="auto"/>
        <w:bottom w:val="none" w:sz="0" w:space="0" w:color="auto"/>
        <w:right w:val="none" w:sz="0" w:space="0" w:color="auto"/>
      </w:divBdr>
    </w:div>
    <w:div w:id="1722634449">
      <w:bodyDiv w:val="1"/>
      <w:marLeft w:val="0"/>
      <w:marRight w:val="0"/>
      <w:marTop w:val="0"/>
      <w:marBottom w:val="0"/>
      <w:divBdr>
        <w:top w:val="none" w:sz="0" w:space="0" w:color="auto"/>
        <w:left w:val="none" w:sz="0" w:space="0" w:color="auto"/>
        <w:bottom w:val="none" w:sz="0" w:space="0" w:color="auto"/>
        <w:right w:val="none" w:sz="0" w:space="0" w:color="auto"/>
      </w:divBdr>
    </w:div>
    <w:div w:id="1747723212">
      <w:bodyDiv w:val="1"/>
      <w:marLeft w:val="0"/>
      <w:marRight w:val="0"/>
      <w:marTop w:val="0"/>
      <w:marBottom w:val="0"/>
      <w:divBdr>
        <w:top w:val="none" w:sz="0" w:space="0" w:color="auto"/>
        <w:left w:val="none" w:sz="0" w:space="0" w:color="auto"/>
        <w:bottom w:val="none" w:sz="0" w:space="0" w:color="auto"/>
        <w:right w:val="none" w:sz="0" w:space="0" w:color="auto"/>
      </w:divBdr>
    </w:div>
    <w:div w:id="1754625022">
      <w:bodyDiv w:val="1"/>
      <w:marLeft w:val="0"/>
      <w:marRight w:val="0"/>
      <w:marTop w:val="0"/>
      <w:marBottom w:val="0"/>
      <w:divBdr>
        <w:top w:val="none" w:sz="0" w:space="0" w:color="auto"/>
        <w:left w:val="none" w:sz="0" w:space="0" w:color="auto"/>
        <w:bottom w:val="none" w:sz="0" w:space="0" w:color="auto"/>
        <w:right w:val="none" w:sz="0" w:space="0" w:color="auto"/>
      </w:divBdr>
    </w:div>
    <w:div w:id="1780686135">
      <w:bodyDiv w:val="1"/>
      <w:marLeft w:val="0"/>
      <w:marRight w:val="0"/>
      <w:marTop w:val="0"/>
      <w:marBottom w:val="0"/>
      <w:divBdr>
        <w:top w:val="none" w:sz="0" w:space="0" w:color="auto"/>
        <w:left w:val="none" w:sz="0" w:space="0" w:color="auto"/>
        <w:bottom w:val="none" w:sz="0" w:space="0" w:color="auto"/>
        <w:right w:val="none" w:sz="0" w:space="0" w:color="auto"/>
      </w:divBdr>
    </w:div>
    <w:div w:id="1782845024">
      <w:bodyDiv w:val="1"/>
      <w:marLeft w:val="0"/>
      <w:marRight w:val="0"/>
      <w:marTop w:val="0"/>
      <w:marBottom w:val="0"/>
      <w:divBdr>
        <w:top w:val="none" w:sz="0" w:space="0" w:color="auto"/>
        <w:left w:val="none" w:sz="0" w:space="0" w:color="auto"/>
        <w:bottom w:val="none" w:sz="0" w:space="0" w:color="auto"/>
        <w:right w:val="none" w:sz="0" w:space="0" w:color="auto"/>
      </w:divBdr>
    </w:div>
    <w:div w:id="1805810543">
      <w:bodyDiv w:val="1"/>
      <w:marLeft w:val="0"/>
      <w:marRight w:val="0"/>
      <w:marTop w:val="0"/>
      <w:marBottom w:val="0"/>
      <w:divBdr>
        <w:top w:val="none" w:sz="0" w:space="0" w:color="auto"/>
        <w:left w:val="none" w:sz="0" w:space="0" w:color="auto"/>
        <w:bottom w:val="none" w:sz="0" w:space="0" w:color="auto"/>
        <w:right w:val="none" w:sz="0" w:space="0" w:color="auto"/>
      </w:divBdr>
    </w:div>
    <w:div w:id="1823501199">
      <w:bodyDiv w:val="1"/>
      <w:marLeft w:val="0"/>
      <w:marRight w:val="0"/>
      <w:marTop w:val="0"/>
      <w:marBottom w:val="0"/>
      <w:divBdr>
        <w:top w:val="none" w:sz="0" w:space="0" w:color="auto"/>
        <w:left w:val="none" w:sz="0" w:space="0" w:color="auto"/>
        <w:bottom w:val="none" w:sz="0" w:space="0" w:color="auto"/>
        <w:right w:val="none" w:sz="0" w:space="0" w:color="auto"/>
      </w:divBdr>
    </w:div>
    <w:div w:id="1840120243">
      <w:bodyDiv w:val="1"/>
      <w:marLeft w:val="0"/>
      <w:marRight w:val="0"/>
      <w:marTop w:val="0"/>
      <w:marBottom w:val="0"/>
      <w:divBdr>
        <w:top w:val="none" w:sz="0" w:space="0" w:color="auto"/>
        <w:left w:val="none" w:sz="0" w:space="0" w:color="auto"/>
        <w:bottom w:val="none" w:sz="0" w:space="0" w:color="auto"/>
        <w:right w:val="none" w:sz="0" w:space="0" w:color="auto"/>
      </w:divBdr>
    </w:div>
    <w:div w:id="1876843972">
      <w:bodyDiv w:val="1"/>
      <w:marLeft w:val="0"/>
      <w:marRight w:val="0"/>
      <w:marTop w:val="0"/>
      <w:marBottom w:val="0"/>
      <w:divBdr>
        <w:top w:val="none" w:sz="0" w:space="0" w:color="auto"/>
        <w:left w:val="none" w:sz="0" w:space="0" w:color="auto"/>
        <w:bottom w:val="none" w:sz="0" w:space="0" w:color="auto"/>
        <w:right w:val="none" w:sz="0" w:space="0" w:color="auto"/>
      </w:divBdr>
    </w:div>
    <w:div w:id="1884054760">
      <w:bodyDiv w:val="1"/>
      <w:marLeft w:val="0"/>
      <w:marRight w:val="0"/>
      <w:marTop w:val="0"/>
      <w:marBottom w:val="0"/>
      <w:divBdr>
        <w:top w:val="none" w:sz="0" w:space="0" w:color="auto"/>
        <w:left w:val="none" w:sz="0" w:space="0" w:color="auto"/>
        <w:bottom w:val="none" w:sz="0" w:space="0" w:color="auto"/>
        <w:right w:val="none" w:sz="0" w:space="0" w:color="auto"/>
      </w:divBdr>
    </w:div>
    <w:div w:id="1886408806">
      <w:bodyDiv w:val="1"/>
      <w:marLeft w:val="0"/>
      <w:marRight w:val="0"/>
      <w:marTop w:val="0"/>
      <w:marBottom w:val="0"/>
      <w:divBdr>
        <w:top w:val="none" w:sz="0" w:space="0" w:color="auto"/>
        <w:left w:val="none" w:sz="0" w:space="0" w:color="auto"/>
        <w:bottom w:val="none" w:sz="0" w:space="0" w:color="auto"/>
        <w:right w:val="none" w:sz="0" w:space="0" w:color="auto"/>
      </w:divBdr>
    </w:div>
    <w:div w:id="1910458185">
      <w:bodyDiv w:val="1"/>
      <w:marLeft w:val="0"/>
      <w:marRight w:val="0"/>
      <w:marTop w:val="0"/>
      <w:marBottom w:val="0"/>
      <w:divBdr>
        <w:top w:val="none" w:sz="0" w:space="0" w:color="auto"/>
        <w:left w:val="none" w:sz="0" w:space="0" w:color="auto"/>
        <w:bottom w:val="none" w:sz="0" w:space="0" w:color="auto"/>
        <w:right w:val="none" w:sz="0" w:space="0" w:color="auto"/>
      </w:divBdr>
    </w:div>
    <w:div w:id="1931156934">
      <w:bodyDiv w:val="1"/>
      <w:marLeft w:val="0"/>
      <w:marRight w:val="0"/>
      <w:marTop w:val="0"/>
      <w:marBottom w:val="0"/>
      <w:divBdr>
        <w:top w:val="none" w:sz="0" w:space="0" w:color="auto"/>
        <w:left w:val="none" w:sz="0" w:space="0" w:color="auto"/>
        <w:bottom w:val="none" w:sz="0" w:space="0" w:color="auto"/>
        <w:right w:val="none" w:sz="0" w:space="0" w:color="auto"/>
      </w:divBdr>
    </w:div>
    <w:div w:id="1940290569">
      <w:bodyDiv w:val="1"/>
      <w:marLeft w:val="0"/>
      <w:marRight w:val="0"/>
      <w:marTop w:val="0"/>
      <w:marBottom w:val="0"/>
      <w:divBdr>
        <w:top w:val="none" w:sz="0" w:space="0" w:color="auto"/>
        <w:left w:val="none" w:sz="0" w:space="0" w:color="auto"/>
        <w:bottom w:val="none" w:sz="0" w:space="0" w:color="auto"/>
        <w:right w:val="none" w:sz="0" w:space="0" w:color="auto"/>
      </w:divBdr>
    </w:div>
    <w:div w:id="1956325030">
      <w:bodyDiv w:val="1"/>
      <w:marLeft w:val="0"/>
      <w:marRight w:val="0"/>
      <w:marTop w:val="0"/>
      <w:marBottom w:val="0"/>
      <w:divBdr>
        <w:top w:val="none" w:sz="0" w:space="0" w:color="auto"/>
        <w:left w:val="none" w:sz="0" w:space="0" w:color="auto"/>
        <w:bottom w:val="none" w:sz="0" w:space="0" w:color="auto"/>
        <w:right w:val="none" w:sz="0" w:space="0" w:color="auto"/>
      </w:divBdr>
    </w:div>
    <w:div w:id="1981375404">
      <w:bodyDiv w:val="1"/>
      <w:marLeft w:val="0"/>
      <w:marRight w:val="0"/>
      <w:marTop w:val="0"/>
      <w:marBottom w:val="0"/>
      <w:divBdr>
        <w:top w:val="none" w:sz="0" w:space="0" w:color="auto"/>
        <w:left w:val="none" w:sz="0" w:space="0" w:color="auto"/>
        <w:bottom w:val="none" w:sz="0" w:space="0" w:color="auto"/>
        <w:right w:val="none" w:sz="0" w:space="0" w:color="auto"/>
      </w:divBdr>
    </w:div>
    <w:div w:id="2005274297">
      <w:bodyDiv w:val="1"/>
      <w:marLeft w:val="0"/>
      <w:marRight w:val="0"/>
      <w:marTop w:val="0"/>
      <w:marBottom w:val="0"/>
      <w:divBdr>
        <w:top w:val="none" w:sz="0" w:space="0" w:color="auto"/>
        <w:left w:val="none" w:sz="0" w:space="0" w:color="auto"/>
        <w:bottom w:val="none" w:sz="0" w:space="0" w:color="auto"/>
        <w:right w:val="none" w:sz="0" w:space="0" w:color="auto"/>
      </w:divBdr>
    </w:div>
    <w:div w:id="2006860001">
      <w:bodyDiv w:val="1"/>
      <w:marLeft w:val="0"/>
      <w:marRight w:val="0"/>
      <w:marTop w:val="0"/>
      <w:marBottom w:val="0"/>
      <w:divBdr>
        <w:top w:val="none" w:sz="0" w:space="0" w:color="auto"/>
        <w:left w:val="none" w:sz="0" w:space="0" w:color="auto"/>
        <w:bottom w:val="none" w:sz="0" w:space="0" w:color="auto"/>
        <w:right w:val="none" w:sz="0" w:space="0" w:color="auto"/>
      </w:divBdr>
    </w:div>
    <w:div w:id="2037657903">
      <w:bodyDiv w:val="1"/>
      <w:marLeft w:val="0"/>
      <w:marRight w:val="0"/>
      <w:marTop w:val="0"/>
      <w:marBottom w:val="0"/>
      <w:divBdr>
        <w:top w:val="none" w:sz="0" w:space="0" w:color="auto"/>
        <w:left w:val="none" w:sz="0" w:space="0" w:color="auto"/>
        <w:bottom w:val="none" w:sz="0" w:space="0" w:color="auto"/>
        <w:right w:val="none" w:sz="0" w:space="0" w:color="auto"/>
      </w:divBdr>
    </w:div>
    <w:div w:id="2057925909">
      <w:bodyDiv w:val="1"/>
      <w:marLeft w:val="0"/>
      <w:marRight w:val="0"/>
      <w:marTop w:val="0"/>
      <w:marBottom w:val="0"/>
      <w:divBdr>
        <w:top w:val="none" w:sz="0" w:space="0" w:color="auto"/>
        <w:left w:val="none" w:sz="0" w:space="0" w:color="auto"/>
        <w:bottom w:val="none" w:sz="0" w:space="0" w:color="auto"/>
        <w:right w:val="none" w:sz="0" w:space="0" w:color="auto"/>
      </w:divBdr>
    </w:div>
    <w:div w:id="2090420661">
      <w:bodyDiv w:val="1"/>
      <w:marLeft w:val="0"/>
      <w:marRight w:val="0"/>
      <w:marTop w:val="0"/>
      <w:marBottom w:val="0"/>
      <w:divBdr>
        <w:top w:val="none" w:sz="0" w:space="0" w:color="auto"/>
        <w:left w:val="none" w:sz="0" w:space="0" w:color="auto"/>
        <w:bottom w:val="none" w:sz="0" w:space="0" w:color="auto"/>
        <w:right w:val="none" w:sz="0" w:space="0" w:color="auto"/>
      </w:divBdr>
    </w:div>
    <w:div w:id="2120097273">
      <w:bodyDiv w:val="1"/>
      <w:marLeft w:val="0"/>
      <w:marRight w:val="0"/>
      <w:marTop w:val="0"/>
      <w:marBottom w:val="0"/>
      <w:divBdr>
        <w:top w:val="none" w:sz="0" w:space="0" w:color="auto"/>
        <w:left w:val="none" w:sz="0" w:space="0" w:color="auto"/>
        <w:bottom w:val="none" w:sz="0" w:space="0" w:color="auto"/>
        <w:right w:val="none" w:sz="0" w:space="0" w:color="auto"/>
      </w:divBdr>
    </w:div>
    <w:div w:id="2121678616">
      <w:bodyDiv w:val="1"/>
      <w:marLeft w:val="0"/>
      <w:marRight w:val="0"/>
      <w:marTop w:val="0"/>
      <w:marBottom w:val="0"/>
      <w:divBdr>
        <w:top w:val="none" w:sz="0" w:space="0" w:color="auto"/>
        <w:left w:val="none" w:sz="0" w:space="0" w:color="auto"/>
        <w:bottom w:val="none" w:sz="0" w:space="0" w:color="auto"/>
        <w:right w:val="none" w:sz="0" w:space="0" w:color="auto"/>
      </w:divBdr>
    </w:div>
    <w:div w:id="2146387983">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deed.en" TargetMode="Externa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image" Target="media/image5.png"/><Relationship Id="rId47" Type="http://schemas.openxmlformats.org/officeDocument/2006/relationships/image" Target="media/image10.jpeg"/><Relationship Id="rId50" Type="http://schemas.openxmlformats.org/officeDocument/2006/relationships/footer" Target="footer10.xml"/><Relationship Id="rId55" Type="http://schemas.openxmlformats.org/officeDocument/2006/relationships/image" Target="media/image140.png"/><Relationship Id="rId63" Type="http://schemas.openxmlformats.org/officeDocument/2006/relationships/header" Target="header10.xml"/><Relationship Id="rId68" Type="http://schemas.openxmlformats.org/officeDocument/2006/relationships/footer" Target="footer15.xml"/><Relationship Id="rId76" Type="http://schemas.openxmlformats.org/officeDocument/2006/relationships/image" Target="media/image18.jpg"/><Relationship Id="rId8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9" Type="http://schemas.openxmlformats.org/officeDocument/2006/relationships/header" Target="header4.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yperlink" Target="http://tweb/sites/mg/fitpd/Lfirbannualrport/2019-20/Annual%20Report/Drafts/Attachment%20A%20-%20Foreign%20Investment%20Review%20Board%202019-20%20Annual%20Report%20with%20updates%207%20June.docx" TargetMode="External"/><Relationship Id="rId37" Type="http://schemas.openxmlformats.org/officeDocument/2006/relationships/footer" Target="footer8.xml"/><Relationship Id="rId40" Type="http://schemas.openxmlformats.org/officeDocument/2006/relationships/image" Target="media/image3.jpg"/><Relationship Id="rId45" Type="http://schemas.openxmlformats.org/officeDocument/2006/relationships/image" Target="media/image8.jpeg"/><Relationship Id="rId53" Type="http://schemas.openxmlformats.org/officeDocument/2006/relationships/image" Target="media/image13.jpg"/><Relationship Id="rId58" Type="http://schemas.openxmlformats.org/officeDocument/2006/relationships/chart" Target="charts/chart2.xml"/><Relationship Id="rId66" Type="http://schemas.openxmlformats.org/officeDocument/2006/relationships/footer" Target="footer14.xml"/><Relationship Id="rId74" Type="http://schemas.openxmlformats.org/officeDocument/2006/relationships/header" Target="header15.xml"/><Relationship Id="rId79" Type="http://schemas.openxmlformats.org/officeDocument/2006/relationships/image" Target="media/image20.jpg"/><Relationship Id="rId5" Type="http://schemas.openxmlformats.org/officeDocument/2006/relationships/customXml" Target="../customXml/item5.xml"/><Relationship Id="rId61" Type="http://schemas.openxmlformats.org/officeDocument/2006/relationships/chart" Target="charts/chart3.xml"/><Relationship Id="rId82" Type="http://schemas.openxmlformats.org/officeDocument/2006/relationships/image" Target="media/image22.jpg"/><Relationship Id="rId10" Type="http://schemas.openxmlformats.org/officeDocument/2006/relationships/webSettings" Target="webSettings.xml"/><Relationship Id="rId19" Type="http://schemas.openxmlformats.org/officeDocument/2006/relationships/hyperlink" Target="http://www.pmc.gov.au/government/commonwealth-coat-arms" TargetMode="External"/><Relationship Id="rId31" Type="http://schemas.openxmlformats.org/officeDocument/2006/relationships/hyperlink" Target="http://tweb/sites/mg/fitpd/Lfirbannualrport/2019-20/Annual%20Report/Drafts/Attachment%20A%20-%20Foreign%20Investment%20Review%20Board%202019-20%20Annual%20Report%20with%20updates%207%20June.docx" TargetMode="External"/><Relationship Id="rId44" Type="http://schemas.openxmlformats.org/officeDocument/2006/relationships/image" Target="media/image7.jpeg"/><Relationship Id="rId52" Type="http://schemas.openxmlformats.org/officeDocument/2006/relationships/footer" Target="footer12.xml"/><Relationship Id="rId60" Type="http://schemas.openxmlformats.org/officeDocument/2006/relationships/image" Target="media/image160.png"/><Relationship Id="rId65" Type="http://schemas.openxmlformats.org/officeDocument/2006/relationships/header" Target="header11.xml"/><Relationship Id="rId73" Type="http://schemas.openxmlformats.org/officeDocument/2006/relationships/header" Target="header14.xml"/><Relationship Id="rId78" Type="http://schemas.openxmlformats.org/officeDocument/2006/relationships/image" Target="media/image19.jpg"/><Relationship Id="rId8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hyperlink" Target="http://www.firb.gov.au" TargetMode="External"/><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image" Target="media/image6.jpeg"/><Relationship Id="rId48" Type="http://schemas.openxmlformats.org/officeDocument/2006/relationships/image" Target="media/image11.png"/><Relationship Id="rId56" Type="http://schemas.openxmlformats.org/officeDocument/2006/relationships/image" Target="media/image15.jpg"/><Relationship Id="rId64" Type="http://schemas.openxmlformats.org/officeDocument/2006/relationships/footer" Target="footer13.xml"/><Relationship Id="rId69" Type="http://schemas.openxmlformats.org/officeDocument/2006/relationships/header" Target="header13.xml"/><Relationship Id="rId77" Type="http://schemas.openxmlformats.org/officeDocument/2006/relationships/header" Target="header16.xml"/><Relationship Id="rId8" Type="http://schemas.openxmlformats.org/officeDocument/2006/relationships/styles" Target="styles.xml"/><Relationship Id="rId51" Type="http://schemas.openxmlformats.org/officeDocument/2006/relationships/footer" Target="footer11.xml"/><Relationship Id="rId72" Type="http://schemas.openxmlformats.org/officeDocument/2006/relationships/chart" Target="charts/chart4.xml"/><Relationship Id="rId80" Type="http://schemas.openxmlformats.org/officeDocument/2006/relationships/header" Target="header1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eader" Target="header8.xml"/><Relationship Id="rId46" Type="http://schemas.openxmlformats.org/officeDocument/2006/relationships/image" Target="media/image9.jpeg"/><Relationship Id="rId59" Type="http://schemas.openxmlformats.org/officeDocument/2006/relationships/image" Target="media/image16.png"/><Relationship Id="rId67" Type="http://schemas.openxmlformats.org/officeDocument/2006/relationships/header" Target="header12.xml"/><Relationship Id="rId20" Type="http://schemas.openxmlformats.org/officeDocument/2006/relationships/hyperlink" Target="mailto:media@treasury.gov.au" TargetMode="External"/><Relationship Id="rId41" Type="http://schemas.openxmlformats.org/officeDocument/2006/relationships/image" Target="media/image4.jpeg"/><Relationship Id="rId54" Type="http://schemas.openxmlformats.org/officeDocument/2006/relationships/image" Target="media/image14.png"/><Relationship Id="rId62" Type="http://schemas.openxmlformats.org/officeDocument/2006/relationships/header" Target="header9.xml"/><Relationship Id="rId70" Type="http://schemas.openxmlformats.org/officeDocument/2006/relationships/footer" Target="footer16.xml"/><Relationship Id="rId75" Type="http://schemas.openxmlformats.org/officeDocument/2006/relationships/footer" Target="footer17.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creativecommons.org/licenses/by/3.0/au/deed.en" TargetMode="External"/><Relationship Id="rId23" Type="http://schemas.openxmlformats.org/officeDocument/2006/relationships/footer" Target="footer3.xml"/><Relationship Id="rId28" Type="http://schemas.openxmlformats.org/officeDocument/2006/relationships/image" Target="media/image2.png"/><Relationship Id="rId36" Type="http://schemas.openxmlformats.org/officeDocument/2006/relationships/header" Target="header7.xml"/><Relationship Id="rId49" Type="http://schemas.openxmlformats.org/officeDocument/2006/relationships/image" Target="media/image12.png"/><Relationship Id="rId57" Type="http://schemas.openxmlformats.org/officeDocument/2006/relationships/chart" Target="charts/chart1.xml"/></Relationships>
</file>

<file path=word/_rels/footnotes.xml.rels><?xml version="1.0" encoding="UTF-8" standalone="yes"?>
<Relationships xmlns="http://schemas.openxmlformats.org/package/2006/relationships"><Relationship Id="rId1" Type="http://schemas.openxmlformats.org/officeDocument/2006/relationships/hyperlink" Target="https://unctad.org/news/global-foreign-direct-investment-fell-42-2020-outlook-remains-wea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F%20I%20R%20B\FIRB%20Annual%20Report.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tweb/sites/mg/fitpd/Lfirbannualrport/2019-20/Annual%20Report/Data/Annual%20Report%20Tables/FIMS%20Reports%2020210215/Industry%20Tables%2020210216.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tweb/sites/mg/fitpd/Lfirbannualrport/2019-20/Annual%20Report/Data/Annual%20Report%20Tables/FIMS%20Reports%2020210215/Industry%20Tables%2020210216.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http://tweb/sites/mg/fitpd/Lfirbannualrport/2019-20/Annual%20Report/Drafts/Contributions%20to%20Annual%20Report/20201012_%20ATO%20Input%20-%20Compliance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07571619470487E-2"/>
          <c:y val="6.061856864165624E-2"/>
          <c:w val="0.9193440982149037"/>
          <c:h val="0.70426450259486184"/>
        </c:manualLayout>
      </c:layout>
      <c:barChart>
        <c:barDir val="col"/>
        <c:grouping val="stacked"/>
        <c:varyColors val="0"/>
        <c:ser>
          <c:idx val="1"/>
          <c:order val="0"/>
          <c:tx>
            <c:strRef>
              <c:f>'Charts Final'!$A$9</c:f>
              <c:strCache>
                <c:ptCount val="1"/>
                <c:pt idx="0">
                  <c:v>Agriculture, forestry &amp;
  fishing</c:v>
                </c:pt>
              </c:strCache>
            </c:strRef>
          </c:tx>
          <c:spPr>
            <a:solidFill>
              <a:schemeClr val="accent5"/>
            </a:solidFill>
          </c:spPr>
          <c:invertIfNegative val="0"/>
          <c:dLbls>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 Final'!$B$6:$E$7</c:f>
              <c:strCache>
                <c:ptCount val="3"/>
                <c:pt idx="0">
                  <c:v>2018-19</c:v>
                </c:pt>
                <c:pt idx="2">
                  <c:v>2019-20</c:v>
                </c:pt>
              </c:strCache>
            </c:strRef>
          </c:cat>
          <c:val>
            <c:numRef>
              <c:f>'Charts Final'!$B$9:$E$9</c:f>
              <c:numCache>
                <c:formatCode>General</c:formatCode>
                <c:ptCount val="4"/>
                <c:pt idx="0" formatCode="0.0">
                  <c:v>7.3251999999999997</c:v>
                </c:pt>
                <c:pt idx="2" formatCode="0.0">
                  <c:v>8.2713999999999999</c:v>
                </c:pt>
              </c:numCache>
            </c:numRef>
          </c:val>
          <c:extLst>
            <c:ext xmlns:c16="http://schemas.microsoft.com/office/drawing/2014/chart" uri="{C3380CC4-5D6E-409C-BE32-E72D297353CC}">
              <c16:uniqueId val="{00000000-62EC-4AB9-8134-7DF2CB018E8F}"/>
            </c:ext>
          </c:extLst>
        </c:ser>
        <c:ser>
          <c:idx val="2"/>
          <c:order val="1"/>
          <c:tx>
            <c:strRef>
              <c:f>'Charts Final'!$A$10</c:f>
              <c:strCache>
                <c:ptCount val="1"/>
                <c:pt idx="0">
                  <c:v>Finance &amp; insurance</c:v>
                </c:pt>
              </c:strCache>
            </c:strRef>
          </c:tx>
          <c:spPr>
            <a:solidFill>
              <a:schemeClr val="accent4"/>
            </a:solidFill>
          </c:spPr>
          <c:invertIfNegative val="0"/>
          <c:dLbls>
            <c:dLbl>
              <c:idx val="0"/>
              <c:layout>
                <c:manualLayout>
                  <c:x val="0"/>
                  <c:y val="-4.49721924929297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EC-4AB9-8134-7DF2CB018E8F}"/>
                </c:ext>
              </c:extLst>
            </c:dLbl>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 Final'!$B$6:$E$7</c:f>
              <c:strCache>
                <c:ptCount val="3"/>
                <c:pt idx="0">
                  <c:v>2018-19</c:v>
                </c:pt>
                <c:pt idx="2">
                  <c:v>2019-20</c:v>
                </c:pt>
              </c:strCache>
            </c:strRef>
          </c:cat>
          <c:val>
            <c:numRef>
              <c:f>'Charts Final'!$B$10:$E$10</c:f>
              <c:numCache>
                <c:formatCode>General</c:formatCode>
                <c:ptCount val="4"/>
                <c:pt idx="0" formatCode="0.0">
                  <c:v>6.2998000000000003</c:v>
                </c:pt>
                <c:pt idx="2" formatCode="0.0">
                  <c:v>13.5511</c:v>
                </c:pt>
              </c:numCache>
            </c:numRef>
          </c:val>
          <c:extLst>
            <c:ext xmlns:c16="http://schemas.microsoft.com/office/drawing/2014/chart" uri="{C3380CC4-5D6E-409C-BE32-E72D297353CC}">
              <c16:uniqueId val="{00000002-62EC-4AB9-8134-7DF2CB018E8F}"/>
            </c:ext>
          </c:extLst>
        </c:ser>
        <c:ser>
          <c:idx val="3"/>
          <c:order val="2"/>
          <c:tx>
            <c:strRef>
              <c:f>'Charts Final'!$A$11</c:f>
              <c:strCache>
                <c:ptCount val="1"/>
                <c:pt idx="0">
                  <c:v>Manufacturing,
  electricity &amp; gas</c:v>
                </c:pt>
              </c:strCache>
            </c:strRef>
          </c:tx>
          <c:spPr>
            <a:solidFill>
              <a:schemeClr val="accent3"/>
            </a:solidFill>
          </c:spPr>
          <c:invertIfNegative val="0"/>
          <c:dLbls>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 Final'!$B$6:$E$7</c:f>
              <c:strCache>
                <c:ptCount val="3"/>
                <c:pt idx="0">
                  <c:v>2018-19</c:v>
                </c:pt>
                <c:pt idx="2">
                  <c:v>2019-20</c:v>
                </c:pt>
              </c:strCache>
            </c:strRef>
          </c:cat>
          <c:val>
            <c:numRef>
              <c:f>'Charts Final'!$B$11:$E$11</c:f>
              <c:numCache>
                <c:formatCode>General</c:formatCode>
                <c:ptCount val="4"/>
                <c:pt idx="0" formatCode="0.0">
                  <c:v>36.707799999999999</c:v>
                </c:pt>
                <c:pt idx="2" formatCode="0.0">
                  <c:v>32.964700000000001</c:v>
                </c:pt>
              </c:numCache>
            </c:numRef>
          </c:val>
          <c:extLst>
            <c:ext xmlns:c16="http://schemas.microsoft.com/office/drawing/2014/chart" uri="{C3380CC4-5D6E-409C-BE32-E72D297353CC}">
              <c16:uniqueId val="{00000003-62EC-4AB9-8134-7DF2CB018E8F}"/>
            </c:ext>
          </c:extLst>
        </c:ser>
        <c:ser>
          <c:idx val="4"/>
          <c:order val="3"/>
          <c:tx>
            <c:strRef>
              <c:f>'Charts Final'!$A$12</c:f>
              <c:strCache>
                <c:ptCount val="1"/>
                <c:pt idx="0">
                  <c:v>Mineral exploration &amp;
  development</c:v>
                </c:pt>
              </c:strCache>
            </c:strRef>
          </c:tx>
          <c:spPr>
            <a:solidFill>
              <a:schemeClr val="accent2"/>
            </a:solidFill>
          </c:spPr>
          <c:invertIfNegative val="0"/>
          <c:dLbls>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 Final'!$B$6:$E$7</c:f>
              <c:strCache>
                <c:ptCount val="3"/>
                <c:pt idx="0">
                  <c:v>2018-19</c:v>
                </c:pt>
                <c:pt idx="2">
                  <c:v>2019-20</c:v>
                </c:pt>
              </c:strCache>
            </c:strRef>
          </c:cat>
          <c:val>
            <c:numRef>
              <c:f>'Charts Final'!$B$12:$E$12</c:f>
              <c:numCache>
                <c:formatCode>General</c:formatCode>
                <c:ptCount val="4"/>
                <c:pt idx="0" formatCode="0.0">
                  <c:v>16.864599999999999</c:v>
                </c:pt>
                <c:pt idx="2" formatCode="0.0">
                  <c:v>11.1898</c:v>
                </c:pt>
              </c:numCache>
            </c:numRef>
          </c:val>
          <c:extLst>
            <c:ext xmlns:c16="http://schemas.microsoft.com/office/drawing/2014/chart" uri="{C3380CC4-5D6E-409C-BE32-E72D297353CC}">
              <c16:uniqueId val="{00000004-62EC-4AB9-8134-7DF2CB018E8F}"/>
            </c:ext>
          </c:extLst>
        </c:ser>
        <c:ser>
          <c:idx val="5"/>
          <c:order val="4"/>
          <c:tx>
            <c:strRef>
              <c:f>'Charts Final'!$A$13</c:f>
              <c:strCache>
                <c:ptCount val="1"/>
                <c:pt idx="0">
                  <c:v>Services</c:v>
                </c:pt>
              </c:strCache>
            </c:strRef>
          </c:tx>
          <c:spPr>
            <a:solidFill>
              <a:schemeClr val="accent1"/>
            </a:solidFill>
          </c:spPr>
          <c:invertIfNegative val="0"/>
          <c:dLbls>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 Final'!$B$6:$E$7</c:f>
              <c:strCache>
                <c:ptCount val="3"/>
                <c:pt idx="0">
                  <c:v>2018-19</c:v>
                </c:pt>
                <c:pt idx="2">
                  <c:v>2019-20</c:v>
                </c:pt>
              </c:strCache>
            </c:strRef>
          </c:cat>
          <c:val>
            <c:numRef>
              <c:f>'Charts Final'!$B$13:$E$13</c:f>
              <c:numCache>
                <c:formatCode>General</c:formatCode>
                <c:ptCount val="4"/>
                <c:pt idx="0" formatCode="0.0">
                  <c:v>75.996700000000004</c:v>
                </c:pt>
                <c:pt idx="2" formatCode="0.0">
                  <c:v>73.561300000000003</c:v>
                </c:pt>
              </c:numCache>
            </c:numRef>
          </c:val>
          <c:extLst>
            <c:ext xmlns:c16="http://schemas.microsoft.com/office/drawing/2014/chart" uri="{C3380CC4-5D6E-409C-BE32-E72D297353CC}">
              <c16:uniqueId val="{00000005-62EC-4AB9-8134-7DF2CB018E8F}"/>
            </c:ext>
          </c:extLst>
        </c:ser>
        <c:ser>
          <c:idx val="6"/>
          <c:order val="5"/>
          <c:tx>
            <c:strRef>
              <c:f>'Charts Final'!$A$14</c:f>
              <c:strCache>
                <c:ptCount val="1"/>
                <c:pt idx="0">
                  <c:v>Real estate - commercial</c:v>
                </c:pt>
              </c:strCache>
            </c:strRef>
          </c:tx>
          <c:spPr>
            <a:solidFill>
              <a:schemeClr val="accent6"/>
            </a:solidFill>
            <a:ln>
              <a:noFill/>
            </a:ln>
          </c:spPr>
          <c:invertIfNegative val="0"/>
          <c:dLbls>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 Final'!$B$6:$E$7</c:f>
              <c:strCache>
                <c:ptCount val="3"/>
                <c:pt idx="0">
                  <c:v>2018-19</c:v>
                </c:pt>
                <c:pt idx="2">
                  <c:v>2019-20</c:v>
                </c:pt>
              </c:strCache>
            </c:strRef>
          </c:cat>
          <c:val>
            <c:numRef>
              <c:f>'Charts Final'!$B$14:$E$14</c:f>
              <c:numCache>
                <c:formatCode>0.0</c:formatCode>
                <c:ptCount val="4"/>
                <c:pt idx="1">
                  <c:v>72.980470707710012</c:v>
                </c:pt>
                <c:pt idx="3">
                  <c:v>38.831592669499997</c:v>
                </c:pt>
              </c:numCache>
            </c:numRef>
          </c:val>
          <c:extLst>
            <c:ext xmlns:c16="http://schemas.microsoft.com/office/drawing/2014/chart" uri="{C3380CC4-5D6E-409C-BE32-E72D297353CC}">
              <c16:uniqueId val="{00000006-62EC-4AB9-8134-7DF2CB018E8F}"/>
            </c:ext>
          </c:extLst>
        </c:ser>
        <c:ser>
          <c:idx val="7"/>
          <c:order val="6"/>
          <c:tx>
            <c:strRef>
              <c:f>'Charts Final'!$A$15</c:f>
              <c:strCache>
                <c:ptCount val="1"/>
                <c:pt idx="0">
                  <c:v>Real estate - residential</c:v>
                </c:pt>
              </c:strCache>
            </c:strRef>
          </c:tx>
          <c:spPr>
            <a:solidFill>
              <a:schemeClr val="tx2"/>
            </a:solidFill>
          </c:spPr>
          <c:invertIfNegative val="0"/>
          <c:dLbls>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 Final'!$B$6:$E$7</c:f>
              <c:strCache>
                <c:ptCount val="3"/>
                <c:pt idx="0">
                  <c:v>2018-19</c:v>
                </c:pt>
                <c:pt idx="2">
                  <c:v>2019-20</c:v>
                </c:pt>
              </c:strCache>
            </c:strRef>
          </c:cat>
          <c:val>
            <c:numRef>
              <c:f>'Charts Final'!$B$15:$E$15</c:f>
              <c:numCache>
                <c:formatCode>0.0</c:formatCode>
                <c:ptCount val="4"/>
                <c:pt idx="1">
                  <c:v>14.799799385</c:v>
                </c:pt>
                <c:pt idx="3">
                  <c:v>17.111981705000002</c:v>
                </c:pt>
              </c:numCache>
            </c:numRef>
          </c:val>
          <c:extLst>
            <c:ext xmlns:c16="http://schemas.microsoft.com/office/drawing/2014/chart" uri="{C3380CC4-5D6E-409C-BE32-E72D297353CC}">
              <c16:uniqueId val="{00000007-62EC-4AB9-8134-7DF2CB018E8F}"/>
            </c:ext>
          </c:extLst>
        </c:ser>
        <c:dLbls>
          <c:dLblPos val="ctr"/>
          <c:showLegendKey val="0"/>
          <c:showVal val="1"/>
          <c:showCatName val="0"/>
          <c:showSerName val="0"/>
          <c:showPercent val="0"/>
          <c:showBubbleSize val="0"/>
        </c:dLbls>
        <c:gapWidth val="35"/>
        <c:overlap val="100"/>
        <c:axId val="218837760"/>
        <c:axId val="207052800"/>
      </c:barChart>
      <c:catAx>
        <c:axId val="218837760"/>
        <c:scaling>
          <c:orientation val="minMax"/>
        </c:scaling>
        <c:delete val="0"/>
        <c:axPos val="b"/>
        <c:numFmt formatCode="General" sourceLinked="1"/>
        <c:majorTickMark val="in"/>
        <c:minorTickMark val="none"/>
        <c:tickLblPos val="low"/>
        <c:txPr>
          <a:bodyPr/>
          <a:lstStyle/>
          <a:p>
            <a:pPr>
              <a:defRPr sz="800">
                <a:latin typeface="Arial" panose="020B0604020202020204" pitchFamily="34" charset="0"/>
                <a:cs typeface="Arial" panose="020B0604020202020204" pitchFamily="34" charset="0"/>
              </a:defRPr>
            </a:pPr>
            <a:endParaRPr lang="en-US"/>
          </a:p>
        </c:txPr>
        <c:crossAx val="207052800"/>
        <c:crosses val="autoZero"/>
        <c:auto val="1"/>
        <c:lblAlgn val="r"/>
        <c:lblOffset val="100"/>
        <c:noMultiLvlLbl val="0"/>
      </c:catAx>
      <c:valAx>
        <c:axId val="207052800"/>
        <c:scaling>
          <c:orientation val="minMax"/>
          <c:max val="250"/>
        </c:scaling>
        <c:delete val="0"/>
        <c:axPos val="l"/>
        <c:numFmt formatCode="0.0" sourceLinked="1"/>
        <c:majorTickMark val="in"/>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218837760"/>
        <c:crosses val="autoZero"/>
        <c:crossBetween val="between"/>
      </c:valAx>
      <c:spPr>
        <a:noFill/>
        <a:ln>
          <a:noFill/>
          <a:round/>
        </a:ln>
        <a:effectLst/>
      </c:spPr>
    </c:plotArea>
    <c:legend>
      <c:legendPos val="b"/>
      <c:layout>
        <c:manualLayout>
          <c:xMode val="edge"/>
          <c:yMode val="edge"/>
          <c:x val="1.2864977480927723E-2"/>
          <c:y val="0.81964418813546369"/>
          <c:w val="0.98713502251907226"/>
          <c:h val="0.18035581186453636"/>
        </c:manualLayout>
      </c:layout>
      <c:overlay val="0"/>
      <c:txPr>
        <a:bodyPr anchor="b" anchorCtr="0"/>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w="9525" cap="flat" cmpd="sng" algn="ctr">
      <a:noFill/>
      <a:prstDash val="solid"/>
      <a:round/>
    </a:ln>
    <a:effectLst/>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0540682414698"/>
          <c:y val="7.4251389385355471E-2"/>
          <c:w val="0.41297931758530187"/>
          <c:h val="0.78553002330453059"/>
        </c:manualLayout>
      </c:layout>
      <c:doughnutChart>
        <c:varyColors val="0"/>
        <c:ser>
          <c:idx val="0"/>
          <c:order val="0"/>
          <c:spPr>
            <a:solidFill>
              <a:schemeClr val="accent1"/>
            </a:solidFill>
            <a:ln w="15875">
              <a:solidFill>
                <a:schemeClr val="lt1"/>
              </a:solidFill>
            </a:ln>
            <a:effectLst/>
          </c:spPr>
          <c:dPt>
            <c:idx val="0"/>
            <c:bubble3D val="0"/>
            <c:spPr>
              <a:solidFill>
                <a:schemeClr val="accent5"/>
              </a:solidFill>
              <a:ln w="15875">
                <a:solidFill>
                  <a:schemeClr val="lt1"/>
                </a:solidFill>
              </a:ln>
              <a:effectLst/>
            </c:spPr>
            <c:extLst>
              <c:ext xmlns:c16="http://schemas.microsoft.com/office/drawing/2014/chart" uri="{C3380CC4-5D6E-409C-BE32-E72D297353CC}">
                <c16:uniqueId val="{00000001-3DA1-409E-A0BF-E5CB7EABE025}"/>
              </c:ext>
            </c:extLst>
          </c:dPt>
          <c:dPt>
            <c:idx val="1"/>
            <c:bubble3D val="0"/>
            <c:spPr>
              <a:solidFill>
                <a:schemeClr val="accent4"/>
              </a:solidFill>
              <a:ln w="15875">
                <a:solidFill>
                  <a:schemeClr val="lt1"/>
                </a:solidFill>
              </a:ln>
              <a:effectLst/>
            </c:spPr>
            <c:extLst>
              <c:ext xmlns:c16="http://schemas.microsoft.com/office/drawing/2014/chart" uri="{C3380CC4-5D6E-409C-BE32-E72D297353CC}">
                <c16:uniqueId val="{00000003-3DA1-409E-A0BF-E5CB7EABE025}"/>
              </c:ext>
            </c:extLst>
          </c:dPt>
          <c:dPt>
            <c:idx val="2"/>
            <c:bubble3D val="0"/>
            <c:spPr>
              <a:solidFill>
                <a:schemeClr val="accent3"/>
              </a:solidFill>
              <a:ln w="15875">
                <a:solidFill>
                  <a:schemeClr val="lt1"/>
                </a:solidFill>
              </a:ln>
              <a:effectLst/>
            </c:spPr>
            <c:extLst>
              <c:ext xmlns:c16="http://schemas.microsoft.com/office/drawing/2014/chart" uri="{C3380CC4-5D6E-409C-BE32-E72D297353CC}">
                <c16:uniqueId val="{00000005-3DA1-409E-A0BF-E5CB7EABE025}"/>
              </c:ext>
            </c:extLst>
          </c:dPt>
          <c:dPt>
            <c:idx val="3"/>
            <c:bubble3D val="0"/>
            <c:spPr>
              <a:solidFill>
                <a:schemeClr val="accent2"/>
              </a:solidFill>
              <a:ln w="15875">
                <a:solidFill>
                  <a:schemeClr val="lt1"/>
                </a:solidFill>
              </a:ln>
              <a:effectLst/>
            </c:spPr>
            <c:extLst>
              <c:ext xmlns:c16="http://schemas.microsoft.com/office/drawing/2014/chart" uri="{C3380CC4-5D6E-409C-BE32-E72D297353CC}">
                <c16:uniqueId val="{00000007-3DA1-409E-A0BF-E5CB7EABE025}"/>
              </c:ext>
            </c:extLst>
          </c:dPt>
          <c:dPt>
            <c:idx val="4"/>
            <c:bubble3D val="0"/>
            <c:spPr>
              <a:solidFill>
                <a:schemeClr val="accent1"/>
              </a:solidFill>
              <a:ln w="15875">
                <a:solidFill>
                  <a:schemeClr val="lt1"/>
                </a:solidFill>
              </a:ln>
              <a:effectLst/>
            </c:spPr>
            <c:extLst>
              <c:ext xmlns:c16="http://schemas.microsoft.com/office/drawing/2014/chart" uri="{C3380CC4-5D6E-409C-BE32-E72D297353CC}">
                <c16:uniqueId val="{00000009-3DA1-409E-A0BF-E5CB7EABE025}"/>
              </c:ext>
            </c:extLst>
          </c:dPt>
          <c:dPt>
            <c:idx val="5"/>
            <c:bubble3D val="0"/>
            <c:spPr>
              <a:solidFill>
                <a:schemeClr val="accent6"/>
              </a:solidFill>
              <a:ln w="15875">
                <a:solidFill>
                  <a:schemeClr val="lt1"/>
                </a:solidFill>
              </a:ln>
              <a:effectLst/>
            </c:spPr>
            <c:extLst>
              <c:ext xmlns:c16="http://schemas.microsoft.com/office/drawing/2014/chart" uri="{C3380CC4-5D6E-409C-BE32-E72D297353CC}">
                <c16:uniqueId val="{0000000B-3DA1-409E-A0BF-E5CB7EABE025}"/>
              </c:ext>
            </c:extLst>
          </c:dPt>
          <c:dPt>
            <c:idx val="6"/>
            <c:bubble3D val="0"/>
            <c:spPr>
              <a:solidFill>
                <a:schemeClr val="tx2"/>
              </a:solidFill>
              <a:ln w="15875">
                <a:solidFill>
                  <a:schemeClr val="lt1"/>
                </a:solidFill>
              </a:ln>
              <a:effectLst/>
            </c:spPr>
            <c:extLst>
              <c:ext xmlns:c16="http://schemas.microsoft.com/office/drawing/2014/chart" uri="{C3380CC4-5D6E-409C-BE32-E72D297353CC}">
                <c16:uniqueId val="{0000000D-3DA1-409E-A0BF-E5CB7EABE025}"/>
              </c:ext>
            </c:extLst>
          </c:dPt>
          <c:dLbls>
            <c:dLbl>
              <c:idx val="0"/>
              <c:layout>
                <c:manualLayout>
                  <c:x val="1.0666666666666618E-2"/>
                  <c:y val="-0.1724575196550849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A1-409E-A0BF-E5CB7EABE025}"/>
                </c:ext>
              </c:extLst>
            </c:dLbl>
            <c:dLbl>
              <c:idx val="1"/>
              <c:layout>
                <c:manualLayout>
                  <c:x val="5.8666666666666714E-2"/>
                  <c:y val="-0.15724067968551864"/>
                </c:manualLayout>
              </c:layout>
              <c:tx>
                <c:rich>
                  <a:bodyPr/>
                  <a:lstStyle/>
                  <a:p>
                    <a:fld id="{3EDCE65E-F738-4DDA-BFF2-4FB95D41E249}" type="PERCENTAGE">
                      <a:rPr lang="en-US">
                        <a:solidFill>
                          <a:sysClr val="windowText" lastClr="000000"/>
                        </a:solidFill>
                      </a:rPr>
                      <a:pPr/>
                      <a:t>[PERCENTAGE]</a:t>
                    </a:fld>
                    <a:endParaRPr lang="en-A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DA1-409E-A0BF-E5CB7EABE025}"/>
                </c:ext>
              </c:extLst>
            </c:dLbl>
            <c:dLbl>
              <c:idx val="2"/>
              <c:layout>
                <c:manualLayout>
                  <c:x val="0.10933333333333334"/>
                  <c:y val="-3.550595992898807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A1-409E-A0BF-E5CB7EABE025}"/>
                </c:ext>
              </c:extLst>
            </c:dLbl>
            <c:dLbl>
              <c:idx val="3"/>
              <c:layout>
                <c:manualLayout>
                  <c:x val="7.733333333333324E-2"/>
                  <c:y val="4.56505199086989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DA1-409E-A0BF-E5CB7EABE025}"/>
                </c:ext>
              </c:extLst>
            </c:dLbl>
            <c:dLbl>
              <c:idx val="4"/>
              <c:layout>
                <c:manualLayout>
                  <c:x val="2.6666666666666666E-3"/>
                  <c:y val="0.1572406796855185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DA1-409E-A0BF-E5CB7EABE025}"/>
                </c:ext>
              </c:extLst>
            </c:dLbl>
            <c:dLbl>
              <c:idx val="5"/>
              <c:layout>
                <c:manualLayout>
                  <c:x val="-0.10933333333333334"/>
                  <c:y val="-7.101191985797615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DA1-409E-A0BF-E5CB7EABE025}"/>
                </c:ext>
              </c:extLst>
            </c:dLbl>
            <c:dLbl>
              <c:idx val="6"/>
              <c:layout>
                <c:manualLayout>
                  <c:x val="-5.6000000000000022E-2"/>
                  <c:y val="-0.1470961197058077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DA1-409E-A0BF-E5CB7EABE025}"/>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50000"/>
                      <a:lumOff val="50000"/>
                    </a:schemeClr>
                  </a:solidFill>
                  <a:round/>
                </a:ln>
                <a:effectLst/>
              </c:spPr>
            </c:leaderLines>
            <c:extLst>
              <c:ext xmlns:c15="http://schemas.microsoft.com/office/drawing/2012/chart" uri="{CE6537A1-D6FC-4f65-9D91-7224C49458BB}"/>
            </c:extLst>
          </c:dLbls>
          <c:cat>
            <c:strRef>
              <c:f>'Charts Final'!$A$29:$A$35</c:f>
              <c:strCache>
                <c:ptCount val="7"/>
                <c:pt idx="0">
                  <c:v>Agriculture, forestry &amp;
  fishing</c:v>
                </c:pt>
                <c:pt idx="1">
                  <c:v>Finance &amp; insurance</c:v>
                </c:pt>
                <c:pt idx="2">
                  <c:v>Manufacturing,
  electricity &amp; gas</c:v>
                </c:pt>
                <c:pt idx="3">
                  <c:v>Mineral exploration &amp;
  development</c:v>
                </c:pt>
                <c:pt idx="4">
                  <c:v>Services</c:v>
                </c:pt>
                <c:pt idx="5">
                  <c:v>Real estate - commercial</c:v>
                </c:pt>
                <c:pt idx="6">
                  <c:v>Real estate - residential</c:v>
                </c:pt>
              </c:strCache>
            </c:strRef>
          </c:cat>
          <c:val>
            <c:numRef>
              <c:f>'Charts Final'!$C$29:$C$35</c:f>
              <c:numCache>
                <c:formatCode>0.0%</c:formatCode>
                <c:ptCount val="7"/>
                <c:pt idx="0">
                  <c:v>4.2312874410820454E-2</c:v>
                </c:pt>
                <c:pt idx="1">
                  <c:v>6.9321516602808358E-2</c:v>
                </c:pt>
                <c:pt idx="2">
                  <c:v>0.1686330259799276</c:v>
                </c:pt>
                <c:pt idx="3">
                  <c:v>5.7242135803152884E-2</c:v>
                </c:pt>
                <c:pt idx="4">
                  <c:v>0.37630752332092354</c:v>
                </c:pt>
                <c:pt idx="5">
                  <c:v>0.19864548973531562</c:v>
                </c:pt>
                <c:pt idx="6">
                  <c:v>8.7537434147051577E-2</c:v>
                </c:pt>
              </c:numCache>
            </c:numRef>
          </c:val>
          <c:extLst>
            <c:ext xmlns:c16="http://schemas.microsoft.com/office/drawing/2014/chart" uri="{C3380CC4-5D6E-409C-BE32-E72D297353CC}">
              <c16:uniqueId val="{0000000E-3DA1-409E-A0BF-E5CB7EABE025}"/>
            </c:ext>
          </c:extLst>
        </c:ser>
        <c:dLbls>
          <c:showLegendKey val="0"/>
          <c:showVal val="1"/>
          <c:showCatName val="0"/>
          <c:showSerName val="0"/>
          <c:showPercent val="0"/>
          <c:showBubbleSize val="0"/>
          <c:showLeaderLines val="1"/>
        </c:dLbls>
        <c:firstSliceAng val="0"/>
        <c:holeSize val="40"/>
      </c:doughnutChart>
      <c:spPr>
        <a:noFill/>
        <a:ln>
          <a:noFill/>
        </a:ln>
        <a:effectLst/>
      </c:spPr>
    </c:plotArea>
    <c:legend>
      <c:legendPos val="b"/>
      <c:layout>
        <c:manualLayout>
          <c:xMode val="edge"/>
          <c:yMode val="edge"/>
          <c:x val="0.64192475940507432"/>
          <c:y val="5.7287839020122487E-2"/>
          <c:w val="0.35781714785651791"/>
          <c:h val="0.79939691789097"/>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44807368142625E-2"/>
          <c:y val="5.1363781734565933E-2"/>
          <c:w val="0.594248881963375"/>
          <c:h val="0.89287517177335252"/>
        </c:manualLayout>
      </c:layout>
      <c:doughnutChart>
        <c:varyColors val="1"/>
        <c:ser>
          <c:idx val="0"/>
          <c:order val="0"/>
          <c:tx>
            <c:strRef>
              <c:f>Charts!$A$4</c:f>
              <c:strCache>
                <c:ptCount val="1"/>
                <c:pt idx="0">
                  <c:v>Chart 3.3 Proportion of residential real estate approvals by state and territory 2019-20</c:v>
                </c:pt>
              </c:strCache>
            </c:strRef>
          </c:tx>
          <c:spPr>
            <a:ln w="12700">
              <a:solidFill>
                <a:schemeClr val="bg1"/>
              </a:solidFill>
            </a:ln>
          </c:spPr>
          <c:dPt>
            <c:idx val="0"/>
            <c:bubble3D val="0"/>
            <c:spPr>
              <a:solidFill>
                <a:schemeClr val="tx2"/>
              </a:solidFill>
              <a:ln w="12700">
                <a:solidFill>
                  <a:schemeClr val="bg1"/>
                </a:solidFill>
              </a:ln>
            </c:spPr>
            <c:extLst>
              <c:ext xmlns:c16="http://schemas.microsoft.com/office/drawing/2014/chart" uri="{C3380CC4-5D6E-409C-BE32-E72D297353CC}">
                <c16:uniqueId val="{00000001-89E6-47C5-8450-60AB7BD38300}"/>
              </c:ext>
            </c:extLst>
          </c:dPt>
          <c:dPt>
            <c:idx val="1"/>
            <c:bubble3D val="0"/>
            <c:spPr>
              <a:solidFill>
                <a:schemeClr val="accent3"/>
              </a:solidFill>
              <a:ln w="12700">
                <a:solidFill>
                  <a:schemeClr val="bg1"/>
                </a:solidFill>
              </a:ln>
            </c:spPr>
            <c:extLst>
              <c:ext xmlns:c16="http://schemas.microsoft.com/office/drawing/2014/chart" uri="{C3380CC4-5D6E-409C-BE32-E72D297353CC}">
                <c16:uniqueId val="{00000003-89E6-47C5-8450-60AB7BD38300}"/>
              </c:ext>
            </c:extLst>
          </c:dPt>
          <c:dPt>
            <c:idx val="2"/>
            <c:bubble3D val="0"/>
            <c:spPr>
              <a:solidFill>
                <a:schemeClr val="accent2"/>
              </a:solidFill>
              <a:ln w="12700">
                <a:solidFill>
                  <a:schemeClr val="bg1"/>
                </a:solidFill>
              </a:ln>
            </c:spPr>
            <c:extLst>
              <c:ext xmlns:c16="http://schemas.microsoft.com/office/drawing/2014/chart" uri="{C3380CC4-5D6E-409C-BE32-E72D297353CC}">
                <c16:uniqueId val="{00000005-89E6-47C5-8450-60AB7BD38300}"/>
              </c:ext>
            </c:extLst>
          </c:dPt>
          <c:dPt>
            <c:idx val="3"/>
            <c:bubble3D val="0"/>
            <c:spPr>
              <a:solidFill>
                <a:schemeClr val="accent5"/>
              </a:solidFill>
              <a:ln w="12700">
                <a:solidFill>
                  <a:schemeClr val="bg1"/>
                </a:solidFill>
              </a:ln>
            </c:spPr>
            <c:extLst>
              <c:ext xmlns:c16="http://schemas.microsoft.com/office/drawing/2014/chart" uri="{C3380CC4-5D6E-409C-BE32-E72D297353CC}">
                <c16:uniqueId val="{00000007-89E6-47C5-8450-60AB7BD38300}"/>
              </c:ext>
            </c:extLst>
          </c:dPt>
          <c:dPt>
            <c:idx val="4"/>
            <c:bubble3D val="0"/>
            <c:spPr>
              <a:solidFill>
                <a:schemeClr val="accent4"/>
              </a:solidFill>
              <a:ln w="12700">
                <a:solidFill>
                  <a:schemeClr val="bg1"/>
                </a:solidFill>
              </a:ln>
            </c:spPr>
            <c:extLst>
              <c:ext xmlns:c16="http://schemas.microsoft.com/office/drawing/2014/chart" uri="{C3380CC4-5D6E-409C-BE32-E72D297353CC}">
                <c16:uniqueId val="{00000009-89E6-47C5-8450-60AB7BD38300}"/>
              </c:ext>
            </c:extLst>
          </c:dPt>
          <c:dPt>
            <c:idx val="5"/>
            <c:bubble3D val="0"/>
            <c:spPr>
              <a:solidFill>
                <a:schemeClr val="accent1"/>
              </a:solidFill>
              <a:ln w="12700">
                <a:solidFill>
                  <a:schemeClr val="bg1"/>
                </a:solidFill>
              </a:ln>
            </c:spPr>
            <c:extLst>
              <c:ext xmlns:c16="http://schemas.microsoft.com/office/drawing/2014/chart" uri="{C3380CC4-5D6E-409C-BE32-E72D297353CC}">
                <c16:uniqueId val="{0000000B-89E6-47C5-8450-60AB7BD38300}"/>
              </c:ext>
            </c:extLst>
          </c:dPt>
          <c:dPt>
            <c:idx val="6"/>
            <c:bubble3D val="0"/>
            <c:spPr>
              <a:solidFill>
                <a:schemeClr val="accent6"/>
              </a:solidFill>
              <a:ln w="12700">
                <a:solidFill>
                  <a:schemeClr val="bg1"/>
                </a:solidFill>
              </a:ln>
            </c:spPr>
            <c:extLst>
              <c:ext xmlns:c16="http://schemas.microsoft.com/office/drawing/2014/chart" uri="{C3380CC4-5D6E-409C-BE32-E72D297353CC}">
                <c16:uniqueId val="{0000000D-89E6-47C5-8450-60AB7BD38300}"/>
              </c:ext>
            </c:extLst>
          </c:dPt>
          <c:dPt>
            <c:idx val="7"/>
            <c:bubble3D val="0"/>
            <c:spPr>
              <a:solidFill>
                <a:srgbClr val="BEB785"/>
              </a:solidFill>
              <a:ln w="12700">
                <a:solidFill>
                  <a:schemeClr val="bg1"/>
                </a:solidFill>
              </a:ln>
            </c:spPr>
            <c:extLst>
              <c:ext xmlns:c16="http://schemas.microsoft.com/office/drawing/2014/chart" uri="{C3380CC4-5D6E-409C-BE32-E72D297353CC}">
                <c16:uniqueId val="{0000000F-89E6-47C5-8450-60AB7BD38300}"/>
              </c:ext>
            </c:extLst>
          </c:dPt>
          <c:dLbls>
            <c:dLbl>
              <c:idx val="0"/>
              <c:layout>
                <c:manualLayout>
                  <c:x val="7.5970654927547107E-2"/>
                  <c:y val="-0.1349637223758663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9E6-47C5-8450-60AB7BD38300}"/>
                </c:ext>
              </c:extLst>
            </c:dLbl>
            <c:dLbl>
              <c:idx val="1"/>
              <c:layout>
                <c:manualLayout>
                  <c:x val="9.348170124540707E-2"/>
                  <c:y val="-8.5162313108396143E-2"/>
                </c:manualLayout>
              </c:layout>
              <c:tx>
                <c:rich>
                  <a:bodyPr/>
                  <a:lstStyle/>
                  <a:p>
                    <a:fld id="{E38657E9-DB21-44BC-A8AD-61F2B9BA7489}" type="PERCENTAGE">
                      <a:rPr lang="en-US">
                        <a:solidFill>
                          <a:sysClr val="windowText" lastClr="000000"/>
                        </a:solidFill>
                      </a:rPr>
                      <a:pPr/>
                      <a:t>[PERCENTAGE]</a:t>
                    </a:fld>
                    <a:endParaRPr lang="en-AU"/>
                  </a:p>
                </c:rich>
              </c:tx>
              <c:showLegendKey val="0"/>
              <c:showVal val="0"/>
              <c:showCatName val="0"/>
              <c:showSerName val="0"/>
              <c:showPercent val="1"/>
              <c:showBubbleSize val="0"/>
              <c:extLst>
                <c:ext xmlns:c15="http://schemas.microsoft.com/office/drawing/2012/chart" uri="{CE6537A1-D6FC-4f65-9D91-7224C49458BB}">
                  <c15:layout>
                    <c:manualLayout>
                      <c:w val="6.752117198647134E-2"/>
                      <c:h val="0.10040890753211588"/>
                    </c:manualLayout>
                  </c15:layout>
                  <c15:dlblFieldTable/>
                  <c15:showDataLabelsRange val="0"/>
                </c:ext>
                <c:ext xmlns:c16="http://schemas.microsoft.com/office/drawing/2014/chart" uri="{C3380CC4-5D6E-409C-BE32-E72D297353CC}">
                  <c16:uniqueId val="{00000003-89E6-47C5-8450-60AB7BD38300}"/>
                </c:ext>
              </c:extLst>
            </c:dLbl>
            <c:dLbl>
              <c:idx val="2"/>
              <c:layout>
                <c:manualLayout>
                  <c:x val="8.8288756167229296E-2"/>
                  <c:y val="8.731381612737544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9E6-47C5-8450-60AB7BD38300}"/>
                </c:ext>
              </c:extLst>
            </c:dLbl>
            <c:dLbl>
              <c:idx val="3"/>
              <c:layout>
                <c:manualLayout>
                  <c:x val="8.3095299922098159E-2"/>
                  <c:y val="0.1340328543943192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9E6-47C5-8450-60AB7BD38300}"/>
                </c:ext>
              </c:extLst>
            </c:dLbl>
            <c:dLbl>
              <c:idx val="4"/>
              <c:layout>
                <c:manualLayout>
                  <c:x val="-5.4954332344395666E-2"/>
                  <c:y val="0.1348418119537831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9E6-47C5-8450-60AB7BD38300}"/>
                </c:ext>
              </c:extLst>
            </c:dLbl>
            <c:dLbl>
              <c:idx val="5"/>
              <c:layout>
                <c:manualLayout>
                  <c:x val="-0.10089495110176926"/>
                  <c:y val="-5.05481884101929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9E6-47C5-8450-60AB7BD38300}"/>
                </c:ext>
              </c:extLst>
            </c:dLbl>
            <c:dLbl>
              <c:idx val="6"/>
              <c:layout>
                <c:manualLayout>
                  <c:x val="-7.7901843676967023E-2"/>
                  <c:y val="-0.1335388445571820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9E6-47C5-8450-60AB7BD38300}"/>
                </c:ext>
              </c:extLst>
            </c:dLbl>
            <c:spPr>
              <a:noFill/>
              <a:ln>
                <a:noFill/>
              </a:ln>
              <a:effectLst/>
            </c:spPr>
            <c:txPr>
              <a:bodyPr/>
              <a:lstStyle/>
              <a:p>
                <a:pPr>
                  <a:defRPr>
                    <a:solidFill>
                      <a:sysClr val="windowText" lastClr="000000"/>
                    </a:solidFill>
                  </a:defRPr>
                </a:pPr>
                <a:endParaRPr lang="en-US"/>
              </a:p>
            </c:txPr>
            <c:showLegendKey val="0"/>
            <c:showVal val="0"/>
            <c:showCatName val="0"/>
            <c:showSerName val="0"/>
            <c:showPercent val="1"/>
            <c:showBubbleSize val="0"/>
            <c:showLeaderLines val="1"/>
            <c:leaderLines>
              <c:spPr>
                <a:ln>
                  <a:solidFill>
                    <a:schemeClr val="tx1">
                      <a:lumMod val="50000"/>
                      <a:lumOff val="50000"/>
                    </a:schemeClr>
                  </a:solidFill>
                </a:ln>
              </c:spPr>
            </c:leaderLines>
            <c:extLst>
              <c:ext xmlns:c15="http://schemas.microsoft.com/office/drawing/2012/chart" uri="{CE6537A1-D6FC-4f65-9D91-7224C49458BB}"/>
            </c:extLst>
          </c:dLbls>
          <c:cat>
            <c:strRef>
              <c:f>('3.11F'!$A$10:$A$11,'3.11F'!$A$13:$A$17)</c:f>
              <c:strCache>
                <c:ptCount val="7"/>
                <c:pt idx="0">
                  <c:v>ACT</c:v>
                </c:pt>
                <c:pt idx="1">
                  <c:v>NSW</c:v>
                </c:pt>
                <c:pt idx="2">
                  <c:v>QLD</c:v>
                </c:pt>
                <c:pt idx="3">
                  <c:v>SA</c:v>
                </c:pt>
                <c:pt idx="4">
                  <c:v>TAS</c:v>
                </c:pt>
                <c:pt idx="5">
                  <c:v>VIC</c:v>
                </c:pt>
                <c:pt idx="6">
                  <c:v>WA</c:v>
                </c:pt>
              </c:strCache>
            </c:strRef>
          </c:cat>
          <c:val>
            <c:numRef>
              <c:f>('3.11F'!$B$10:$B$11,'3.11F'!$B$13:$B$17)</c:f>
              <c:numCache>
                <c:formatCode>_-* #,##0_-;\-* #,##0_-;_-* "-"??_-;_-@_-</c:formatCode>
                <c:ptCount val="7"/>
                <c:pt idx="0">
                  <c:v>340</c:v>
                </c:pt>
                <c:pt idx="1">
                  <c:v>1342</c:v>
                </c:pt>
                <c:pt idx="2">
                  <c:v>1313</c:v>
                </c:pt>
                <c:pt idx="3">
                  <c:v>389</c:v>
                </c:pt>
                <c:pt idx="4">
                  <c:v>243</c:v>
                </c:pt>
                <c:pt idx="5">
                  <c:v>3003</c:v>
                </c:pt>
                <c:pt idx="6">
                  <c:v>370</c:v>
                </c:pt>
              </c:numCache>
            </c:numRef>
          </c:val>
          <c:extLst>
            <c:ext xmlns:c16="http://schemas.microsoft.com/office/drawing/2014/chart" uri="{C3380CC4-5D6E-409C-BE32-E72D297353CC}">
              <c16:uniqueId val="{00000010-89E6-47C5-8450-60AB7BD38300}"/>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368499138020862"/>
          <c:y val="6.2281162532884765E-2"/>
          <c:w val="0.12210945336227112"/>
          <c:h val="0.90070639221817461"/>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w="12700">
              <a:solidFill>
                <a:schemeClr val="bg1"/>
              </a:solidFill>
            </a:ln>
            <a:effectLst/>
          </c:spPr>
          <c:dPt>
            <c:idx val="0"/>
            <c:bubble3D val="0"/>
            <c:spPr>
              <a:solidFill>
                <a:schemeClr val="tx2"/>
              </a:solidFill>
              <a:ln w="12700">
                <a:solidFill>
                  <a:schemeClr val="bg1"/>
                </a:solidFill>
              </a:ln>
              <a:effectLst/>
            </c:spPr>
            <c:extLst>
              <c:ext xmlns:c16="http://schemas.microsoft.com/office/drawing/2014/chart" uri="{C3380CC4-5D6E-409C-BE32-E72D297353CC}">
                <c16:uniqueId val="{00000001-7834-4600-B738-EA429D787D56}"/>
              </c:ext>
            </c:extLst>
          </c:dPt>
          <c:dPt>
            <c:idx val="1"/>
            <c:bubble3D val="0"/>
            <c:spPr>
              <a:solidFill>
                <a:schemeClr val="accent3"/>
              </a:solidFill>
              <a:ln w="12700">
                <a:solidFill>
                  <a:schemeClr val="bg1"/>
                </a:solidFill>
              </a:ln>
              <a:effectLst/>
            </c:spPr>
            <c:extLst>
              <c:ext xmlns:c16="http://schemas.microsoft.com/office/drawing/2014/chart" uri="{C3380CC4-5D6E-409C-BE32-E72D297353CC}">
                <c16:uniqueId val="{00000003-7834-4600-B738-EA429D787D56}"/>
              </c:ext>
            </c:extLst>
          </c:dPt>
          <c:dPt>
            <c:idx val="2"/>
            <c:bubble3D val="0"/>
            <c:spPr>
              <a:solidFill>
                <a:schemeClr val="accent2"/>
              </a:solidFill>
              <a:ln w="12700">
                <a:solidFill>
                  <a:schemeClr val="bg1"/>
                </a:solidFill>
              </a:ln>
              <a:effectLst/>
            </c:spPr>
            <c:extLst>
              <c:ext xmlns:c16="http://schemas.microsoft.com/office/drawing/2014/chart" uri="{C3380CC4-5D6E-409C-BE32-E72D297353CC}">
                <c16:uniqueId val="{00000005-7834-4600-B738-EA429D787D56}"/>
              </c:ext>
            </c:extLst>
          </c:dPt>
          <c:dPt>
            <c:idx val="3"/>
            <c:bubble3D val="0"/>
            <c:spPr>
              <a:solidFill>
                <a:schemeClr val="accent5"/>
              </a:solidFill>
              <a:ln w="12700">
                <a:solidFill>
                  <a:schemeClr val="bg1"/>
                </a:solidFill>
              </a:ln>
              <a:effectLst/>
            </c:spPr>
            <c:extLst>
              <c:ext xmlns:c16="http://schemas.microsoft.com/office/drawing/2014/chart" uri="{C3380CC4-5D6E-409C-BE32-E72D297353CC}">
                <c16:uniqueId val="{00000007-7834-4600-B738-EA429D787D56}"/>
              </c:ext>
            </c:extLst>
          </c:dPt>
          <c:dPt>
            <c:idx val="4"/>
            <c:bubble3D val="0"/>
            <c:spPr>
              <a:solidFill>
                <a:schemeClr val="accent4"/>
              </a:solidFill>
              <a:ln w="12700">
                <a:solidFill>
                  <a:schemeClr val="bg1"/>
                </a:solidFill>
              </a:ln>
              <a:effectLst/>
            </c:spPr>
            <c:extLst>
              <c:ext xmlns:c16="http://schemas.microsoft.com/office/drawing/2014/chart" uri="{C3380CC4-5D6E-409C-BE32-E72D297353CC}">
                <c16:uniqueId val="{00000009-7834-4600-B738-EA429D787D56}"/>
              </c:ext>
            </c:extLst>
          </c:dPt>
          <c:dPt>
            <c:idx val="5"/>
            <c:bubble3D val="0"/>
            <c:spPr>
              <a:solidFill>
                <a:schemeClr val="accent1"/>
              </a:solidFill>
              <a:ln w="12700">
                <a:solidFill>
                  <a:schemeClr val="bg1"/>
                </a:solidFill>
              </a:ln>
              <a:effectLst/>
            </c:spPr>
            <c:extLst>
              <c:ext xmlns:c16="http://schemas.microsoft.com/office/drawing/2014/chart" uri="{C3380CC4-5D6E-409C-BE32-E72D297353CC}">
                <c16:uniqueId val="{0000000B-7834-4600-B738-EA429D787D56}"/>
              </c:ext>
            </c:extLst>
          </c:dPt>
          <c:dPt>
            <c:idx val="6"/>
            <c:bubble3D val="0"/>
            <c:spPr>
              <a:solidFill>
                <a:schemeClr val="accent6"/>
              </a:solidFill>
              <a:ln w="12700">
                <a:solidFill>
                  <a:schemeClr val="bg1"/>
                </a:solidFill>
              </a:ln>
              <a:effectLst/>
            </c:spPr>
            <c:extLst>
              <c:ext xmlns:c16="http://schemas.microsoft.com/office/drawing/2014/chart" uri="{C3380CC4-5D6E-409C-BE32-E72D297353CC}">
                <c16:uniqueId val="{0000000D-7834-4600-B738-EA429D787D56}"/>
              </c:ext>
            </c:extLst>
          </c:dPt>
          <c:dLbls>
            <c:dLbl>
              <c:idx val="0"/>
              <c:layout>
                <c:manualLayout>
                  <c:x val="2.9339853300733496E-2"/>
                  <c:y val="-0.13865546218487396"/>
                </c:manualLayout>
              </c:layout>
              <c:tx>
                <c:rich>
                  <a:bodyPr/>
                  <a:lstStyle/>
                  <a:p>
                    <a:fld id="{E06B935B-3ABA-4CA5-A498-37B89B1F9674}" type="PERCENTAGE">
                      <a:rPr lang="en-US">
                        <a:solidFill>
                          <a:sysClr val="windowText" lastClr="000000"/>
                        </a:solidFill>
                      </a:rPr>
                      <a:pPr/>
                      <a:t>[PERCENTAGE]</a:t>
                    </a:fld>
                    <a:endParaRPr lang="en-A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34-4600-B738-EA429D787D56}"/>
                </c:ext>
              </c:extLst>
            </c:dLbl>
            <c:dLbl>
              <c:idx val="1"/>
              <c:layout>
                <c:manualLayout>
                  <c:x val="9.2909535452322736E-2"/>
                  <c:y val="-0.10504201680672269"/>
                </c:manualLayout>
              </c:layout>
              <c:tx>
                <c:rich>
                  <a:bodyPr/>
                  <a:lstStyle/>
                  <a:p>
                    <a:fld id="{8A8B5428-9B78-4CA8-84B3-A3A681D32788}" type="PERCENTAGE">
                      <a:rPr lang="en-US">
                        <a:solidFill>
                          <a:sysClr val="windowText" lastClr="000000"/>
                        </a:solidFill>
                      </a:rPr>
                      <a:pPr/>
                      <a:t>[PERCENTAGE]</a:t>
                    </a:fld>
                    <a:endParaRPr lang="en-A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834-4600-B738-EA429D787D56}"/>
                </c:ext>
              </c:extLst>
            </c:dLbl>
            <c:dLbl>
              <c:idx val="2"/>
              <c:layout>
                <c:manualLayout>
                  <c:x val="0.10268948655256724"/>
                  <c:y val="0.163865546218487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834-4600-B738-EA429D787D56}"/>
                </c:ext>
              </c:extLst>
            </c:dLbl>
            <c:dLbl>
              <c:idx val="3"/>
              <c:layout>
                <c:manualLayout>
                  <c:x val="4.6454767726161368E-2"/>
                  <c:y val="0.134453781512604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834-4600-B738-EA429D787D56}"/>
                </c:ext>
              </c:extLst>
            </c:dLbl>
            <c:dLbl>
              <c:idx val="4"/>
              <c:layout>
                <c:manualLayout>
                  <c:x val="-2.9339853300733541E-2"/>
                  <c:y val="0.13865546218487396"/>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834-4600-B738-EA429D787D56}"/>
                </c:ext>
              </c:extLst>
            </c:dLbl>
            <c:dLbl>
              <c:idx val="5"/>
              <c:layout>
                <c:manualLayout>
                  <c:x val="-0.13936430317848411"/>
                  <c:y val="-8.403361344537814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834-4600-B738-EA429D787D56}"/>
                </c:ext>
              </c:extLst>
            </c:dLbl>
            <c:dLbl>
              <c:idx val="6"/>
              <c:layout>
                <c:manualLayout>
                  <c:x val="-6.1124694376528114E-2"/>
                  <c:y val="-0.13025210084033614"/>
                </c:manualLayout>
              </c:layout>
              <c:tx>
                <c:rich>
                  <a:bodyPr/>
                  <a:lstStyle/>
                  <a:p>
                    <a:fld id="{8CA6737C-0A20-4AFC-B048-6F66D4F77F88}" type="PERCENTAGE">
                      <a:rPr lang="en-US">
                        <a:solidFill>
                          <a:sysClr val="windowText" lastClr="000000"/>
                        </a:solidFill>
                      </a:rPr>
                      <a:pPr/>
                      <a:t>[PERCENTAGE]</a:t>
                    </a:fld>
                    <a:endParaRPr lang="en-AU"/>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834-4600-B738-EA429D787D56}"/>
                </c:ext>
              </c:extLst>
            </c:dLbl>
            <c:numFmt formatCode="0.00%" sourceLinked="0"/>
            <c:spPr>
              <a:noFill/>
              <a:ln>
                <a:noFill/>
              </a:ln>
              <a:effectLst/>
            </c:spPr>
            <c:txPr>
              <a:bodyPr rot="0" vert="horz"/>
              <a:lstStyle/>
              <a:p>
                <a:pPr>
                  <a:defRPr>
                    <a:solidFill>
                      <a:sysClr val="windowText" lastClr="000000"/>
                    </a:solidFill>
                    <a:effectLst/>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c15:spPr>
              </c:ext>
            </c:extLst>
          </c:dLbls>
          <c:cat>
            <c:strRef>
              <c:f>'Chart data  outcomes by state '!$A$3:$A$9</c:f>
              <c:strCache>
                <c:ptCount val="7"/>
                <c:pt idx="0">
                  <c:v>ACT</c:v>
                </c:pt>
                <c:pt idx="1">
                  <c:v>NSW</c:v>
                </c:pt>
                <c:pt idx="2">
                  <c:v>QLD</c:v>
                </c:pt>
                <c:pt idx="3">
                  <c:v>SA</c:v>
                </c:pt>
                <c:pt idx="4">
                  <c:v>TAS</c:v>
                </c:pt>
                <c:pt idx="5">
                  <c:v>VIC</c:v>
                </c:pt>
                <c:pt idx="6">
                  <c:v>WA</c:v>
                </c:pt>
              </c:strCache>
            </c:strRef>
          </c:cat>
          <c:val>
            <c:numRef>
              <c:f>'Chart data  outcomes by state '!$B$3:$B$9</c:f>
              <c:numCache>
                <c:formatCode>0.00%</c:formatCode>
                <c:ptCount val="7"/>
                <c:pt idx="0">
                  <c:v>1.9305019305019305E-2</c:v>
                </c:pt>
                <c:pt idx="1">
                  <c:v>0.24710424710424711</c:v>
                </c:pt>
                <c:pt idx="2">
                  <c:v>0.21235521235521235</c:v>
                </c:pt>
                <c:pt idx="3">
                  <c:v>3.0888030888030889E-2</c:v>
                </c:pt>
                <c:pt idx="4">
                  <c:v>2.7027027027027029E-2</c:v>
                </c:pt>
                <c:pt idx="5">
                  <c:v>0.40926640926640928</c:v>
                </c:pt>
                <c:pt idx="6">
                  <c:v>5.4054054054054057E-2</c:v>
                </c:pt>
              </c:numCache>
            </c:numRef>
          </c:val>
          <c:extLst>
            <c:ext xmlns:c16="http://schemas.microsoft.com/office/drawing/2014/chart" uri="{C3380CC4-5D6E-409C-BE32-E72D297353CC}">
              <c16:uniqueId val="{0000000E-7834-4600-B738-EA429D787D56}"/>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80724544211924609"/>
          <c:y val="0.29590154171904981"/>
          <c:w val="8.2730108003003289E-2"/>
          <c:h val="0.49632700324224177"/>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0.04566</cdr:x>
      <cdr:y>0</cdr:y>
    </cdr:from>
    <cdr:to>
      <cdr:x>0.23447</cdr:x>
      <cdr:y>0.0807</cdr:y>
    </cdr:to>
    <cdr:sp macro="" textlink="">
      <cdr:nvSpPr>
        <cdr:cNvPr id="2" name="TextBox 1"/>
        <cdr:cNvSpPr txBox="1"/>
      </cdr:nvSpPr>
      <cdr:spPr>
        <a:xfrm xmlns:a="http://schemas.openxmlformats.org/drawingml/2006/main">
          <a:off x="214395" y="0"/>
          <a:ext cx="886619" cy="2842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 billion</a:t>
          </a:r>
        </a:p>
      </cdr:txBody>
    </cdr:sp>
  </cdr:relSizeAnchor>
</c:userShapes>
</file>

<file path=word/theme/theme1.xml><?xml version="1.0" encoding="utf-8"?>
<a:theme xmlns:a="http://schemas.openxmlformats.org/drawingml/2006/main" name="Office Theme">
  <a:themeElements>
    <a:clrScheme name="FIRB AR 2021">
      <a:dk1>
        <a:sysClr val="windowText" lastClr="000000"/>
      </a:dk1>
      <a:lt1>
        <a:sysClr val="window" lastClr="FFFFFF"/>
      </a:lt1>
      <a:dk2>
        <a:srgbClr val="1F497D"/>
      </a:dk2>
      <a:lt2>
        <a:srgbClr val="EEECE1"/>
      </a:lt2>
      <a:accent1>
        <a:srgbClr val="477B59"/>
      </a:accent1>
      <a:accent2>
        <a:srgbClr val="663A79"/>
      </a:accent2>
      <a:accent3>
        <a:srgbClr val="027BA4"/>
      </a:accent3>
      <a:accent4>
        <a:srgbClr val="AC4081"/>
      </a:accent4>
      <a:accent5>
        <a:srgbClr val="506672"/>
      </a:accent5>
      <a:accent6>
        <a:srgbClr val="A5623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045FBBFE3100674D8DB8D97439A7612C" ma:contentTypeVersion="38458" ma:contentTypeDescription="" ma:contentTypeScope="" ma:versionID="f423ba2791f67e345e4be6b68f5bb54b">
  <xsd:schema xmlns:xsd="http://www.w3.org/2001/XMLSchema" xmlns:xs="http://www.w3.org/2001/XMLSchema" xmlns:p="http://schemas.microsoft.com/office/2006/metadata/properties" xmlns:ns1="http://schemas.microsoft.com/sharepoint/v3" xmlns:ns2="0f563589-9cf9-4143-b1eb-fb0534803d38" xmlns:ns3="d4dd4adf-ddb3-46a3-8d7c-fab3fb2a6bc7" targetNamespace="http://schemas.microsoft.com/office/2006/metadata/properties" ma:root="true" ma:fieldsID="d5aed70a6798b5c6115b322ee78fe2c7" ns1:_="" ns2:_="" ns3:_="">
    <xsd:import namespace="http://schemas.microsoft.com/sharepoint/v3"/>
    <xsd:import namespace="0f563589-9cf9-4143-b1eb-fb0534803d38"/>
    <xsd:import namespace="d4dd4adf-ddb3-46a3-8d7c-fab3fb2a6bc7"/>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3:n748a1c17def4c93b413435c48ea641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1;#TSY RA-9052 - Retain as national archives|ac55390f-b26f-4756-8634-9527e3d5cfe1"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n748a1c17def4c93b413435c48ea6417" ma:index="17" nillable="true" ma:taxonomy="true" ma:internalName="n748a1c17def4c93b413435c48ea6417" ma:taxonomyFieldName="TSY_x0020_Topic" ma:displayName="TSY Topic" ma:readOnly="false" ma:fieldId="{7748a1c1-7def-4c93-b413-435c48ea6417}"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748a1c17def4c93b413435c48ea6417 xmlns="d4dd4adf-ddb3-46a3-8d7c-fab3fb2a6bc7">
      <Terms xmlns="http://schemas.microsoft.com/office/infopath/2007/PartnerControls"/>
    </n748a1c17def4c93b413435c48ea6417>
    <TaxCatchAll xmlns="0f563589-9cf9-4143-b1eb-fb0534803d38">
      <Value>11</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RA-9052 - Retain as national archives</TermName>
          <TermId xmlns="http://schemas.microsoft.com/office/infopath/2007/PartnerControls">ac55390f-b26f-4756-8634-9527e3d5cfe1</TermId>
        </TermInfo>
      </Terms>
    </lb508a4dc5e84436a0fe496b536466aa>
    <_dlc_DocId xmlns="0f563589-9cf9-4143-b1eb-fb0534803d38">2021MG-810075526-2479</_dlc_DocId>
    <_dlc_DocIdUrl xmlns="0f563589-9cf9-4143-b1eb-fb0534803d38">
      <Url>http://tweb/sites/mg/fitpd/_layouts/15/DocIdRedir.aspx?ID=2021MG-810075526-2479</Url>
      <Description>2021MG-810075526-2479</Description>
    </_dlc_DocIdUrl>
  </documentManagement>
</p:properti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95FA44C3-1A73-4EAE-A74F-663227C24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016E9B-6BBA-4DDD-A411-ACBFE6D3306F}">
  <ds:schemaRefs>
    <ds:schemaRef ds:uri="http://schemas.microsoft.com/office/2006/metadata/properties"/>
    <ds:schemaRef ds:uri="http://schemas.microsoft.com/office/infopath/2007/PartnerControls"/>
    <ds:schemaRef ds:uri="d4dd4adf-ddb3-46a3-8d7c-fab3fb2a6bc7"/>
    <ds:schemaRef ds:uri="0f563589-9cf9-4143-b1eb-fb0534803d38"/>
  </ds:schemaRefs>
</ds:datastoreItem>
</file>

<file path=customXml/itemProps3.xml><?xml version="1.0" encoding="utf-8"?>
<ds:datastoreItem xmlns:ds="http://schemas.openxmlformats.org/officeDocument/2006/customXml" ds:itemID="{37284056-A649-44D8-AEAF-FFC9DC18F189}">
  <ds:schemaRefs>
    <ds:schemaRef ds:uri="office.server.policy"/>
  </ds:schemaRefs>
</ds:datastoreItem>
</file>

<file path=customXml/itemProps4.xml><?xml version="1.0" encoding="utf-8"?>
<ds:datastoreItem xmlns:ds="http://schemas.openxmlformats.org/officeDocument/2006/customXml" ds:itemID="{8253FF57-B54A-4ACB-813B-0D55ED286239}">
  <ds:schemaRefs>
    <ds:schemaRef ds:uri="http://schemas.microsoft.com/sharepoint/v3/contenttype/forms"/>
  </ds:schemaRefs>
</ds:datastoreItem>
</file>

<file path=customXml/itemProps5.xml><?xml version="1.0" encoding="utf-8"?>
<ds:datastoreItem xmlns:ds="http://schemas.openxmlformats.org/officeDocument/2006/customXml" ds:itemID="{1EF8C61D-8571-4D0A-BCB3-890EAC66B42B}">
  <ds:schemaRefs>
    <ds:schemaRef ds:uri="http://schemas.openxmlformats.org/officeDocument/2006/bibliography"/>
  </ds:schemaRefs>
</ds:datastoreItem>
</file>

<file path=customXml/itemProps6.xml><?xml version="1.0" encoding="utf-8"?>
<ds:datastoreItem xmlns:ds="http://schemas.openxmlformats.org/officeDocument/2006/customXml" ds:itemID="{E725F118-FB78-4F14-9EE6-0BC224F21FD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FIRB Annual Report.dotm</Template>
  <TotalTime>191</TotalTime>
  <Pages>3</Pages>
  <Words>22074</Words>
  <Characters>125824</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Foreign Investment Review Board Annual Report 2019-20</vt:lpstr>
    </vt:vector>
  </TitlesOfParts>
  <Company>The Treasury</Company>
  <LinksUpToDate>false</LinksUpToDate>
  <CharactersWithSpaces>147603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Investment Review Board Annual Report 2019-20</dc:title>
  <dc:subject/>
  <dc:creator>FIRB</dc:creator>
  <cp:keywords/>
  <dc:description/>
  <cp:lastModifiedBy>Moore, Ben</cp:lastModifiedBy>
  <cp:revision>26</cp:revision>
  <cp:lastPrinted>2021-06-23T03:45:00Z</cp:lastPrinted>
  <dcterms:created xsi:type="dcterms:W3CDTF">2021-04-07T04:22:00Z</dcterms:created>
  <dcterms:modified xsi:type="dcterms:W3CDTF">2021-06-23T04:16:00Z</dcterms:modified>
</cp:coreProperties>
</file>