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9AD7E" w14:textId="4E32D0CA" w:rsidR="00787EA9" w:rsidRPr="002B68F5" w:rsidRDefault="00787EA9" w:rsidP="00787EA9">
      <w:pPr>
        <w:pStyle w:val="Title"/>
        <w:contextualSpacing w:val="0"/>
      </w:pPr>
      <w:r w:rsidRPr="00811442">
        <w:t>Foreign Investment</w:t>
      </w:r>
      <w:r w:rsidR="00BB52DA">
        <w:br/>
      </w:r>
      <w:r w:rsidRPr="00811442">
        <w:t>Review Board</w:t>
      </w:r>
    </w:p>
    <w:p w14:paraId="0C21A09B" w14:textId="77777777" w:rsidR="00787EA9" w:rsidRPr="002B68F5" w:rsidRDefault="00787EA9" w:rsidP="00787EA9">
      <w:pPr>
        <w:pStyle w:val="Subtitle"/>
      </w:pPr>
      <w:r w:rsidRPr="0051534E">
        <w:t xml:space="preserve">Annual </w:t>
      </w:r>
      <w:r w:rsidRPr="003C2223">
        <w:t>Report</w:t>
      </w:r>
    </w:p>
    <w:p w14:paraId="011B0818" w14:textId="73E79D5C" w:rsidR="007121D6" w:rsidRDefault="00D76ED2" w:rsidP="00787EA9">
      <w:pPr>
        <w:pStyle w:val="Subtitle"/>
      </w:pPr>
      <w:r>
        <w:t>2020</w:t>
      </w:r>
      <w:r w:rsidR="007B6345">
        <w:rPr>
          <w:rFonts w:ascii="Calibri" w:hAnsi="Calibri" w:cs="Calibri"/>
        </w:rPr>
        <w:t>–</w:t>
      </w:r>
      <w:r>
        <w:t>21</w:t>
      </w:r>
    </w:p>
    <w:p w14:paraId="05123386" w14:textId="77777777" w:rsidR="00787EA9" w:rsidRDefault="00787EA9" w:rsidP="00787EA9">
      <w:pPr>
        <w:rPr>
          <w:i/>
        </w:rPr>
      </w:pPr>
    </w:p>
    <w:p w14:paraId="264F5501" w14:textId="77777777" w:rsidR="007121D6" w:rsidRDefault="007121D6" w:rsidP="00465BAD">
      <w:pPr>
        <w:rPr>
          <w:i/>
        </w:rPr>
        <w:sectPr w:rsidR="007121D6" w:rsidSect="00325730">
          <w:headerReference w:type="even" r:id="rId13"/>
          <w:footerReference w:type="even" r:id="rId14"/>
          <w:footerReference w:type="first" r:id="rId15"/>
          <w:pgSz w:w="11906" w:h="16838" w:code="9"/>
          <w:pgMar w:top="2466" w:right="2098" w:bottom="2466" w:left="2098" w:header="1899" w:footer="1899" w:gutter="0"/>
          <w:cols w:space="708"/>
          <w:vAlign w:val="center"/>
          <w:docGrid w:linePitch="360"/>
        </w:sectPr>
      </w:pPr>
    </w:p>
    <w:p w14:paraId="2747A626" w14:textId="16D1B5C0" w:rsidR="00D70D81" w:rsidRDefault="00D70D81" w:rsidP="00D70D81">
      <w:pPr>
        <w:spacing w:after="120"/>
      </w:pPr>
      <w:r w:rsidRPr="00661BF0">
        <w:lastRenderedPageBreak/>
        <w:t>© Commonwealth of Australi</w:t>
      </w:r>
      <w:r w:rsidRPr="006A3996">
        <w:t>a 2021</w:t>
      </w:r>
    </w:p>
    <w:p w14:paraId="02BDD800" w14:textId="53F4E702" w:rsidR="00D70D81" w:rsidRDefault="00D70D81" w:rsidP="00D70D81">
      <w:pPr>
        <w:spacing w:after="120"/>
      </w:pPr>
      <w:r w:rsidRPr="001565DC">
        <w:t xml:space="preserve">ISSN </w:t>
      </w:r>
      <w:r w:rsidR="007B48B3" w:rsidRPr="007B48B3">
        <w:t>0155</w:t>
      </w:r>
      <w:r w:rsidR="00065800">
        <w:noBreakHyphen/>
      </w:r>
      <w:r w:rsidR="007B48B3" w:rsidRPr="007B48B3">
        <w:t xml:space="preserve">0802 </w:t>
      </w:r>
      <w:r>
        <w:t>(print)</w:t>
      </w:r>
    </w:p>
    <w:p w14:paraId="57447000" w14:textId="7841983D" w:rsidR="00D70D81" w:rsidRDefault="00D70D81" w:rsidP="00D70D81">
      <w:pPr>
        <w:spacing w:after="120"/>
      </w:pPr>
      <w:r w:rsidRPr="001565DC">
        <w:t>ISSN</w:t>
      </w:r>
      <w:r>
        <w:t xml:space="preserve"> </w:t>
      </w:r>
      <w:r w:rsidR="007B48B3" w:rsidRPr="007B48B3">
        <w:t>2204</w:t>
      </w:r>
      <w:r w:rsidR="00065800">
        <w:noBreakHyphen/>
      </w:r>
      <w:r w:rsidR="007B48B3" w:rsidRPr="007B48B3">
        <w:t>0927</w:t>
      </w:r>
      <w:r>
        <w:t xml:space="preserve"> (</w:t>
      </w:r>
      <w:r w:rsidR="007B48B3">
        <w:t>online</w:t>
      </w:r>
      <w:r>
        <w:t>)</w:t>
      </w:r>
    </w:p>
    <w:p w14:paraId="3B110BEE" w14:textId="77777777" w:rsidR="00D70D81" w:rsidRPr="00464A16" w:rsidRDefault="00D70D81" w:rsidP="00D70D81">
      <w:pPr>
        <w:spacing w:after="120"/>
      </w:pPr>
    </w:p>
    <w:p w14:paraId="48142375" w14:textId="0A769CB8" w:rsidR="00D70D81" w:rsidRPr="00086F82" w:rsidRDefault="00D70D81" w:rsidP="00D70D81">
      <w:pPr>
        <w:tabs>
          <w:tab w:val="left" w:pos="1650"/>
        </w:tabs>
        <w:spacing w:before="120" w:after="100" w:afterAutospacing="1"/>
        <w:rPr>
          <w:rStyle w:val="A5"/>
          <w:rFonts w:cstheme="minorBidi"/>
          <w:sz w:val="24"/>
          <w:szCs w:val="24"/>
        </w:rPr>
      </w:pPr>
      <w:r w:rsidRPr="002F1BC2">
        <w:t>This publication is available for your use under a</w:t>
      </w:r>
      <w:r w:rsidRPr="00476F09">
        <w:rPr>
          <w:rStyle w:val="A5"/>
          <w:rFonts w:cstheme="minorHAnsi"/>
          <w:sz w:val="24"/>
          <w:szCs w:val="24"/>
        </w:rPr>
        <w:t xml:space="preserve"> </w:t>
      </w:r>
      <w:hyperlink r:id="rId16" w:history="1">
        <w:r w:rsidRPr="006627B4">
          <w:rPr>
            <w:rStyle w:val="Hyperlink"/>
            <w:rFonts w:eastAsia="Batang"/>
          </w:rPr>
          <w:t>Creative Commons Attribution 3.0 Australia</w:t>
        </w:r>
      </w:hyperlink>
      <w:r w:rsidRPr="00476F09">
        <w:rPr>
          <w:rStyle w:val="A5"/>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Style w:val="A5"/>
          <w:rFonts w:cstheme="minorHAnsi"/>
          <w:sz w:val="24"/>
          <w:szCs w:val="24"/>
        </w:rPr>
        <w:t xml:space="preserve"> </w:t>
      </w:r>
      <w:hyperlink r:id="rId17" w:history="1">
        <w:r w:rsidRPr="006627B4">
          <w:rPr>
            <w:rStyle w:val="Hyperlink"/>
            <w:rFonts w:eastAsia="Batang"/>
          </w:rPr>
          <w:t>http://creativecommons.org/licenses/by/3.0/au/legalcode</w:t>
        </w:r>
      </w:hyperlink>
      <w:r w:rsidRPr="006627B4">
        <w:rPr>
          <w:rStyle w:val="Hyperlink"/>
          <w:rFonts w:eastAsia="Batang"/>
        </w:rPr>
        <w:t>.</w:t>
      </w:r>
      <w:r w:rsidRPr="00D06A21">
        <w:rPr>
          <w:sz w:val="24"/>
          <w:szCs w:val="24"/>
        </w:rPr>
        <w:t xml:space="preserve"> </w:t>
      </w:r>
    </w:p>
    <w:p w14:paraId="47A126D5" w14:textId="77777777" w:rsidR="00D70D81" w:rsidRDefault="00D70D81" w:rsidP="00D70D81">
      <w:pPr>
        <w:tabs>
          <w:tab w:val="left" w:pos="1650"/>
        </w:tabs>
        <w:spacing w:before="100" w:beforeAutospacing="1" w:after="100" w:afterAutospacing="1" w:line="240" w:lineRule="auto"/>
        <w:rPr>
          <w:rFonts w:cstheme="minorHAnsi"/>
          <w:sz w:val="24"/>
          <w:szCs w:val="24"/>
        </w:rPr>
      </w:pPr>
      <w:r w:rsidRPr="00E56DFB">
        <w:rPr>
          <w:rFonts w:cstheme="minorHAnsi"/>
          <w:noProof/>
          <w:sz w:val="24"/>
          <w:szCs w:val="24"/>
        </w:rPr>
        <w:drawing>
          <wp:inline distT="0" distB="0" distL="0" distR="0" wp14:anchorId="7DD0E9CC" wp14:editId="52A62E3F">
            <wp:extent cx="809625" cy="285750"/>
            <wp:effectExtent l="19050" t="0" r="9525" b="0"/>
            <wp:docPr id="6"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0C5B965E" w14:textId="77777777" w:rsidR="00D70D81" w:rsidRPr="006627B4" w:rsidRDefault="00D70D81" w:rsidP="00D70D81">
      <w:pPr>
        <w:tabs>
          <w:tab w:val="left" w:pos="1650"/>
        </w:tabs>
        <w:spacing w:before="100" w:beforeAutospacing="1" w:after="120"/>
      </w:pPr>
      <w:r w:rsidRPr="006627B4">
        <w:t>Use of Treasury material under a</w:t>
      </w:r>
      <w:r w:rsidRPr="00476F09">
        <w:rPr>
          <w:rFonts w:cstheme="minorHAnsi"/>
          <w:sz w:val="24"/>
          <w:szCs w:val="24"/>
        </w:rPr>
        <w:t xml:space="preserve"> </w:t>
      </w:r>
      <w:hyperlink r:id="rId19" w:history="1">
        <w:r w:rsidRPr="002F1BC2">
          <w:rPr>
            <w:rStyle w:val="Hyperlink"/>
            <w:rFonts w:eastAsia="Batang"/>
          </w:rPr>
          <w:t>Creative Commons Attribution 3.0 Australia</w:t>
        </w:r>
      </w:hyperlink>
      <w:r w:rsidRPr="002F1BC2">
        <w:rPr>
          <w:rStyle w:val="Hyperlink"/>
          <w:rFonts w:eastAsia="Batang"/>
        </w:rPr>
        <w:t xml:space="preserve"> </w:t>
      </w:r>
      <w:r w:rsidRPr="006627B4">
        <w:t xml:space="preserve">licence requires you to attribute the work (but not in any way that suggests that the Treasury endorses you or your use of the work). </w:t>
      </w:r>
    </w:p>
    <w:p w14:paraId="30A45796" w14:textId="1F1958A9" w:rsidR="00D70D81" w:rsidRPr="007B48B3" w:rsidRDefault="00D70D81" w:rsidP="007B48B3">
      <w:pPr>
        <w:spacing w:after="0"/>
        <w:rPr>
          <w:b/>
        </w:rPr>
      </w:pPr>
      <w:r w:rsidRPr="007B48B3">
        <w:rPr>
          <w:b/>
        </w:rPr>
        <w:t xml:space="preserve">Treasury material used </w:t>
      </w:r>
      <w:r w:rsidR="00065800">
        <w:rPr>
          <w:b/>
        </w:rPr>
        <w:t>‘</w:t>
      </w:r>
      <w:r w:rsidRPr="007B48B3">
        <w:rPr>
          <w:b/>
        </w:rPr>
        <w:t>as supplied</w:t>
      </w:r>
      <w:r w:rsidR="00065800">
        <w:rPr>
          <w:b/>
        </w:rPr>
        <w:t>’</w:t>
      </w:r>
    </w:p>
    <w:p w14:paraId="2BC0DB41" w14:textId="77777777" w:rsidR="00D70D81" w:rsidRPr="00476F09" w:rsidRDefault="00D70D81" w:rsidP="00D70D81">
      <w:pPr>
        <w:spacing w:after="12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w:t>
      </w:r>
      <w:r w:rsidRPr="00476F09">
        <w:t>–</w:t>
      </w:r>
      <w:r>
        <w:t xml:space="preserve"> then Treasury prefers t</w:t>
      </w:r>
      <w:r w:rsidRPr="00476F09">
        <w:t xml:space="preserve">he following attribution: </w:t>
      </w:r>
    </w:p>
    <w:p w14:paraId="20A80436" w14:textId="4E3DA852" w:rsidR="00D70D81" w:rsidRPr="00A13A11" w:rsidRDefault="00D70D81" w:rsidP="00D70D81">
      <w:pPr>
        <w:spacing w:after="120"/>
        <w:ind w:firstLine="720"/>
      </w:pPr>
      <w:r w:rsidRPr="002F1BC2">
        <w:rPr>
          <w:i/>
        </w:rPr>
        <w:t xml:space="preserve">Source: The </w:t>
      </w:r>
      <w:r w:rsidRPr="002F1BC2">
        <w:rPr>
          <w:i/>
          <w:iCs/>
        </w:rPr>
        <w:t>Australian Government the Treasury</w:t>
      </w:r>
    </w:p>
    <w:p w14:paraId="68B65CEA" w14:textId="77777777" w:rsidR="00D70D81" w:rsidRPr="009A27F8" w:rsidRDefault="00D70D81" w:rsidP="00D70D81">
      <w:pPr>
        <w:spacing w:after="0"/>
        <w:rPr>
          <w:b/>
        </w:rPr>
      </w:pPr>
      <w:r w:rsidRPr="009A27F8">
        <w:rPr>
          <w:b/>
        </w:rPr>
        <w:t>Derivative material</w:t>
      </w:r>
    </w:p>
    <w:p w14:paraId="371759EB" w14:textId="77777777" w:rsidR="00D70D81" w:rsidRPr="006627B4" w:rsidRDefault="00D70D81" w:rsidP="00D70D81">
      <w:pPr>
        <w:spacing w:after="120"/>
      </w:pPr>
      <w:r w:rsidRPr="006627B4">
        <w:t xml:space="preserve">If you have modified or transformed Treasury material, or derived new material from those of the Treasury in any way, then Treasury prefers the following attribution: </w:t>
      </w:r>
    </w:p>
    <w:p w14:paraId="15E16F34" w14:textId="4B1331D0" w:rsidR="00D70D81" w:rsidRPr="000A7005" w:rsidRDefault="00D70D81" w:rsidP="00D70D81">
      <w:pPr>
        <w:spacing w:after="120"/>
        <w:ind w:firstLine="720"/>
        <w:rPr>
          <w:spacing w:val="-16"/>
        </w:rPr>
      </w:pPr>
      <w:r w:rsidRPr="002F1BC2">
        <w:rPr>
          <w:i/>
        </w:rPr>
        <w:t>Based on The Australian Government the Treasury data</w:t>
      </w:r>
      <w:r w:rsidRPr="006627B4">
        <w:t xml:space="preserve"> </w:t>
      </w:r>
    </w:p>
    <w:p w14:paraId="0473E7C6" w14:textId="77777777" w:rsidR="00D70D81" w:rsidRPr="006627B4" w:rsidRDefault="00D70D81" w:rsidP="00D70D81">
      <w:pPr>
        <w:spacing w:after="0"/>
        <w:rPr>
          <w:b/>
        </w:rPr>
      </w:pPr>
      <w:r w:rsidRPr="006627B4">
        <w:rPr>
          <w:b/>
        </w:rPr>
        <w:t>Use of the Coat of Arms</w:t>
      </w:r>
    </w:p>
    <w:p w14:paraId="6D8F4E26" w14:textId="7E80C215" w:rsidR="00D70D81" w:rsidRPr="006627B4" w:rsidRDefault="00D70D81" w:rsidP="00D70D81">
      <w:pPr>
        <w:spacing w:after="120"/>
      </w:pPr>
      <w:r w:rsidRPr="009835F7">
        <w:t xml:space="preserve">The terms under which the Coat of Arms can be used are set out on the </w:t>
      </w:r>
      <w:r w:rsidR="00BF64DA">
        <w:br/>
      </w:r>
      <w:r w:rsidRPr="009835F7">
        <w:t xml:space="preserve">Department of the Prime Minister and Cabinet website (see </w:t>
      </w:r>
      <w:hyperlink r:id="rId20" w:history="1">
        <w:r w:rsidR="00BF64DA" w:rsidRPr="005D4A42">
          <w:rPr>
            <w:rStyle w:val="Hyperlink"/>
          </w:rPr>
          <w:t>www.pmc.gov.au/government/commonwealth</w:t>
        </w:r>
        <w:r w:rsidR="00BF64DA" w:rsidRPr="005D4A42">
          <w:rPr>
            <w:rStyle w:val="Hyperlink"/>
          </w:rPr>
          <w:noBreakHyphen/>
          <w:t>coat</w:t>
        </w:r>
        <w:r w:rsidR="00BF64DA" w:rsidRPr="005D4A42">
          <w:rPr>
            <w:rStyle w:val="Hyperlink"/>
          </w:rPr>
          <w:noBreakHyphen/>
          <w:t>arms</w:t>
        </w:r>
      </w:hyperlink>
      <w:r w:rsidRPr="009835F7">
        <w:t>).</w:t>
      </w:r>
    </w:p>
    <w:p w14:paraId="2DB602FD" w14:textId="77777777" w:rsidR="00D70D81" w:rsidRPr="006627B4" w:rsidRDefault="00D70D81" w:rsidP="00D70D81">
      <w:pPr>
        <w:spacing w:after="0"/>
        <w:rPr>
          <w:b/>
        </w:rPr>
      </w:pPr>
      <w:r w:rsidRPr="006627B4">
        <w:rPr>
          <w:b/>
        </w:rPr>
        <w:t>Other Uses</w:t>
      </w:r>
    </w:p>
    <w:p w14:paraId="3A9D6F10" w14:textId="77777777" w:rsidR="00D70D81" w:rsidRPr="006627B4" w:rsidRDefault="00D70D81" w:rsidP="00D70D81">
      <w:pPr>
        <w:spacing w:after="120"/>
      </w:pPr>
      <w:r w:rsidRPr="006627B4">
        <w:t>Inquiries regarding this licence and any other use of this document are welcome at:</w:t>
      </w:r>
    </w:p>
    <w:p w14:paraId="44BA99C5" w14:textId="77777777" w:rsidR="00D70D81" w:rsidRPr="006627B4" w:rsidRDefault="00D70D81" w:rsidP="00D70D81">
      <w:pPr>
        <w:spacing w:after="0"/>
      </w:pPr>
      <w:r w:rsidRPr="006627B4">
        <w:t>Manager</w:t>
      </w:r>
    </w:p>
    <w:p w14:paraId="45A9F60E" w14:textId="77777777" w:rsidR="00D70D81" w:rsidRPr="006627B4" w:rsidRDefault="00D70D81" w:rsidP="00D70D81">
      <w:pPr>
        <w:spacing w:after="0"/>
      </w:pPr>
      <w:r w:rsidRPr="006627B4">
        <w:t xml:space="preserve">Communications </w:t>
      </w:r>
    </w:p>
    <w:p w14:paraId="2451489C" w14:textId="77777777" w:rsidR="00D70D81" w:rsidRPr="006627B4" w:rsidRDefault="00D70D81" w:rsidP="00D70D81">
      <w:pPr>
        <w:spacing w:after="0"/>
      </w:pPr>
      <w:r w:rsidRPr="006627B4">
        <w:t>The Treasury</w:t>
      </w:r>
    </w:p>
    <w:p w14:paraId="5D5B5420" w14:textId="77777777" w:rsidR="00D70D81" w:rsidRPr="006627B4" w:rsidRDefault="00D70D81" w:rsidP="00D70D81">
      <w:pPr>
        <w:spacing w:after="0"/>
      </w:pPr>
      <w:r w:rsidRPr="006627B4">
        <w:t>Langton Crescent Parkes ACT 2600</w:t>
      </w:r>
    </w:p>
    <w:p w14:paraId="13B72618" w14:textId="76B55F4B" w:rsidR="00D70D81" w:rsidRDefault="00D70D81" w:rsidP="00D70D81">
      <w:pPr>
        <w:spacing w:after="0"/>
        <w:rPr>
          <w:rStyle w:val="Hyperlink"/>
          <w:rFonts w:eastAsia="Batang"/>
        </w:rPr>
      </w:pPr>
      <w:r w:rsidRPr="006627B4">
        <w:t xml:space="preserve">Email: </w:t>
      </w:r>
      <w:hyperlink r:id="rId21" w:history="1">
        <w:r w:rsidRPr="000951A5">
          <w:rPr>
            <w:rStyle w:val="Hyperlink"/>
            <w:rFonts w:eastAsia="Batang"/>
          </w:rPr>
          <w:t>media@treasury.gov.au</w:t>
        </w:r>
      </w:hyperlink>
      <w:r w:rsidRPr="002F1BC2">
        <w:rPr>
          <w:rStyle w:val="Hyperlink"/>
          <w:rFonts w:eastAsia="Batang"/>
        </w:rPr>
        <w:t xml:space="preserve"> </w:t>
      </w:r>
      <w:r>
        <w:rPr>
          <w:rStyle w:val="Hyperlink"/>
          <w:rFonts w:eastAsia="Batang"/>
        </w:rPr>
        <w:t xml:space="preserve">  </w:t>
      </w:r>
    </w:p>
    <w:p w14:paraId="2715B702" w14:textId="071A9DD3" w:rsidR="00DD3FC6" w:rsidRDefault="00DD3FC6" w:rsidP="00D70D81">
      <w:pPr>
        <w:spacing w:after="0"/>
        <w:rPr>
          <w:rStyle w:val="Hyperlink"/>
          <w:rFonts w:eastAsia="Batang"/>
        </w:rPr>
      </w:pPr>
    </w:p>
    <w:p w14:paraId="6AA9593A" w14:textId="5AC03AEE" w:rsidR="00D70D81" w:rsidRDefault="00DD3FC6" w:rsidP="000253FC">
      <w:pPr>
        <w:spacing w:after="0"/>
        <w:sectPr w:rsidR="00D70D81">
          <w:headerReference w:type="even" r:id="rId22"/>
          <w:headerReference w:type="default" r:id="rId23"/>
          <w:footerReference w:type="even" r:id="rId24"/>
          <w:footerReference w:type="default" r:id="rId25"/>
          <w:headerReference w:type="first" r:id="rId26"/>
          <w:footerReference w:type="first" r:id="rId27"/>
          <w:pgSz w:w="11906" w:h="16838" w:code="9"/>
          <w:pgMar w:top="2466" w:right="2098" w:bottom="2466" w:left="2098" w:header="1899" w:footer="1899" w:gutter="0"/>
          <w:cols w:space="708"/>
          <w:titlePg/>
          <w:docGrid w:linePitch="360"/>
        </w:sectPr>
      </w:pPr>
      <w:r w:rsidRPr="00A42FAB">
        <w:rPr>
          <w:color w:val="auto"/>
        </w:rPr>
        <w:t>A copy of this document appears on the Foreign Investment Review Board website at</w:t>
      </w:r>
      <w:r w:rsidR="0074486D">
        <w:rPr>
          <w:color w:val="auto"/>
        </w:rPr>
        <w:t xml:space="preserve">: </w:t>
      </w:r>
      <w:hyperlink r:id="rId28" w:history="1">
        <w:r w:rsidR="0074486D" w:rsidRPr="000927E2">
          <w:rPr>
            <w:rStyle w:val="Hyperlink"/>
          </w:rPr>
          <w:t>www.firb.gov.au</w:t>
        </w:r>
      </w:hyperlink>
    </w:p>
    <w:p w14:paraId="32BD9818" w14:textId="2A009E15" w:rsidR="00375543" w:rsidRPr="00A84283" w:rsidRDefault="00B55B49" w:rsidP="00375543">
      <w:pPr>
        <w:jc w:val="right"/>
        <w:rPr>
          <w:b/>
          <w:color w:val="auto"/>
        </w:rPr>
      </w:pPr>
      <w:r w:rsidRPr="00B55B49">
        <w:lastRenderedPageBreak/>
        <w:t xml:space="preserve">4 </w:t>
      </w:r>
      <w:r w:rsidR="00BF51F4">
        <w:t>April</w:t>
      </w:r>
      <w:r w:rsidR="00375543" w:rsidRPr="00B55B49">
        <w:t xml:space="preserve"> 202</w:t>
      </w:r>
      <w:r w:rsidR="00EA1AD5" w:rsidRPr="00B55B49">
        <w:t>2</w:t>
      </w:r>
    </w:p>
    <w:p w14:paraId="2E80998D" w14:textId="77777777" w:rsidR="00375543" w:rsidRPr="00A84283" w:rsidRDefault="00375543" w:rsidP="00375543">
      <w:pPr>
        <w:jc w:val="left"/>
      </w:pPr>
      <w:r w:rsidRPr="00A84283">
        <w:t>The Hon Josh Frydenberg MP</w:t>
      </w:r>
      <w:r>
        <w:br/>
      </w:r>
      <w:r w:rsidRPr="00A84283">
        <w:t>Treasurer</w:t>
      </w:r>
      <w:r>
        <w:br/>
      </w:r>
      <w:r w:rsidRPr="00A84283">
        <w:t>Parliament House</w:t>
      </w:r>
      <w:r>
        <w:br/>
      </w:r>
      <w:r w:rsidRPr="00A84283">
        <w:t xml:space="preserve">CANBERRA </w:t>
      </w:r>
      <w:r>
        <w:t xml:space="preserve"> </w:t>
      </w:r>
      <w:r w:rsidRPr="00A84283">
        <w:t>ACT</w:t>
      </w:r>
      <w:r>
        <w:t xml:space="preserve"> </w:t>
      </w:r>
      <w:r w:rsidRPr="00A84283">
        <w:t xml:space="preserve"> 2600</w:t>
      </w:r>
    </w:p>
    <w:p w14:paraId="168F7EFB" w14:textId="77777777" w:rsidR="00375543" w:rsidRPr="00FD1756" w:rsidRDefault="00375543" w:rsidP="00375543">
      <w:r w:rsidRPr="00FD1756">
        <w:t xml:space="preserve">Dear Treasurer </w:t>
      </w:r>
    </w:p>
    <w:p w14:paraId="4C7CC49D" w14:textId="1F9BAB86" w:rsidR="003A436C" w:rsidRPr="00FD1756" w:rsidRDefault="00FD1756" w:rsidP="00787EA9">
      <w:pPr>
        <w:tabs>
          <w:tab w:val="left" w:pos="6229"/>
        </w:tabs>
        <w:rPr>
          <w:highlight w:val="yellow"/>
        </w:rPr>
      </w:pPr>
      <w:r w:rsidRPr="00FD1756">
        <w:rPr>
          <w:rFonts w:cstheme="minorHAnsi"/>
        </w:rPr>
        <w:t>It is my pleasure to present to you the Annual Report of the Foreign Investment Review Board (the Board) for the year ending 30 June 2021. The report has been prepared in accordance with the Board</w:t>
      </w:r>
      <w:r w:rsidR="00065800">
        <w:rPr>
          <w:rFonts w:cstheme="minorHAnsi"/>
        </w:rPr>
        <w:t>’</w:t>
      </w:r>
      <w:r w:rsidRPr="00FD1756">
        <w:rPr>
          <w:rFonts w:cstheme="minorHAnsi"/>
        </w:rPr>
        <w:t>s responsibilities to advise the Government on foreign investment matters.</w:t>
      </w:r>
    </w:p>
    <w:p w14:paraId="0F900A3D" w14:textId="663D19C7" w:rsidR="00103122" w:rsidRDefault="002C2032" w:rsidP="00103122">
      <w:r w:rsidRPr="00D8074D">
        <w:t xml:space="preserve">The </w:t>
      </w:r>
      <w:r w:rsidR="00D76ED2">
        <w:t>2020</w:t>
      </w:r>
      <w:r w:rsidR="00D76ED2">
        <w:noBreakHyphen/>
        <w:t>21</w:t>
      </w:r>
      <w:r w:rsidR="00103122" w:rsidRPr="00D8074D">
        <w:t xml:space="preserve"> </w:t>
      </w:r>
      <w:r w:rsidRPr="00D8074D">
        <w:t xml:space="preserve">reporting period </w:t>
      </w:r>
      <w:r w:rsidR="00103122" w:rsidRPr="00D8074D">
        <w:t xml:space="preserve">saw the implementation of </w:t>
      </w:r>
      <w:r w:rsidR="0099031F">
        <w:t xml:space="preserve">the most </w:t>
      </w:r>
      <w:r w:rsidR="00103122" w:rsidRPr="00D8074D">
        <w:t xml:space="preserve">significant reforms to the </w:t>
      </w:r>
      <w:r w:rsidR="00103122" w:rsidRPr="00D8074D">
        <w:rPr>
          <w:i/>
          <w:iCs/>
        </w:rPr>
        <w:t>Foreign Acquisition and Takeover Act 1975</w:t>
      </w:r>
      <w:r w:rsidR="0099031F">
        <w:t xml:space="preserve"> since its inception</w:t>
      </w:r>
      <w:r w:rsidR="00103122" w:rsidRPr="00D8074D">
        <w:t xml:space="preserve">. </w:t>
      </w:r>
      <w:r w:rsidRPr="00D8074D">
        <w:t>The reforms, which commenced on 1 January 2021,</w:t>
      </w:r>
      <w:r w:rsidR="00103122" w:rsidRPr="00D8074D">
        <w:t xml:space="preserve"> ensure </w:t>
      </w:r>
      <w:r w:rsidR="00031F80">
        <w:t xml:space="preserve">the </w:t>
      </w:r>
      <w:r w:rsidR="00103122" w:rsidRPr="00D8074D">
        <w:t>foreign investment framework keeps pace with emerging risks and global developments</w:t>
      </w:r>
      <w:r w:rsidRPr="00D8074D">
        <w:t xml:space="preserve"> as well as strengthen</w:t>
      </w:r>
      <w:r w:rsidR="00E72A46">
        <w:t>s</w:t>
      </w:r>
      <w:r w:rsidR="00103122" w:rsidRPr="00D8074D">
        <w:t xml:space="preserve"> Australia</w:t>
      </w:r>
      <w:r w:rsidR="00065800">
        <w:t>’</w:t>
      </w:r>
      <w:r w:rsidR="00103122" w:rsidRPr="00D8074D">
        <w:t xml:space="preserve">s foreign investment regime </w:t>
      </w:r>
      <w:r w:rsidRPr="00D8074D">
        <w:t>to</w:t>
      </w:r>
      <w:r w:rsidR="00103122" w:rsidRPr="00D8074D">
        <w:t xml:space="preserve"> ensure </w:t>
      </w:r>
      <w:r w:rsidR="00031F80">
        <w:t>Australia</w:t>
      </w:r>
      <w:r w:rsidR="00031F80" w:rsidRPr="00D8074D">
        <w:t xml:space="preserve"> </w:t>
      </w:r>
      <w:r w:rsidR="00103122" w:rsidRPr="00D8074D">
        <w:t>continue</w:t>
      </w:r>
      <w:r w:rsidR="00031F80">
        <w:t>s</w:t>
      </w:r>
      <w:r w:rsidR="00103122" w:rsidRPr="00D8074D">
        <w:t xml:space="preserve"> to realise the benefits of foreign investment.</w:t>
      </w:r>
    </w:p>
    <w:p w14:paraId="35692C4A" w14:textId="7B21CB9E" w:rsidR="001E328B" w:rsidRDefault="001E328B" w:rsidP="001E328B">
      <w:pPr>
        <w:pStyle w:val="Bullet"/>
        <w:numPr>
          <w:ilvl w:val="0"/>
          <w:numId w:val="0"/>
        </w:numPr>
      </w:pPr>
      <w:r>
        <w:t xml:space="preserve">The legislative reforms were a key focus for the Board with the introduction of stronger powers for the Government to protect national security, including through mandatory screening of sensitive investments, the ability to call–in other investments that raise national security concerns, and a last resort power to be used in exceptional circumstances. In addition, the reforms saw the introduction of </w:t>
      </w:r>
      <w:r w:rsidR="00844B67">
        <w:t>new streamlining measures for less</w:t>
      </w:r>
      <w:r w:rsidR="00065800">
        <w:noBreakHyphen/>
      </w:r>
      <w:r w:rsidR="00844B67">
        <w:t xml:space="preserve">sensitive investments, </w:t>
      </w:r>
      <w:r>
        <w:t>new compliance and enforcement powers for the Treasurer and increased foreign investor reporting obligations. The foreign investment compliance framework was updated in December 2020 and framed the Treasury</w:t>
      </w:r>
      <w:r w:rsidR="00065800">
        <w:t>’</w:t>
      </w:r>
      <w:r>
        <w:t xml:space="preserve">s compliance activities. </w:t>
      </w:r>
    </w:p>
    <w:p w14:paraId="5E19B600" w14:textId="1B1EB52A" w:rsidR="00D71ECC" w:rsidRDefault="00D71ECC" w:rsidP="00D71ECC">
      <w:r>
        <w:t>The Board and the Treasury worked closely with investors in the lead up to the 1</w:t>
      </w:r>
      <w:r w:rsidR="00484200">
        <w:t> </w:t>
      </w:r>
      <w:r>
        <w:t>January</w:t>
      </w:r>
      <w:r w:rsidR="00484200">
        <w:t> </w:t>
      </w:r>
      <w:r>
        <w:t>2021 reform implementation</w:t>
      </w:r>
      <w:r w:rsidR="00B93B9B">
        <w:t>, and subsequently,</w:t>
      </w:r>
      <w:r>
        <w:t xml:space="preserve"> to ensure a smooth transition. This included significant consultation with over 2,000 stakeholders, including foreign investors and their advisers, foreign governments, institutional investors, business councils and peak bodies, relevant government agencies and the broader community. </w:t>
      </w:r>
    </w:p>
    <w:p w14:paraId="2833132E" w14:textId="4528711D" w:rsidR="00A17F7E" w:rsidRDefault="00A17F7E" w:rsidP="00103122">
      <w:r>
        <w:t xml:space="preserve">This reporting period </w:t>
      </w:r>
      <w:r w:rsidR="008B1996">
        <w:t>also</w:t>
      </w:r>
      <w:r>
        <w:t xml:space="preserve"> saw the transition out of </w:t>
      </w:r>
      <w:r w:rsidR="0099031F">
        <w:t>the</w:t>
      </w:r>
      <w:r>
        <w:t xml:space="preserve"> temporary zero dollar threshold period on </w:t>
      </w:r>
      <w:r w:rsidR="00F54B6A">
        <w:t>1</w:t>
      </w:r>
      <w:r w:rsidR="00484200">
        <w:t> </w:t>
      </w:r>
      <w:r w:rsidR="00F54B6A">
        <w:t>January</w:t>
      </w:r>
      <w:r w:rsidR="00484200">
        <w:t> </w:t>
      </w:r>
      <w:r w:rsidR="00F54B6A">
        <w:t>2021</w:t>
      </w:r>
      <w:r>
        <w:t xml:space="preserve">. </w:t>
      </w:r>
      <w:r w:rsidR="00F54B6A">
        <w:t>From 29</w:t>
      </w:r>
      <w:r w:rsidR="00484200">
        <w:t> </w:t>
      </w:r>
      <w:r w:rsidR="00F54B6A">
        <w:t xml:space="preserve">March to </w:t>
      </w:r>
      <w:r>
        <w:t>31</w:t>
      </w:r>
      <w:r w:rsidR="00484200">
        <w:t> </w:t>
      </w:r>
      <w:r>
        <w:t>December</w:t>
      </w:r>
      <w:r w:rsidR="00484200">
        <w:t> </w:t>
      </w:r>
      <w:r>
        <w:t>2020</w:t>
      </w:r>
      <w:r w:rsidR="00F54B6A">
        <w:t>,</w:t>
      </w:r>
      <w:r>
        <w:t xml:space="preserve"> all foreign investments regardless of value were screened to ensure government oversight of the sale of Australian businesses during </w:t>
      </w:r>
      <w:r w:rsidR="00776645">
        <w:t>COVID-19</w:t>
      </w:r>
      <w:r>
        <w:t xml:space="preserve">. </w:t>
      </w:r>
      <w:r w:rsidR="004E145E">
        <w:t>Prior to and throughout this</w:t>
      </w:r>
      <w:r w:rsidR="001643B0">
        <w:t xml:space="preserve"> transition, t</w:t>
      </w:r>
      <w:r w:rsidR="00CA7B0F">
        <w:t xml:space="preserve">he Board </w:t>
      </w:r>
      <w:r w:rsidR="00ED5928">
        <w:t xml:space="preserve">and the Treasury </w:t>
      </w:r>
      <w:r w:rsidR="00CA7B0F">
        <w:t xml:space="preserve">engaged </w:t>
      </w:r>
      <w:r w:rsidR="000159A5">
        <w:t xml:space="preserve">closely </w:t>
      </w:r>
      <w:r w:rsidR="00CA7B0F">
        <w:t xml:space="preserve">with stakeholders and focused their communication </w:t>
      </w:r>
      <w:r w:rsidR="006C1591">
        <w:t xml:space="preserve">efforts </w:t>
      </w:r>
      <w:r w:rsidR="00CA7B0F">
        <w:t>on</w:t>
      </w:r>
      <w:r w:rsidR="001643B0">
        <w:t xml:space="preserve"> directing investors to</w:t>
      </w:r>
      <w:r w:rsidR="00CA7B0F">
        <w:t xml:space="preserve"> the updated guidance material available</w:t>
      </w:r>
      <w:r w:rsidR="008B1996">
        <w:t xml:space="preserve"> </w:t>
      </w:r>
      <w:r w:rsidR="001643B0">
        <w:t>on</w:t>
      </w:r>
      <w:r w:rsidR="008B1996">
        <w:t xml:space="preserve"> the Board</w:t>
      </w:r>
      <w:r w:rsidR="00065800">
        <w:t>’</w:t>
      </w:r>
      <w:r w:rsidR="008B1996">
        <w:t>s website</w:t>
      </w:r>
      <w:r w:rsidR="001643B0">
        <w:t>, which provided clear, consistent and readily available information for investors</w:t>
      </w:r>
      <w:r w:rsidR="004E145E">
        <w:t xml:space="preserve"> to understand and navigate these changes</w:t>
      </w:r>
      <w:r w:rsidR="00CA7B0F">
        <w:t xml:space="preserve">. </w:t>
      </w:r>
    </w:p>
    <w:p w14:paraId="705D6D22" w14:textId="73396B76" w:rsidR="00B35236" w:rsidRDefault="00B35236" w:rsidP="00103122">
      <w:pPr>
        <w:rPr>
          <w:color w:val="auto"/>
        </w:rPr>
      </w:pPr>
      <w:r>
        <w:rPr>
          <w:color w:val="auto"/>
        </w:rPr>
        <w:t xml:space="preserve">As </w:t>
      </w:r>
      <w:r w:rsidR="00776645">
        <w:rPr>
          <w:color w:val="auto"/>
        </w:rPr>
        <w:t>COVID-19</w:t>
      </w:r>
      <w:r>
        <w:rPr>
          <w:color w:val="auto"/>
        </w:rPr>
        <w:t xml:space="preserve"> continued to </w:t>
      </w:r>
      <w:r w:rsidR="006832C1">
        <w:rPr>
          <w:color w:val="auto"/>
        </w:rPr>
        <w:t xml:space="preserve">cause economic uncertainty and impact investor confidence, </w:t>
      </w:r>
      <w:r w:rsidR="00554102">
        <w:rPr>
          <w:color w:val="auto"/>
        </w:rPr>
        <w:t>f</w:t>
      </w:r>
      <w:r w:rsidR="006832C1">
        <w:rPr>
          <w:color w:val="auto"/>
        </w:rPr>
        <w:t xml:space="preserve">oreign </w:t>
      </w:r>
      <w:r w:rsidR="00554102">
        <w:rPr>
          <w:color w:val="auto"/>
        </w:rPr>
        <w:t>d</w:t>
      </w:r>
      <w:r w:rsidR="006832C1">
        <w:rPr>
          <w:color w:val="auto"/>
        </w:rPr>
        <w:t xml:space="preserve">irect </w:t>
      </w:r>
      <w:r w:rsidR="00554102">
        <w:rPr>
          <w:color w:val="auto"/>
        </w:rPr>
        <w:t>i</w:t>
      </w:r>
      <w:r w:rsidR="006832C1">
        <w:rPr>
          <w:color w:val="auto"/>
        </w:rPr>
        <w:t xml:space="preserve">nvestment </w:t>
      </w:r>
      <w:r w:rsidR="00554102">
        <w:rPr>
          <w:color w:val="auto"/>
        </w:rPr>
        <w:t xml:space="preserve">inflows </w:t>
      </w:r>
      <w:r w:rsidR="00592D3F">
        <w:rPr>
          <w:color w:val="auto"/>
        </w:rPr>
        <w:t xml:space="preserve">declined </w:t>
      </w:r>
      <w:r w:rsidR="006832C1">
        <w:rPr>
          <w:color w:val="auto"/>
        </w:rPr>
        <w:t>across countries</w:t>
      </w:r>
      <w:r w:rsidR="00ED5928">
        <w:rPr>
          <w:color w:val="auto"/>
        </w:rPr>
        <w:t xml:space="preserve"> comparable with Australia</w:t>
      </w:r>
      <w:r w:rsidR="00592D3F">
        <w:rPr>
          <w:color w:val="auto"/>
        </w:rPr>
        <w:t>. The reporting period saw a decline in the number of proposals</w:t>
      </w:r>
      <w:r w:rsidR="00592D3F" w:rsidDel="00C907E3">
        <w:rPr>
          <w:color w:val="auto"/>
        </w:rPr>
        <w:t xml:space="preserve">, </w:t>
      </w:r>
      <w:r w:rsidR="00592D3F">
        <w:rPr>
          <w:color w:val="auto"/>
        </w:rPr>
        <w:t xml:space="preserve">however, the total </w:t>
      </w:r>
      <w:r w:rsidR="00192E9C">
        <w:rPr>
          <w:color w:val="auto"/>
        </w:rPr>
        <w:t>value</w:t>
      </w:r>
      <w:r w:rsidR="00592D3F">
        <w:rPr>
          <w:color w:val="auto"/>
        </w:rPr>
        <w:t xml:space="preserve"> of approved </w:t>
      </w:r>
      <w:r w:rsidR="00592D3F">
        <w:rPr>
          <w:color w:val="auto"/>
        </w:rPr>
        <w:lastRenderedPageBreak/>
        <w:t>investments increased from $195.5</w:t>
      </w:r>
      <w:r w:rsidR="00484200">
        <w:rPr>
          <w:color w:val="auto"/>
        </w:rPr>
        <w:t> </w:t>
      </w:r>
      <w:r w:rsidR="00A6665C">
        <w:rPr>
          <w:color w:val="auto"/>
        </w:rPr>
        <w:t>billion</w:t>
      </w:r>
      <w:r w:rsidR="00592D3F">
        <w:rPr>
          <w:color w:val="auto"/>
        </w:rPr>
        <w:t xml:space="preserve"> in </w:t>
      </w:r>
      <w:r w:rsidR="00D76ED2">
        <w:rPr>
          <w:color w:val="auto"/>
        </w:rPr>
        <w:t>2019</w:t>
      </w:r>
      <w:r w:rsidR="00D76ED2">
        <w:rPr>
          <w:color w:val="auto"/>
        </w:rPr>
        <w:noBreakHyphen/>
        <w:t>20</w:t>
      </w:r>
      <w:r w:rsidR="00592D3F">
        <w:rPr>
          <w:color w:val="auto"/>
        </w:rPr>
        <w:t xml:space="preserve"> to $233.0</w:t>
      </w:r>
      <w:r w:rsidR="00484200">
        <w:rPr>
          <w:color w:val="auto"/>
        </w:rPr>
        <w:t> </w:t>
      </w:r>
      <w:r w:rsidR="00A6665C">
        <w:rPr>
          <w:color w:val="auto"/>
        </w:rPr>
        <w:t>billion</w:t>
      </w:r>
      <w:r w:rsidR="00592D3F">
        <w:rPr>
          <w:color w:val="auto"/>
        </w:rPr>
        <w:t xml:space="preserve"> in </w:t>
      </w:r>
      <w:r w:rsidR="00D76ED2">
        <w:rPr>
          <w:color w:val="auto"/>
        </w:rPr>
        <w:t>2020</w:t>
      </w:r>
      <w:r w:rsidR="00D76ED2">
        <w:rPr>
          <w:color w:val="auto"/>
        </w:rPr>
        <w:noBreakHyphen/>
        <w:t>21</w:t>
      </w:r>
      <w:r w:rsidR="00592D3F">
        <w:rPr>
          <w:color w:val="auto"/>
        </w:rPr>
        <w:t xml:space="preserve">. The Board participated in a range of </w:t>
      </w:r>
      <w:r w:rsidR="00983B12">
        <w:rPr>
          <w:color w:val="auto"/>
        </w:rPr>
        <w:t>outreach activities with investors and their representatives to encourage two</w:t>
      </w:r>
      <w:r w:rsidR="003E7C79">
        <w:rPr>
          <w:color w:val="auto"/>
        </w:rPr>
        <w:t>–</w:t>
      </w:r>
      <w:r w:rsidR="00983B12">
        <w:rPr>
          <w:color w:val="auto"/>
        </w:rPr>
        <w:t xml:space="preserve">way dialogue and increase information sharing to build confidence during </w:t>
      </w:r>
      <w:r w:rsidR="00E47AC5">
        <w:rPr>
          <w:color w:val="auto"/>
        </w:rPr>
        <w:t>these uncertain times</w:t>
      </w:r>
      <w:r w:rsidR="00983B12">
        <w:rPr>
          <w:color w:val="auto"/>
        </w:rPr>
        <w:t xml:space="preserve"> and provide insights which informed its advice to the Government.</w:t>
      </w:r>
    </w:p>
    <w:p w14:paraId="1A344165" w14:textId="289B0012" w:rsidR="00A3242A" w:rsidRPr="00FD1756" w:rsidRDefault="00B26BAD" w:rsidP="00787EA9">
      <w:pPr>
        <w:tabs>
          <w:tab w:val="left" w:pos="6229"/>
        </w:tabs>
        <w:rPr>
          <w:highlight w:val="yellow"/>
        </w:rPr>
      </w:pPr>
      <w:r w:rsidRPr="00B26BAD">
        <w:t xml:space="preserve">As we look towards </w:t>
      </w:r>
      <w:r w:rsidR="008B3324">
        <w:t>the</w:t>
      </w:r>
      <w:r w:rsidRPr="00B26BAD">
        <w:t xml:space="preserve"> future</w:t>
      </w:r>
      <w:r>
        <w:t>, the Board continues to support</w:t>
      </w:r>
      <w:r w:rsidR="005E23A0">
        <w:t xml:space="preserve"> Australia</w:t>
      </w:r>
      <w:r w:rsidR="00065800">
        <w:t>’</w:t>
      </w:r>
      <w:r w:rsidR="005E23A0">
        <w:t xml:space="preserve">s post </w:t>
      </w:r>
      <w:r w:rsidR="00722DF0">
        <w:br/>
      </w:r>
      <w:r w:rsidRPr="00B26BAD">
        <w:t>COVID</w:t>
      </w:r>
      <w:r w:rsidR="00776645">
        <w:noBreakHyphen/>
      </w:r>
      <w:r w:rsidRPr="00B26BAD">
        <w:t>19 economic recovery</w:t>
      </w:r>
      <w:r w:rsidR="008B3324">
        <w:t xml:space="preserve"> including through </w:t>
      </w:r>
      <w:r w:rsidR="0072248F">
        <w:t>encouraging a</w:t>
      </w:r>
      <w:r w:rsidR="00E11FD9">
        <w:t>n</w:t>
      </w:r>
      <w:r w:rsidR="0072248F">
        <w:t xml:space="preserve"> </w:t>
      </w:r>
      <w:r w:rsidR="00722DF0">
        <w:t>open and ongoing communication</w:t>
      </w:r>
      <w:r w:rsidR="0072248F">
        <w:t xml:space="preserve"> with investors, </w:t>
      </w:r>
      <w:r w:rsidR="008B3324">
        <w:t>this includes</w:t>
      </w:r>
      <w:r w:rsidR="0072248F">
        <w:t xml:space="preserve"> </w:t>
      </w:r>
      <w:r w:rsidR="004E145E">
        <w:t xml:space="preserve">an increase in </w:t>
      </w:r>
      <w:r w:rsidR="005239E8">
        <w:t>f</w:t>
      </w:r>
      <w:r w:rsidR="007F78E4">
        <w:t xml:space="preserve">oreign investment </w:t>
      </w:r>
      <w:r w:rsidR="000E0AF8">
        <w:t xml:space="preserve">inflows across multiple sectors including </w:t>
      </w:r>
      <w:r w:rsidR="004E145E">
        <w:t xml:space="preserve">commercial real estate, </w:t>
      </w:r>
      <w:r w:rsidR="000E0AF8">
        <w:t>manufacturing, gas and electricity</w:t>
      </w:r>
      <w:r w:rsidR="005239E8">
        <w:t xml:space="preserve"> and</w:t>
      </w:r>
      <w:r w:rsidR="000E0AF8">
        <w:t xml:space="preserve"> services</w:t>
      </w:r>
      <w:r w:rsidR="004E145E">
        <w:t xml:space="preserve"> during the reporting period</w:t>
      </w:r>
      <w:r w:rsidR="00065800">
        <w:t xml:space="preserve">. </w:t>
      </w:r>
      <w:r w:rsidR="00C51183">
        <w:t xml:space="preserve"> </w:t>
      </w:r>
    </w:p>
    <w:p w14:paraId="11999374" w14:textId="24431CEF" w:rsidR="00FD1756" w:rsidRDefault="00FD1756" w:rsidP="00787EA9">
      <w:pPr>
        <w:tabs>
          <w:tab w:val="left" w:pos="6229"/>
        </w:tabs>
      </w:pPr>
      <w:r w:rsidRPr="005F4B0D">
        <w:t>I would like to take the opportunity to thank my Board colleagues for their ongoing contribution and commitment.</w:t>
      </w:r>
      <w:r w:rsidRPr="00D115E3">
        <w:t xml:space="preserve"> I </w:t>
      </w:r>
      <w:r w:rsidR="00D115E3" w:rsidRPr="00D115E3">
        <w:t xml:space="preserve">also </w:t>
      </w:r>
      <w:r w:rsidRPr="00D115E3">
        <w:t>thank M</w:t>
      </w:r>
      <w:r w:rsidR="00D115E3" w:rsidRPr="00D115E3">
        <w:t>r</w:t>
      </w:r>
      <w:r w:rsidRPr="00D115E3">
        <w:t> </w:t>
      </w:r>
      <w:r w:rsidR="00D115E3" w:rsidRPr="00D115E3">
        <w:t>David Peever</w:t>
      </w:r>
      <w:r w:rsidRPr="00D115E3">
        <w:t xml:space="preserve">, whose term expired in </w:t>
      </w:r>
      <w:r w:rsidR="00D115E3" w:rsidRPr="00D115E3">
        <w:t>March</w:t>
      </w:r>
      <w:r w:rsidRPr="00D115E3">
        <w:t> 202</w:t>
      </w:r>
      <w:r w:rsidR="00D115E3" w:rsidRPr="00D115E3">
        <w:t>1</w:t>
      </w:r>
      <w:r w:rsidRPr="00D115E3">
        <w:t xml:space="preserve">, for </w:t>
      </w:r>
      <w:r w:rsidR="00D115E3" w:rsidRPr="00D115E3">
        <w:t>his</w:t>
      </w:r>
      <w:r w:rsidRPr="00D115E3">
        <w:t xml:space="preserve"> significant contribution to the administration of foreign investment over a </w:t>
      </w:r>
      <w:r w:rsidRPr="00D115E3" w:rsidDel="00C907E3">
        <w:t>five</w:t>
      </w:r>
      <w:r w:rsidR="003E7C79">
        <w:t>–</w:t>
      </w:r>
      <w:r w:rsidR="00C907E3" w:rsidRPr="00D115E3">
        <w:t>year</w:t>
      </w:r>
      <w:r w:rsidRPr="00D115E3">
        <w:t xml:space="preserve"> period.</w:t>
      </w:r>
    </w:p>
    <w:p w14:paraId="628C3BC1" w14:textId="48136FD3" w:rsidR="007F6B6F" w:rsidRDefault="007F6B6F" w:rsidP="007F6B6F">
      <w:pPr>
        <w:tabs>
          <w:tab w:val="left" w:pos="6229"/>
        </w:tabs>
      </w:pPr>
      <w:r>
        <w:t xml:space="preserve">Finally, I would like to farewell our esteemed Chair, David Irvine, who sadly passed away on 30 March 2022. David led the Board through an increasingly complex foreign investment landscape, the challenges presented by COVID-19, and advising on and implementing the Government’s foreign investment reforms. Not only was David a gracious and decent man, but he was also one of Australia’s most </w:t>
      </w:r>
      <w:r w:rsidR="002F7461">
        <w:t>well-respected</w:t>
      </w:r>
      <w:r>
        <w:t xml:space="preserve"> public servants. The Board will miss his warmth, insights and exceptional leadership. </w:t>
      </w:r>
    </w:p>
    <w:p w14:paraId="38DD4AD5" w14:textId="77777777" w:rsidR="007F6B6F" w:rsidRDefault="007F6B6F" w:rsidP="007F6B6F">
      <w:pPr>
        <w:tabs>
          <w:tab w:val="left" w:pos="6229"/>
        </w:tabs>
      </w:pPr>
      <w:r>
        <w:t>Yours sincerely</w:t>
      </w:r>
    </w:p>
    <w:p w14:paraId="1C8CA08D" w14:textId="6C37AF8F" w:rsidR="007F6B6F" w:rsidRDefault="004F349F" w:rsidP="004F349F">
      <w:pPr>
        <w:tabs>
          <w:tab w:val="left" w:pos="6229"/>
        </w:tabs>
        <w:spacing w:line="240" w:lineRule="auto"/>
      </w:pPr>
      <w:r w:rsidRPr="008D0ED6">
        <w:rPr>
          <w:rFonts w:ascii="Calibri" w:eastAsia="Calibri" w:hAnsi="Calibri"/>
          <w:noProof/>
        </w:rPr>
        <w:drawing>
          <wp:inline distT="0" distB="0" distL="0" distR="0" wp14:anchorId="2F56E428" wp14:editId="141F1A37">
            <wp:extent cx="1905072" cy="792765"/>
            <wp:effectExtent l="0" t="0" r="0" b="762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9" cstate="print">
                      <a:extLst>
                        <a:ext uri="{BEBA8EAE-BF5A-486C-A8C5-ECC9F3942E4B}">
                          <a14:imgProps xmlns:a14="http://schemas.microsoft.com/office/drawing/2010/main">
                            <a14:imgLayer r:embed="rId30">
                              <a14:imgEffect>
                                <a14:saturation sat="400000"/>
                              </a14:imgEffect>
                            </a14:imgLayer>
                          </a14:imgProps>
                        </a:ext>
                      </a:extLst>
                    </a:blip>
                    <a:stretch>
                      <a:fillRect/>
                    </a:stretch>
                  </pic:blipFill>
                  <pic:spPr>
                    <a:xfrm>
                      <a:off x="0" y="0"/>
                      <a:ext cx="1905072" cy="792765"/>
                    </a:xfrm>
                    <a:prstGeom prst="rect">
                      <a:avLst/>
                    </a:prstGeom>
                  </pic:spPr>
                </pic:pic>
              </a:graphicData>
            </a:graphic>
          </wp:inline>
        </w:drawing>
      </w:r>
    </w:p>
    <w:p w14:paraId="1DA8C2F6" w14:textId="40F76104" w:rsidR="007F6B6F" w:rsidRPr="007F6B6F" w:rsidRDefault="007F6B6F" w:rsidP="007F6B6F">
      <w:pPr>
        <w:pStyle w:val="BodyText"/>
        <w:jc w:val="left"/>
        <w:rPr>
          <w:b/>
          <w:bCs/>
          <w:sz w:val="28"/>
          <w:szCs w:val="28"/>
        </w:rPr>
      </w:pPr>
      <w:r w:rsidRPr="007F6B6F">
        <w:rPr>
          <w:b/>
          <w:bCs/>
          <w:sz w:val="28"/>
          <w:szCs w:val="28"/>
        </w:rPr>
        <w:t>THE HON CHERYL EDWARDES AM</w:t>
      </w:r>
      <w:r>
        <w:rPr>
          <w:b/>
          <w:bCs/>
          <w:sz w:val="28"/>
          <w:szCs w:val="28"/>
        </w:rPr>
        <w:br/>
      </w:r>
      <w:r w:rsidRPr="007F6B6F">
        <w:rPr>
          <w:b/>
          <w:bCs/>
          <w:sz w:val="28"/>
          <w:szCs w:val="28"/>
        </w:rPr>
        <w:t>ACTING CHAIR</w:t>
      </w:r>
    </w:p>
    <w:p w14:paraId="2F9C4B51" w14:textId="2D78BD65" w:rsidR="00CC7DB9" w:rsidRPr="00CC7DB9" w:rsidRDefault="00CC7DB9" w:rsidP="00CC7DB9">
      <w:r>
        <w:br w:type="page"/>
      </w:r>
    </w:p>
    <w:sdt>
      <w:sdtPr>
        <w:rPr>
          <w:rFonts w:asciiTheme="minorHAnsi" w:eastAsia="Times New Roman" w:hAnsiTheme="minorHAnsi" w:cs="Times New Roman"/>
          <w:b w:val="0"/>
          <w:bCs w:val="0"/>
          <w:caps w:val="0"/>
          <w:color w:val="000000"/>
          <w:sz w:val="20"/>
          <w:szCs w:val="20"/>
        </w:rPr>
        <w:id w:val="-866059963"/>
        <w:docPartObj>
          <w:docPartGallery w:val="Table of Contents"/>
          <w:docPartUnique/>
        </w:docPartObj>
      </w:sdtPr>
      <w:sdtEndPr>
        <w:rPr>
          <w:noProof/>
        </w:rPr>
      </w:sdtEndPr>
      <w:sdtContent>
        <w:p w14:paraId="680D4BDB" w14:textId="69330AC4" w:rsidR="00834672" w:rsidRDefault="00834672" w:rsidP="00D122D6">
          <w:pPr>
            <w:pStyle w:val="TOCHeading"/>
            <w:numPr>
              <w:ilvl w:val="0"/>
              <w:numId w:val="0"/>
            </w:numPr>
          </w:pPr>
          <w:r>
            <w:t>Table of Contents</w:t>
          </w:r>
        </w:p>
        <w:p w14:paraId="57B1E213" w14:textId="17D971DE" w:rsidR="00834672" w:rsidRDefault="00834672">
          <w:pPr>
            <w:pStyle w:val="TOC1"/>
            <w:rPr>
              <w:rFonts w:asciiTheme="minorHAnsi" w:eastAsiaTheme="minorEastAsia" w:hAnsiTheme="minorHAnsi" w:cstheme="minorBidi"/>
              <w:b w:val="0"/>
              <w:caps w:val="0"/>
              <w:sz w:val="22"/>
            </w:rPr>
          </w:pPr>
          <w:r>
            <w:rPr>
              <w:color w:val="auto"/>
            </w:rPr>
            <w:fldChar w:fldCharType="begin"/>
          </w:r>
          <w:r>
            <w:instrText xml:space="preserve"> TOC \o "1-3" \h \z \u </w:instrText>
          </w:r>
          <w:r>
            <w:rPr>
              <w:color w:val="auto"/>
            </w:rPr>
            <w:fldChar w:fldCharType="separate"/>
          </w:r>
          <w:hyperlink w:anchor="_Toc89872873" w:history="1">
            <w:r w:rsidRPr="00F143CD">
              <w:rPr>
                <w:rStyle w:val="Hyperlink"/>
              </w:rPr>
              <w:t>Executive Summary</w:t>
            </w:r>
            <w:r>
              <w:rPr>
                <w:webHidden/>
              </w:rPr>
              <w:tab/>
            </w:r>
            <w:r>
              <w:rPr>
                <w:webHidden/>
              </w:rPr>
              <w:fldChar w:fldCharType="begin"/>
            </w:r>
            <w:r>
              <w:rPr>
                <w:webHidden/>
              </w:rPr>
              <w:instrText xml:space="preserve"> PAGEREF _Toc89872873 \h </w:instrText>
            </w:r>
            <w:r>
              <w:rPr>
                <w:webHidden/>
              </w:rPr>
            </w:r>
            <w:r>
              <w:rPr>
                <w:webHidden/>
              </w:rPr>
              <w:fldChar w:fldCharType="separate"/>
            </w:r>
            <w:r w:rsidR="0019342F">
              <w:rPr>
                <w:webHidden/>
              </w:rPr>
              <w:t>vii</w:t>
            </w:r>
            <w:r>
              <w:rPr>
                <w:webHidden/>
              </w:rPr>
              <w:fldChar w:fldCharType="end"/>
            </w:r>
          </w:hyperlink>
        </w:p>
        <w:p w14:paraId="5E3AE444" w14:textId="2F91A546" w:rsidR="00834672" w:rsidRDefault="00C2021F">
          <w:pPr>
            <w:pStyle w:val="TOC1"/>
            <w:rPr>
              <w:rFonts w:asciiTheme="minorHAnsi" w:eastAsiaTheme="minorEastAsia" w:hAnsiTheme="minorHAnsi" w:cstheme="minorBidi"/>
              <w:b w:val="0"/>
              <w:caps w:val="0"/>
              <w:sz w:val="22"/>
            </w:rPr>
          </w:pPr>
          <w:hyperlink w:anchor="_Toc89872874" w:history="1">
            <w:r w:rsidR="00834672" w:rsidRPr="00F143CD">
              <w:rPr>
                <w:rStyle w:val="Hyperlink"/>
              </w:rPr>
              <w:t>CHAPTER ONE: THE FOREIGN INVESTMENT REVIEW BOARD</w:t>
            </w:r>
            <w:r w:rsidR="00834672">
              <w:rPr>
                <w:webHidden/>
              </w:rPr>
              <w:tab/>
            </w:r>
            <w:r w:rsidR="00834672">
              <w:rPr>
                <w:webHidden/>
              </w:rPr>
              <w:fldChar w:fldCharType="begin"/>
            </w:r>
            <w:r w:rsidR="00834672">
              <w:rPr>
                <w:webHidden/>
              </w:rPr>
              <w:instrText xml:space="preserve"> PAGEREF _Toc89872874 \h </w:instrText>
            </w:r>
            <w:r w:rsidR="00834672">
              <w:rPr>
                <w:webHidden/>
              </w:rPr>
            </w:r>
            <w:r w:rsidR="00834672">
              <w:rPr>
                <w:webHidden/>
              </w:rPr>
              <w:fldChar w:fldCharType="separate"/>
            </w:r>
            <w:r w:rsidR="0019342F">
              <w:rPr>
                <w:webHidden/>
              </w:rPr>
              <w:t>1</w:t>
            </w:r>
            <w:r w:rsidR="00834672">
              <w:rPr>
                <w:webHidden/>
              </w:rPr>
              <w:fldChar w:fldCharType="end"/>
            </w:r>
          </w:hyperlink>
        </w:p>
        <w:p w14:paraId="1453FE17" w14:textId="6306837D" w:rsidR="00834672" w:rsidRDefault="00C2021F">
          <w:pPr>
            <w:pStyle w:val="TOC2"/>
            <w:rPr>
              <w:rFonts w:asciiTheme="minorHAnsi" w:eastAsiaTheme="minorEastAsia" w:hAnsiTheme="minorHAnsi" w:cstheme="minorBidi"/>
              <w:color w:val="auto"/>
              <w:sz w:val="22"/>
              <w:szCs w:val="22"/>
            </w:rPr>
          </w:pPr>
          <w:hyperlink w:anchor="_Toc89872875" w:history="1">
            <w:r w:rsidR="00834672" w:rsidRPr="00F143CD">
              <w:rPr>
                <w:rStyle w:val="Hyperlink"/>
              </w:rPr>
              <w:t>Board responsibilities</w:t>
            </w:r>
            <w:r w:rsidR="00834672">
              <w:rPr>
                <w:webHidden/>
              </w:rPr>
              <w:tab/>
            </w:r>
            <w:r w:rsidR="00834672">
              <w:rPr>
                <w:webHidden/>
              </w:rPr>
              <w:fldChar w:fldCharType="begin"/>
            </w:r>
            <w:r w:rsidR="00834672">
              <w:rPr>
                <w:webHidden/>
              </w:rPr>
              <w:instrText xml:space="preserve"> PAGEREF _Toc89872875 \h </w:instrText>
            </w:r>
            <w:r w:rsidR="00834672">
              <w:rPr>
                <w:webHidden/>
              </w:rPr>
            </w:r>
            <w:r w:rsidR="00834672">
              <w:rPr>
                <w:webHidden/>
              </w:rPr>
              <w:fldChar w:fldCharType="separate"/>
            </w:r>
            <w:r w:rsidR="0019342F">
              <w:rPr>
                <w:webHidden/>
              </w:rPr>
              <w:t>1</w:t>
            </w:r>
            <w:r w:rsidR="00834672">
              <w:rPr>
                <w:webHidden/>
              </w:rPr>
              <w:fldChar w:fldCharType="end"/>
            </w:r>
          </w:hyperlink>
        </w:p>
        <w:p w14:paraId="754775B8" w14:textId="74C02B02" w:rsidR="00834672" w:rsidRDefault="00C2021F">
          <w:pPr>
            <w:pStyle w:val="TOC2"/>
            <w:rPr>
              <w:rFonts w:asciiTheme="minorHAnsi" w:eastAsiaTheme="minorEastAsia" w:hAnsiTheme="minorHAnsi" w:cstheme="minorBidi"/>
              <w:color w:val="auto"/>
              <w:sz w:val="22"/>
              <w:szCs w:val="22"/>
            </w:rPr>
          </w:pPr>
          <w:hyperlink w:anchor="_Toc89872876" w:history="1">
            <w:r w:rsidR="00834672" w:rsidRPr="00F143CD">
              <w:rPr>
                <w:rStyle w:val="Hyperlink"/>
              </w:rPr>
              <w:t>Board membership</w:t>
            </w:r>
            <w:r w:rsidR="00834672">
              <w:rPr>
                <w:webHidden/>
              </w:rPr>
              <w:tab/>
            </w:r>
            <w:r w:rsidR="00834672">
              <w:rPr>
                <w:webHidden/>
              </w:rPr>
              <w:fldChar w:fldCharType="begin"/>
            </w:r>
            <w:r w:rsidR="00834672">
              <w:rPr>
                <w:webHidden/>
              </w:rPr>
              <w:instrText xml:space="preserve"> PAGEREF _Toc89872876 \h </w:instrText>
            </w:r>
            <w:r w:rsidR="00834672">
              <w:rPr>
                <w:webHidden/>
              </w:rPr>
            </w:r>
            <w:r w:rsidR="00834672">
              <w:rPr>
                <w:webHidden/>
              </w:rPr>
              <w:fldChar w:fldCharType="separate"/>
            </w:r>
            <w:r w:rsidR="0019342F">
              <w:rPr>
                <w:webHidden/>
              </w:rPr>
              <w:t>2</w:t>
            </w:r>
            <w:r w:rsidR="00834672">
              <w:rPr>
                <w:webHidden/>
              </w:rPr>
              <w:fldChar w:fldCharType="end"/>
            </w:r>
          </w:hyperlink>
        </w:p>
        <w:p w14:paraId="517C0AFB" w14:textId="0666ECCD" w:rsidR="00834672" w:rsidRDefault="00C2021F">
          <w:pPr>
            <w:pStyle w:val="TOC2"/>
            <w:rPr>
              <w:rFonts w:asciiTheme="minorHAnsi" w:eastAsiaTheme="minorEastAsia" w:hAnsiTheme="minorHAnsi" w:cstheme="minorBidi"/>
              <w:color w:val="auto"/>
              <w:sz w:val="22"/>
              <w:szCs w:val="22"/>
            </w:rPr>
          </w:pPr>
          <w:hyperlink w:anchor="_Toc89872877" w:history="1">
            <w:r w:rsidR="00834672" w:rsidRPr="00F143CD">
              <w:rPr>
                <w:rStyle w:val="Hyperlink"/>
              </w:rPr>
              <w:t>Public speeches</w:t>
            </w:r>
            <w:r w:rsidR="00834672">
              <w:rPr>
                <w:webHidden/>
              </w:rPr>
              <w:tab/>
            </w:r>
            <w:r w:rsidR="00834672">
              <w:rPr>
                <w:webHidden/>
              </w:rPr>
              <w:fldChar w:fldCharType="begin"/>
            </w:r>
            <w:r w:rsidR="00834672">
              <w:rPr>
                <w:webHidden/>
              </w:rPr>
              <w:instrText xml:space="preserve"> PAGEREF _Toc89872877 \h </w:instrText>
            </w:r>
            <w:r w:rsidR="00834672">
              <w:rPr>
                <w:webHidden/>
              </w:rPr>
            </w:r>
            <w:r w:rsidR="00834672">
              <w:rPr>
                <w:webHidden/>
              </w:rPr>
              <w:fldChar w:fldCharType="separate"/>
            </w:r>
            <w:r w:rsidR="0019342F">
              <w:rPr>
                <w:webHidden/>
              </w:rPr>
              <w:t>7</w:t>
            </w:r>
            <w:r w:rsidR="00834672">
              <w:rPr>
                <w:webHidden/>
              </w:rPr>
              <w:fldChar w:fldCharType="end"/>
            </w:r>
          </w:hyperlink>
        </w:p>
        <w:p w14:paraId="1EBE11D5" w14:textId="019F9591" w:rsidR="00834672" w:rsidRDefault="00C2021F">
          <w:pPr>
            <w:pStyle w:val="TOC2"/>
            <w:rPr>
              <w:rFonts w:asciiTheme="minorHAnsi" w:eastAsiaTheme="minorEastAsia" w:hAnsiTheme="minorHAnsi" w:cstheme="minorBidi"/>
              <w:color w:val="auto"/>
              <w:sz w:val="22"/>
              <w:szCs w:val="22"/>
            </w:rPr>
          </w:pPr>
          <w:hyperlink w:anchor="_Toc89872878" w:history="1">
            <w:r w:rsidR="00834672" w:rsidRPr="00F143CD">
              <w:rPr>
                <w:rStyle w:val="Hyperlink"/>
              </w:rPr>
              <w:t>Stakeholder engagement</w:t>
            </w:r>
            <w:r w:rsidR="00834672">
              <w:rPr>
                <w:webHidden/>
              </w:rPr>
              <w:tab/>
            </w:r>
            <w:r w:rsidR="00834672">
              <w:rPr>
                <w:webHidden/>
              </w:rPr>
              <w:fldChar w:fldCharType="begin"/>
            </w:r>
            <w:r w:rsidR="00834672">
              <w:rPr>
                <w:webHidden/>
              </w:rPr>
              <w:instrText xml:space="preserve"> PAGEREF _Toc89872878 \h </w:instrText>
            </w:r>
            <w:r w:rsidR="00834672">
              <w:rPr>
                <w:webHidden/>
              </w:rPr>
            </w:r>
            <w:r w:rsidR="00834672">
              <w:rPr>
                <w:webHidden/>
              </w:rPr>
              <w:fldChar w:fldCharType="separate"/>
            </w:r>
            <w:r w:rsidR="0019342F">
              <w:rPr>
                <w:webHidden/>
              </w:rPr>
              <w:t>7</w:t>
            </w:r>
            <w:r w:rsidR="00834672">
              <w:rPr>
                <w:webHidden/>
              </w:rPr>
              <w:fldChar w:fldCharType="end"/>
            </w:r>
          </w:hyperlink>
        </w:p>
        <w:p w14:paraId="7CBED943" w14:textId="55F0746F" w:rsidR="00834672" w:rsidRDefault="00C2021F">
          <w:pPr>
            <w:pStyle w:val="TOC2"/>
            <w:rPr>
              <w:rFonts w:asciiTheme="minorHAnsi" w:eastAsiaTheme="minorEastAsia" w:hAnsiTheme="minorHAnsi" w:cstheme="minorBidi"/>
              <w:color w:val="auto"/>
              <w:sz w:val="22"/>
              <w:szCs w:val="22"/>
            </w:rPr>
          </w:pPr>
          <w:hyperlink w:anchor="_Toc89872879" w:history="1">
            <w:r w:rsidR="00834672" w:rsidRPr="00F143CD">
              <w:rPr>
                <w:rStyle w:val="Hyperlink"/>
              </w:rPr>
              <w:t>Operational costs</w:t>
            </w:r>
            <w:r w:rsidR="00834672">
              <w:rPr>
                <w:webHidden/>
              </w:rPr>
              <w:tab/>
            </w:r>
            <w:r w:rsidR="00834672">
              <w:rPr>
                <w:webHidden/>
              </w:rPr>
              <w:fldChar w:fldCharType="begin"/>
            </w:r>
            <w:r w:rsidR="00834672">
              <w:rPr>
                <w:webHidden/>
              </w:rPr>
              <w:instrText xml:space="preserve"> PAGEREF _Toc89872879 \h </w:instrText>
            </w:r>
            <w:r w:rsidR="00834672">
              <w:rPr>
                <w:webHidden/>
              </w:rPr>
            </w:r>
            <w:r w:rsidR="00834672">
              <w:rPr>
                <w:webHidden/>
              </w:rPr>
              <w:fldChar w:fldCharType="separate"/>
            </w:r>
            <w:r w:rsidR="0019342F">
              <w:rPr>
                <w:webHidden/>
              </w:rPr>
              <w:t>10</w:t>
            </w:r>
            <w:r w:rsidR="00834672">
              <w:rPr>
                <w:webHidden/>
              </w:rPr>
              <w:fldChar w:fldCharType="end"/>
            </w:r>
          </w:hyperlink>
        </w:p>
        <w:p w14:paraId="40A1EB15" w14:textId="6260A8C1" w:rsidR="00834672" w:rsidRDefault="00C2021F">
          <w:pPr>
            <w:pStyle w:val="TOC1"/>
            <w:rPr>
              <w:rFonts w:asciiTheme="minorHAnsi" w:eastAsiaTheme="minorEastAsia" w:hAnsiTheme="minorHAnsi" w:cstheme="minorBidi"/>
              <w:b w:val="0"/>
              <w:caps w:val="0"/>
              <w:sz w:val="22"/>
            </w:rPr>
          </w:pPr>
          <w:hyperlink w:anchor="_Toc89872880" w:history="1">
            <w:r w:rsidR="00834672" w:rsidRPr="00F143CD">
              <w:rPr>
                <w:rStyle w:val="Hyperlink"/>
              </w:rPr>
              <w:t>Chapter Two: The Foreign Investment Framework</w:t>
            </w:r>
            <w:r w:rsidR="00834672">
              <w:rPr>
                <w:webHidden/>
              </w:rPr>
              <w:tab/>
            </w:r>
            <w:r w:rsidR="00834672">
              <w:rPr>
                <w:webHidden/>
              </w:rPr>
              <w:fldChar w:fldCharType="begin"/>
            </w:r>
            <w:r w:rsidR="00834672">
              <w:rPr>
                <w:webHidden/>
              </w:rPr>
              <w:instrText xml:space="preserve"> PAGEREF _Toc89872880 \h </w:instrText>
            </w:r>
            <w:r w:rsidR="00834672">
              <w:rPr>
                <w:webHidden/>
              </w:rPr>
            </w:r>
            <w:r w:rsidR="00834672">
              <w:rPr>
                <w:webHidden/>
              </w:rPr>
              <w:fldChar w:fldCharType="separate"/>
            </w:r>
            <w:r w:rsidR="0019342F">
              <w:rPr>
                <w:webHidden/>
              </w:rPr>
              <w:t>11</w:t>
            </w:r>
            <w:r w:rsidR="00834672">
              <w:rPr>
                <w:webHidden/>
              </w:rPr>
              <w:fldChar w:fldCharType="end"/>
            </w:r>
          </w:hyperlink>
        </w:p>
        <w:p w14:paraId="1EC45554" w14:textId="1FDB0C0E" w:rsidR="00834672" w:rsidRDefault="00C2021F">
          <w:pPr>
            <w:pStyle w:val="TOC2"/>
            <w:rPr>
              <w:rFonts w:asciiTheme="minorHAnsi" w:eastAsiaTheme="minorEastAsia" w:hAnsiTheme="minorHAnsi" w:cstheme="minorBidi"/>
              <w:color w:val="auto"/>
              <w:sz w:val="22"/>
              <w:szCs w:val="22"/>
            </w:rPr>
          </w:pPr>
          <w:hyperlink w:anchor="_Toc89872881" w:history="1">
            <w:r w:rsidR="00834672" w:rsidRPr="00F143CD">
              <w:rPr>
                <w:rStyle w:val="Hyperlink"/>
              </w:rPr>
              <w:t>Foreign investment policies and priorities</w:t>
            </w:r>
            <w:r w:rsidR="00834672">
              <w:rPr>
                <w:webHidden/>
              </w:rPr>
              <w:tab/>
            </w:r>
            <w:r w:rsidR="00834672">
              <w:rPr>
                <w:webHidden/>
              </w:rPr>
              <w:fldChar w:fldCharType="begin"/>
            </w:r>
            <w:r w:rsidR="00834672">
              <w:rPr>
                <w:webHidden/>
              </w:rPr>
              <w:instrText xml:space="preserve"> PAGEREF _Toc89872881 \h </w:instrText>
            </w:r>
            <w:r w:rsidR="00834672">
              <w:rPr>
                <w:webHidden/>
              </w:rPr>
            </w:r>
            <w:r w:rsidR="00834672">
              <w:rPr>
                <w:webHidden/>
              </w:rPr>
              <w:fldChar w:fldCharType="separate"/>
            </w:r>
            <w:r w:rsidR="0019342F">
              <w:rPr>
                <w:webHidden/>
              </w:rPr>
              <w:t>11</w:t>
            </w:r>
            <w:r w:rsidR="00834672">
              <w:rPr>
                <w:webHidden/>
              </w:rPr>
              <w:fldChar w:fldCharType="end"/>
            </w:r>
          </w:hyperlink>
        </w:p>
        <w:p w14:paraId="6D0A430A" w14:textId="526ED94B" w:rsidR="00834672" w:rsidRDefault="00C2021F">
          <w:pPr>
            <w:pStyle w:val="TOC2"/>
            <w:rPr>
              <w:rFonts w:asciiTheme="minorHAnsi" w:eastAsiaTheme="minorEastAsia" w:hAnsiTheme="minorHAnsi" w:cstheme="minorBidi"/>
              <w:color w:val="auto"/>
              <w:sz w:val="22"/>
              <w:szCs w:val="22"/>
            </w:rPr>
          </w:pPr>
          <w:hyperlink w:anchor="_Toc89872882" w:history="1">
            <w:r w:rsidR="00834672" w:rsidRPr="00F143CD">
              <w:rPr>
                <w:rStyle w:val="Hyperlink"/>
              </w:rPr>
              <w:t xml:space="preserve">Key developments in </w:t>
            </w:r>
            <w:r w:rsidR="00D76ED2">
              <w:rPr>
                <w:rStyle w:val="Hyperlink"/>
              </w:rPr>
              <w:t>2020</w:t>
            </w:r>
            <w:r w:rsidR="00D76ED2">
              <w:rPr>
                <w:rStyle w:val="Hyperlink"/>
              </w:rPr>
              <w:noBreakHyphen/>
              <w:t>21</w:t>
            </w:r>
            <w:r w:rsidR="00834672">
              <w:rPr>
                <w:webHidden/>
              </w:rPr>
              <w:tab/>
            </w:r>
            <w:r w:rsidR="00834672">
              <w:rPr>
                <w:webHidden/>
              </w:rPr>
              <w:fldChar w:fldCharType="begin"/>
            </w:r>
            <w:r w:rsidR="00834672">
              <w:rPr>
                <w:webHidden/>
              </w:rPr>
              <w:instrText xml:space="preserve"> PAGEREF _Toc89872882 \h </w:instrText>
            </w:r>
            <w:r w:rsidR="00834672">
              <w:rPr>
                <w:webHidden/>
              </w:rPr>
            </w:r>
            <w:r w:rsidR="00834672">
              <w:rPr>
                <w:webHidden/>
              </w:rPr>
              <w:fldChar w:fldCharType="separate"/>
            </w:r>
            <w:r w:rsidR="0019342F">
              <w:rPr>
                <w:webHidden/>
              </w:rPr>
              <w:t>12</w:t>
            </w:r>
            <w:r w:rsidR="00834672">
              <w:rPr>
                <w:webHidden/>
              </w:rPr>
              <w:fldChar w:fldCharType="end"/>
            </w:r>
          </w:hyperlink>
        </w:p>
        <w:p w14:paraId="3DBADA6F" w14:textId="7B52A6DA" w:rsidR="00834672" w:rsidRDefault="00C2021F">
          <w:pPr>
            <w:pStyle w:val="TOC1"/>
            <w:rPr>
              <w:rFonts w:asciiTheme="minorHAnsi" w:eastAsiaTheme="minorEastAsia" w:hAnsiTheme="minorHAnsi" w:cstheme="minorBidi"/>
              <w:b w:val="0"/>
              <w:caps w:val="0"/>
              <w:sz w:val="22"/>
            </w:rPr>
          </w:pPr>
          <w:hyperlink w:anchor="_Toc89872883" w:history="1">
            <w:r w:rsidR="00834672" w:rsidRPr="00F143CD">
              <w:rPr>
                <w:rStyle w:val="Hyperlink"/>
              </w:rPr>
              <w:t>CHAPTER three: ProposalS OVERVIEW</w:t>
            </w:r>
            <w:r w:rsidR="00834672">
              <w:rPr>
                <w:webHidden/>
              </w:rPr>
              <w:tab/>
            </w:r>
            <w:r w:rsidR="00834672">
              <w:rPr>
                <w:webHidden/>
              </w:rPr>
              <w:fldChar w:fldCharType="begin"/>
            </w:r>
            <w:r w:rsidR="00834672">
              <w:rPr>
                <w:webHidden/>
              </w:rPr>
              <w:instrText xml:space="preserve"> PAGEREF _Toc89872883 \h </w:instrText>
            </w:r>
            <w:r w:rsidR="00834672">
              <w:rPr>
                <w:webHidden/>
              </w:rPr>
            </w:r>
            <w:r w:rsidR="00834672">
              <w:rPr>
                <w:webHidden/>
              </w:rPr>
              <w:fldChar w:fldCharType="separate"/>
            </w:r>
            <w:r w:rsidR="0019342F">
              <w:rPr>
                <w:webHidden/>
              </w:rPr>
              <w:t>17</w:t>
            </w:r>
            <w:r w:rsidR="00834672">
              <w:rPr>
                <w:webHidden/>
              </w:rPr>
              <w:fldChar w:fldCharType="end"/>
            </w:r>
          </w:hyperlink>
        </w:p>
        <w:p w14:paraId="445A9B48" w14:textId="74371EF5" w:rsidR="00834672" w:rsidRDefault="00C2021F">
          <w:pPr>
            <w:pStyle w:val="TOC2"/>
            <w:rPr>
              <w:rFonts w:asciiTheme="minorHAnsi" w:eastAsiaTheme="minorEastAsia" w:hAnsiTheme="minorHAnsi" w:cstheme="minorBidi"/>
              <w:color w:val="auto"/>
              <w:sz w:val="22"/>
              <w:szCs w:val="22"/>
            </w:rPr>
          </w:pPr>
          <w:hyperlink w:anchor="_Toc89872884" w:history="1">
            <w:r w:rsidR="00834672" w:rsidRPr="00F143CD">
              <w:rPr>
                <w:rStyle w:val="Hyperlink"/>
              </w:rPr>
              <w:t xml:space="preserve">Approvals </w:t>
            </w:r>
            <w:r w:rsidR="009A30B1">
              <w:rPr>
                <w:rStyle w:val="Hyperlink"/>
              </w:rPr>
              <w:t>o</w:t>
            </w:r>
            <w:r w:rsidR="00834672" w:rsidRPr="00F143CD">
              <w:rPr>
                <w:rStyle w:val="Hyperlink"/>
              </w:rPr>
              <w:t>verview</w:t>
            </w:r>
            <w:r w:rsidR="00834672">
              <w:rPr>
                <w:webHidden/>
              </w:rPr>
              <w:tab/>
            </w:r>
            <w:r w:rsidR="00834672">
              <w:rPr>
                <w:webHidden/>
              </w:rPr>
              <w:fldChar w:fldCharType="begin"/>
            </w:r>
            <w:r w:rsidR="00834672">
              <w:rPr>
                <w:webHidden/>
              </w:rPr>
              <w:instrText xml:space="preserve"> PAGEREF _Toc89872884 \h </w:instrText>
            </w:r>
            <w:r w:rsidR="00834672">
              <w:rPr>
                <w:webHidden/>
              </w:rPr>
            </w:r>
            <w:r w:rsidR="00834672">
              <w:rPr>
                <w:webHidden/>
              </w:rPr>
              <w:fldChar w:fldCharType="separate"/>
            </w:r>
            <w:r w:rsidR="0019342F">
              <w:rPr>
                <w:webHidden/>
              </w:rPr>
              <w:t>17</w:t>
            </w:r>
            <w:r w:rsidR="00834672">
              <w:rPr>
                <w:webHidden/>
              </w:rPr>
              <w:fldChar w:fldCharType="end"/>
            </w:r>
          </w:hyperlink>
        </w:p>
        <w:p w14:paraId="6303F385" w14:textId="309821F8" w:rsidR="00834672" w:rsidRDefault="00C2021F">
          <w:pPr>
            <w:pStyle w:val="TOC2"/>
            <w:rPr>
              <w:rFonts w:asciiTheme="minorHAnsi" w:eastAsiaTheme="minorEastAsia" w:hAnsiTheme="minorHAnsi" w:cstheme="minorBidi"/>
              <w:color w:val="auto"/>
              <w:sz w:val="22"/>
              <w:szCs w:val="22"/>
            </w:rPr>
          </w:pPr>
          <w:hyperlink w:anchor="_Toc89872885" w:history="1">
            <w:r w:rsidR="00834672" w:rsidRPr="00F143CD">
              <w:rPr>
                <w:rStyle w:val="Hyperlink"/>
              </w:rPr>
              <w:t>Approvals by industry sector</w:t>
            </w:r>
            <w:r w:rsidR="00834672">
              <w:rPr>
                <w:webHidden/>
              </w:rPr>
              <w:tab/>
            </w:r>
            <w:r w:rsidR="00834672">
              <w:rPr>
                <w:webHidden/>
              </w:rPr>
              <w:fldChar w:fldCharType="begin"/>
            </w:r>
            <w:r w:rsidR="00834672">
              <w:rPr>
                <w:webHidden/>
              </w:rPr>
              <w:instrText xml:space="preserve"> PAGEREF _Toc89872885 \h </w:instrText>
            </w:r>
            <w:r w:rsidR="00834672">
              <w:rPr>
                <w:webHidden/>
              </w:rPr>
            </w:r>
            <w:r w:rsidR="00834672">
              <w:rPr>
                <w:webHidden/>
              </w:rPr>
              <w:fldChar w:fldCharType="separate"/>
            </w:r>
            <w:r w:rsidR="0019342F">
              <w:rPr>
                <w:webHidden/>
              </w:rPr>
              <w:t>22</w:t>
            </w:r>
            <w:r w:rsidR="00834672">
              <w:rPr>
                <w:webHidden/>
              </w:rPr>
              <w:fldChar w:fldCharType="end"/>
            </w:r>
          </w:hyperlink>
        </w:p>
        <w:p w14:paraId="29A21168" w14:textId="7DFBEC3F" w:rsidR="00834672" w:rsidRDefault="00C2021F">
          <w:pPr>
            <w:pStyle w:val="TOC2"/>
            <w:rPr>
              <w:rFonts w:asciiTheme="minorHAnsi" w:eastAsiaTheme="minorEastAsia" w:hAnsiTheme="minorHAnsi" w:cstheme="minorBidi"/>
              <w:color w:val="auto"/>
              <w:sz w:val="22"/>
              <w:szCs w:val="22"/>
            </w:rPr>
          </w:pPr>
          <w:hyperlink w:anchor="_Toc89872886" w:history="1">
            <w:r w:rsidR="00834672" w:rsidRPr="00F143CD">
              <w:rPr>
                <w:rStyle w:val="Hyperlink"/>
              </w:rPr>
              <w:t>New business approvals</w:t>
            </w:r>
            <w:r w:rsidR="00834672">
              <w:rPr>
                <w:webHidden/>
              </w:rPr>
              <w:tab/>
            </w:r>
            <w:r w:rsidR="00834672">
              <w:rPr>
                <w:webHidden/>
              </w:rPr>
              <w:fldChar w:fldCharType="begin"/>
            </w:r>
            <w:r w:rsidR="00834672">
              <w:rPr>
                <w:webHidden/>
              </w:rPr>
              <w:instrText xml:space="preserve"> PAGEREF _Toc89872886 \h </w:instrText>
            </w:r>
            <w:r w:rsidR="00834672">
              <w:rPr>
                <w:webHidden/>
              </w:rPr>
            </w:r>
            <w:r w:rsidR="00834672">
              <w:rPr>
                <w:webHidden/>
              </w:rPr>
              <w:fldChar w:fldCharType="separate"/>
            </w:r>
            <w:r w:rsidR="0019342F">
              <w:rPr>
                <w:webHidden/>
              </w:rPr>
              <w:t>32</w:t>
            </w:r>
            <w:r w:rsidR="00834672">
              <w:rPr>
                <w:webHidden/>
              </w:rPr>
              <w:fldChar w:fldCharType="end"/>
            </w:r>
          </w:hyperlink>
        </w:p>
        <w:p w14:paraId="49827F53" w14:textId="44E88760" w:rsidR="00834672" w:rsidRDefault="00C2021F">
          <w:pPr>
            <w:pStyle w:val="TOC2"/>
            <w:rPr>
              <w:rFonts w:asciiTheme="minorHAnsi" w:eastAsiaTheme="minorEastAsia" w:hAnsiTheme="minorHAnsi" w:cstheme="minorBidi"/>
              <w:color w:val="auto"/>
              <w:sz w:val="22"/>
              <w:szCs w:val="22"/>
            </w:rPr>
          </w:pPr>
          <w:hyperlink w:anchor="_Toc89872887" w:history="1">
            <w:r w:rsidR="00834672" w:rsidRPr="00F143CD">
              <w:rPr>
                <w:rStyle w:val="Hyperlink"/>
              </w:rPr>
              <w:t>Investor countries</w:t>
            </w:r>
            <w:r w:rsidR="00834672">
              <w:rPr>
                <w:webHidden/>
              </w:rPr>
              <w:tab/>
            </w:r>
            <w:r w:rsidR="00834672">
              <w:rPr>
                <w:webHidden/>
              </w:rPr>
              <w:fldChar w:fldCharType="begin"/>
            </w:r>
            <w:r w:rsidR="00834672">
              <w:rPr>
                <w:webHidden/>
              </w:rPr>
              <w:instrText xml:space="preserve"> PAGEREF _Toc89872887 \h </w:instrText>
            </w:r>
            <w:r w:rsidR="00834672">
              <w:rPr>
                <w:webHidden/>
              </w:rPr>
            </w:r>
            <w:r w:rsidR="00834672">
              <w:rPr>
                <w:webHidden/>
              </w:rPr>
              <w:fldChar w:fldCharType="separate"/>
            </w:r>
            <w:r w:rsidR="0019342F">
              <w:rPr>
                <w:webHidden/>
              </w:rPr>
              <w:t>32</w:t>
            </w:r>
            <w:r w:rsidR="00834672">
              <w:rPr>
                <w:webHidden/>
              </w:rPr>
              <w:fldChar w:fldCharType="end"/>
            </w:r>
          </w:hyperlink>
        </w:p>
        <w:p w14:paraId="2E5B6400" w14:textId="7EE72100" w:rsidR="00834672" w:rsidRDefault="00C2021F">
          <w:pPr>
            <w:pStyle w:val="TOC2"/>
            <w:rPr>
              <w:rFonts w:asciiTheme="minorHAnsi" w:eastAsiaTheme="minorEastAsia" w:hAnsiTheme="minorHAnsi" w:cstheme="minorBidi"/>
              <w:color w:val="auto"/>
              <w:sz w:val="22"/>
              <w:szCs w:val="22"/>
            </w:rPr>
          </w:pPr>
          <w:hyperlink w:anchor="_Toc89872888" w:history="1">
            <w:r w:rsidR="00834672" w:rsidRPr="00F143CD">
              <w:rPr>
                <w:rStyle w:val="Hyperlink"/>
              </w:rPr>
              <w:t>Variations</w:t>
            </w:r>
            <w:r w:rsidR="00834672">
              <w:rPr>
                <w:webHidden/>
              </w:rPr>
              <w:tab/>
            </w:r>
            <w:r w:rsidR="00834672">
              <w:rPr>
                <w:webHidden/>
              </w:rPr>
              <w:fldChar w:fldCharType="begin"/>
            </w:r>
            <w:r w:rsidR="00834672">
              <w:rPr>
                <w:webHidden/>
              </w:rPr>
              <w:instrText xml:space="preserve"> PAGEREF _Toc89872888 \h </w:instrText>
            </w:r>
            <w:r w:rsidR="00834672">
              <w:rPr>
                <w:webHidden/>
              </w:rPr>
            </w:r>
            <w:r w:rsidR="00834672">
              <w:rPr>
                <w:webHidden/>
              </w:rPr>
              <w:fldChar w:fldCharType="separate"/>
            </w:r>
            <w:r w:rsidR="0019342F">
              <w:rPr>
                <w:webHidden/>
              </w:rPr>
              <w:t>35</w:t>
            </w:r>
            <w:r w:rsidR="00834672">
              <w:rPr>
                <w:webHidden/>
              </w:rPr>
              <w:fldChar w:fldCharType="end"/>
            </w:r>
          </w:hyperlink>
        </w:p>
        <w:p w14:paraId="03182D78" w14:textId="43E856F3" w:rsidR="00834672" w:rsidRDefault="00C2021F">
          <w:pPr>
            <w:pStyle w:val="TOC2"/>
            <w:rPr>
              <w:rFonts w:asciiTheme="minorHAnsi" w:eastAsiaTheme="minorEastAsia" w:hAnsiTheme="minorHAnsi" w:cstheme="minorBidi"/>
              <w:color w:val="auto"/>
              <w:sz w:val="22"/>
              <w:szCs w:val="22"/>
            </w:rPr>
          </w:pPr>
          <w:hyperlink w:anchor="_Toc89872889" w:history="1">
            <w:r w:rsidR="00834672" w:rsidRPr="00F143CD">
              <w:rPr>
                <w:rStyle w:val="Hyperlink"/>
              </w:rPr>
              <w:t>Vacancy fees</w:t>
            </w:r>
            <w:r w:rsidR="00834672">
              <w:rPr>
                <w:webHidden/>
              </w:rPr>
              <w:tab/>
            </w:r>
            <w:r w:rsidR="00834672">
              <w:rPr>
                <w:webHidden/>
              </w:rPr>
              <w:fldChar w:fldCharType="begin"/>
            </w:r>
            <w:r w:rsidR="00834672">
              <w:rPr>
                <w:webHidden/>
              </w:rPr>
              <w:instrText xml:space="preserve"> PAGEREF _Toc89872889 \h </w:instrText>
            </w:r>
            <w:r w:rsidR="00834672">
              <w:rPr>
                <w:webHidden/>
              </w:rPr>
            </w:r>
            <w:r w:rsidR="00834672">
              <w:rPr>
                <w:webHidden/>
              </w:rPr>
              <w:fldChar w:fldCharType="separate"/>
            </w:r>
            <w:r w:rsidR="0019342F">
              <w:rPr>
                <w:webHidden/>
              </w:rPr>
              <w:t>38</w:t>
            </w:r>
            <w:r w:rsidR="00834672">
              <w:rPr>
                <w:webHidden/>
              </w:rPr>
              <w:fldChar w:fldCharType="end"/>
            </w:r>
          </w:hyperlink>
        </w:p>
        <w:p w14:paraId="5195036C" w14:textId="4E1B3487" w:rsidR="00834672" w:rsidRDefault="00C2021F">
          <w:pPr>
            <w:pStyle w:val="TOC2"/>
            <w:rPr>
              <w:rFonts w:asciiTheme="minorHAnsi" w:eastAsiaTheme="minorEastAsia" w:hAnsiTheme="minorHAnsi" w:cstheme="minorBidi"/>
              <w:color w:val="auto"/>
              <w:sz w:val="22"/>
              <w:szCs w:val="22"/>
            </w:rPr>
          </w:pPr>
          <w:hyperlink w:anchor="_Toc89872890" w:history="1">
            <w:r w:rsidR="00834672" w:rsidRPr="00F143CD">
              <w:rPr>
                <w:rStyle w:val="Hyperlink"/>
              </w:rPr>
              <w:t>Foreign investment fee collections</w:t>
            </w:r>
            <w:r w:rsidR="00834672">
              <w:rPr>
                <w:webHidden/>
              </w:rPr>
              <w:tab/>
            </w:r>
            <w:r w:rsidR="00834672">
              <w:rPr>
                <w:webHidden/>
              </w:rPr>
              <w:fldChar w:fldCharType="begin"/>
            </w:r>
            <w:r w:rsidR="00834672">
              <w:rPr>
                <w:webHidden/>
              </w:rPr>
              <w:instrText xml:space="preserve"> PAGEREF _Toc89872890 \h </w:instrText>
            </w:r>
            <w:r w:rsidR="00834672">
              <w:rPr>
                <w:webHidden/>
              </w:rPr>
            </w:r>
            <w:r w:rsidR="00834672">
              <w:rPr>
                <w:webHidden/>
              </w:rPr>
              <w:fldChar w:fldCharType="separate"/>
            </w:r>
            <w:r w:rsidR="0019342F">
              <w:rPr>
                <w:webHidden/>
              </w:rPr>
              <w:t>38</w:t>
            </w:r>
            <w:r w:rsidR="00834672">
              <w:rPr>
                <w:webHidden/>
              </w:rPr>
              <w:fldChar w:fldCharType="end"/>
            </w:r>
          </w:hyperlink>
        </w:p>
        <w:p w14:paraId="5CB1343B" w14:textId="15691693" w:rsidR="00834672" w:rsidRDefault="00C2021F">
          <w:pPr>
            <w:pStyle w:val="TOC1"/>
            <w:rPr>
              <w:rFonts w:asciiTheme="minorHAnsi" w:eastAsiaTheme="minorEastAsia" w:hAnsiTheme="minorHAnsi" w:cstheme="minorBidi"/>
              <w:b w:val="0"/>
              <w:caps w:val="0"/>
              <w:sz w:val="22"/>
            </w:rPr>
          </w:pPr>
          <w:hyperlink w:anchor="_Toc89872891" w:history="1">
            <w:r w:rsidR="00834672" w:rsidRPr="00F143CD">
              <w:rPr>
                <w:rStyle w:val="Hyperlink"/>
              </w:rPr>
              <w:t>Chapter Four: Compliance</w:t>
            </w:r>
            <w:r w:rsidR="00834672">
              <w:rPr>
                <w:webHidden/>
              </w:rPr>
              <w:tab/>
            </w:r>
            <w:r w:rsidR="00834672">
              <w:rPr>
                <w:webHidden/>
              </w:rPr>
              <w:fldChar w:fldCharType="begin"/>
            </w:r>
            <w:r w:rsidR="00834672">
              <w:rPr>
                <w:webHidden/>
              </w:rPr>
              <w:instrText xml:space="preserve"> PAGEREF _Toc89872891 \h </w:instrText>
            </w:r>
            <w:r w:rsidR="00834672">
              <w:rPr>
                <w:webHidden/>
              </w:rPr>
            </w:r>
            <w:r w:rsidR="00834672">
              <w:rPr>
                <w:webHidden/>
              </w:rPr>
              <w:fldChar w:fldCharType="separate"/>
            </w:r>
            <w:r w:rsidR="0019342F">
              <w:rPr>
                <w:webHidden/>
              </w:rPr>
              <w:t>41</w:t>
            </w:r>
            <w:r w:rsidR="00834672">
              <w:rPr>
                <w:webHidden/>
              </w:rPr>
              <w:fldChar w:fldCharType="end"/>
            </w:r>
          </w:hyperlink>
        </w:p>
        <w:p w14:paraId="152D9ECB" w14:textId="713052FB" w:rsidR="00834672" w:rsidRDefault="00C2021F">
          <w:pPr>
            <w:pStyle w:val="TOC2"/>
            <w:rPr>
              <w:rFonts w:asciiTheme="minorHAnsi" w:eastAsiaTheme="minorEastAsia" w:hAnsiTheme="minorHAnsi" w:cstheme="minorBidi"/>
              <w:color w:val="auto"/>
              <w:sz w:val="22"/>
              <w:szCs w:val="22"/>
            </w:rPr>
          </w:pPr>
          <w:hyperlink w:anchor="_Toc89872892" w:history="1">
            <w:r w:rsidR="00834672" w:rsidRPr="00F143CD">
              <w:rPr>
                <w:rStyle w:val="Hyperlink"/>
              </w:rPr>
              <w:t>Compliance approach</w:t>
            </w:r>
            <w:r w:rsidR="00834672">
              <w:rPr>
                <w:webHidden/>
              </w:rPr>
              <w:tab/>
            </w:r>
            <w:r w:rsidR="00834672">
              <w:rPr>
                <w:webHidden/>
              </w:rPr>
              <w:fldChar w:fldCharType="begin"/>
            </w:r>
            <w:r w:rsidR="00834672">
              <w:rPr>
                <w:webHidden/>
              </w:rPr>
              <w:instrText xml:space="preserve"> PAGEREF _Toc89872892 \h </w:instrText>
            </w:r>
            <w:r w:rsidR="00834672">
              <w:rPr>
                <w:webHidden/>
              </w:rPr>
            </w:r>
            <w:r w:rsidR="00834672">
              <w:rPr>
                <w:webHidden/>
              </w:rPr>
              <w:fldChar w:fldCharType="separate"/>
            </w:r>
            <w:r w:rsidR="0019342F">
              <w:rPr>
                <w:webHidden/>
              </w:rPr>
              <w:t>41</w:t>
            </w:r>
            <w:r w:rsidR="00834672">
              <w:rPr>
                <w:webHidden/>
              </w:rPr>
              <w:fldChar w:fldCharType="end"/>
            </w:r>
          </w:hyperlink>
        </w:p>
        <w:p w14:paraId="12317FAE" w14:textId="35F9F8BC" w:rsidR="00834672" w:rsidRDefault="00C2021F">
          <w:pPr>
            <w:pStyle w:val="TOC2"/>
            <w:rPr>
              <w:rFonts w:asciiTheme="minorHAnsi" w:eastAsiaTheme="minorEastAsia" w:hAnsiTheme="minorHAnsi" w:cstheme="minorBidi"/>
              <w:color w:val="auto"/>
              <w:sz w:val="22"/>
              <w:szCs w:val="22"/>
            </w:rPr>
          </w:pPr>
          <w:hyperlink w:anchor="_Toc89872893" w:history="1">
            <w:r w:rsidR="00834672" w:rsidRPr="00F143CD">
              <w:rPr>
                <w:rStyle w:val="Hyperlink"/>
              </w:rPr>
              <w:t>Treasury</w:t>
            </w:r>
            <w:r w:rsidR="00065800">
              <w:rPr>
                <w:rStyle w:val="Hyperlink"/>
              </w:rPr>
              <w:t>’</w:t>
            </w:r>
            <w:r w:rsidR="00834672" w:rsidRPr="00F143CD">
              <w:rPr>
                <w:rStyle w:val="Hyperlink"/>
              </w:rPr>
              <w:t>s compliance activities</w:t>
            </w:r>
            <w:r w:rsidR="00834672">
              <w:rPr>
                <w:webHidden/>
              </w:rPr>
              <w:tab/>
            </w:r>
            <w:r w:rsidR="00834672">
              <w:rPr>
                <w:webHidden/>
              </w:rPr>
              <w:fldChar w:fldCharType="begin"/>
            </w:r>
            <w:r w:rsidR="00834672">
              <w:rPr>
                <w:webHidden/>
              </w:rPr>
              <w:instrText xml:space="preserve"> PAGEREF _Toc89872893 \h </w:instrText>
            </w:r>
            <w:r w:rsidR="00834672">
              <w:rPr>
                <w:webHidden/>
              </w:rPr>
            </w:r>
            <w:r w:rsidR="00834672">
              <w:rPr>
                <w:webHidden/>
              </w:rPr>
              <w:fldChar w:fldCharType="separate"/>
            </w:r>
            <w:r w:rsidR="0019342F">
              <w:rPr>
                <w:webHidden/>
              </w:rPr>
              <w:t>41</w:t>
            </w:r>
            <w:r w:rsidR="00834672">
              <w:rPr>
                <w:webHidden/>
              </w:rPr>
              <w:fldChar w:fldCharType="end"/>
            </w:r>
          </w:hyperlink>
        </w:p>
        <w:p w14:paraId="0FFBF6F4" w14:textId="03CBE6D1" w:rsidR="00834672" w:rsidRDefault="00C2021F" w:rsidP="007B6345">
          <w:pPr>
            <w:pStyle w:val="TOC3"/>
            <w:rPr>
              <w:rFonts w:asciiTheme="minorHAnsi" w:eastAsiaTheme="minorEastAsia" w:hAnsiTheme="minorHAnsi" w:cstheme="minorBidi"/>
              <w:color w:val="auto"/>
              <w:sz w:val="22"/>
              <w:szCs w:val="22"/>
            </w:rPr>
          </w:pPr>
          <w:hyperlink w:anchor="_Toc89872894" w:history="1">
            <w:r w:rsidR="00834672" w:rsidRPr="007B6345">
              <w:rPr>
                <w:rStyle w:val="Hyperlink"/>
                <w:rFonts w:eastAsiaTheme="minorHAnsi"/>
              </w:rPr>
              <w:t>Reviews</w:t>
            </w:r>
            <w:r w:rsidR="00834672">
              <w:rPr>
                <w:webHidden/>
              </w:rPr>
              <w:tab/>
            </w:r>
            <w:r w:rsidR="00834672">
              <w:rPr>
                <w:webHidden/>
              </w:rPr>
              <w:fldChar w:fldCharType="begin"/>
            </w:r>
            <w:r w:rsidR="00834672">
              <w:rPr>
                <w:webHidden/>
              </w:rPr>
              <w:instrText xml:space="preserve"> PAGEREF _Toc89872894 \h </w:instrText>
            </w:r>
            <w:r w:rsidR="00834672">
              <w:rPr>
                <w:webHidden/>
              </w:rPr>
            </w:r>
            <w:r w:rsidR="00834672">
              <w:rPr>
                <w:webHidden/>
              </w:rPr>
              <w:fldChar w:fldCharType="separate"/>
            </w:r>
            <w:r w:rsidR="0019342F">
              <w:rPr>
                <w:webHidden/>
              </w:rPr>
              <w:t>43</w:t>
            </w:r>
            <w:r w:rsidR="00834672">
              <w:rPr>
                <w:webHidden/>
              </w:rPr>
              <w:fldChar w:fldCharType="end"/>
            </w:r>
          </w:hyperlink>
        </w:p>
        <w:p w14:paraId="503D9FB8" w14:textId="1E9E6089" w:rsidR="00834672" w:rsidRPr="007B6345" w:rsidRDefault="00C2021F" w:rsidP="007B6345">
          <w:pPr>
            <w:pStyle w:val="TOC3"/>
            <w:rPr>
              <w:rFonts w:eastAsiaTheme="minorEastAsia"/>
            </w:rPr>
          </w:pPr>
          <w:hyperlink w:anchor="_Toc89872895" w:history="1">
            <w:r w:rsidR="00834672" w:rsidRPr="007B6345">
              <w:rPr>
                <w:rStyle w:val="Hyperlink"/>
                <w:rFonts w:eastAsiaTheme="minorHAnsi"/>
              </w:rPr>
              <w:t>Compliance monitoring</w:t>
            </w:r>
            <w:r w:rsidR="00834672" w:rsidRPr="007B6345">
              <w:rPr>
                <w:webHidden/>
              </w:rPr>
              <w:tab/>
            </w:r>
            <w:r w:rsidR="00834672" w:rsidRPr="007B6345">
              <w:rPr>
                <w:webHidden/>
              </w:rPr>
              <w:fldChar w:fldCharType="begin"/>
            </w:r>
            <w:r w:rsidR="00834672" w:rsidRPr="007B6345">
              <w:rPr>
                <w:webHidden/>
              </w:rPr>
              <w:instrText xml:space="preserve"> PAGEREF _Toc89872895 \h </w:instrText>
            </w:r>
            <w:r w:rsidR="00834672" w:rsidRPr="007B6345">
              <w:rPr>
                <w:webHidden/>
              </w:rPr>
            </w:r>
            <w:r w:rsidR="00834672" w:rsidRPr="007B6345">
              <w:rPr>
                <w:webHidden/>
              </w:rPr>
              <w:fldChar w:fldCharType="separate"/>
            </w:r>
            <w:r w:rsidR="0019342F">
              <w:rPr>
                <w:webHidden/>
              </w:rPr>
              <w:t>44</w:t>
            </w:r>
            <w:r w:rsidR="00834672" w:rsidRPr="007B6345">
              <w:rPr>
                <w:webHidden/>
              </w:rPr>
              <w:fldChar w:fldCharType="end"/>
            </w:r>
          </w:hyperlink>
        </w:p>
        <w:p w14:paraId="67252EB5" w14:textId="52974DCB" w:rsidR="00834672" w:rsidRDefault="00C2021F">
          <w:pPr>
            <w:pStyle w:val="TOC2"/>
            <w:rPr>
              <w:rFonts w:asciiTheme="minorHAnsi" w:eastAsiaTheme="minorEastAsia" w:hAnsiTheme="minorHAnsi" w:cstheme="minorBidi"/>
              <w:color w:val="auto"/>
              <w:sz w:val="22"/>
              <w:szCs w:val="22"/>
            </w:rPr>
          </w:pPr>
          <w:hyperlink w:anchor="_Toc89872896" w:history="1">
            <w:r w:rsidR="00834672" w:rsidRPr="00F143CD">
              <w:rPr>
                <w:rStyle w:val="Hyperlink"/>
              </w:rPr>
              <w:t>ATO</w:t>
            </w:r>
            <w:r w:rsidR="00065800">
              <w:rPr>
                <w:rStyle w:val="Hyperlink"/>
              </w:rPr>
              <w:t>’</w:t>
            </w:r>
            <w:r w:rsidR="00834672" w:rsidRPr="00F143CD">
              <w:rPr>
                <w:rStyle w:val="Hyperlink"/>
              </w:rPr>
              <w:t>s residential real estate compliance activities 2020</w:t>
            </w:r>
            <w:r w:rsidR="007B6345">
              <w:rPr>
                <w:rStyle w:val="Hyperlink"/>
              </w:rPr>
              <w:noBreakHyphen/>
            </w:r>
            <w:r w:rsidR="00834672" w:rsidRPr="00F143CD">
              <w:rPr>
                <w:rStyle w:val="Hyperlink"/>
              </w:rPr>
              <w:t>21</w:t>
            </w:r>
            <w:r w:rsidR="00834672">
              <w:rPr>
                <w:webHidden/>
              </w:rPr>
              <w:tab/>
            </w:r>
            <w:r w:rsidR="00834672">
              <w:rPr>
                <w:webHidden/>
              </w:rPr>
              <w:fldChar w:fldCharType="begin"/>
            </w:r>
            <w:r w:rsidR="00834672">
              <w:rPr>
                <w:webHidden/>
              </w:rPr>
              <w:instrText xml:space="preserve"> PAGEREF _Toc89872896 \h </w:instrText>
            </w:r>
            <w:r w:rsidR="00834672">
              <w:rPr>
                <w:webHidden/>
              </w:rPr>
            </w:r>
            <w:r w:rsidR="00834672">
              <w:rPr>
                <w:webHidden/>
              </w:rPr>
              <w:fldChar w:fldCharType="separate"/>
            </w:r>
            <w:r w:rsidR="0019342F">
              <w:rPr>
                <w:webHidden/>
              </w:rPr>
              <w:t>46</w:t>
            </w:r>
            <w:r w:rsidR="00834672">
              <w:rPr>
                <w:webHidden/>
              </w:rPr>
              <w:fldChar w:fldCharType="end"/>
            </w:r>
          </w:hyperlink>
        </w:p>
        <w:p w14:paraId="187DBFEE" w14:textId="4060AA31" w:rsidR="00834672" w:rsidRDefault="00C2021F">
          <w:pPr>
            <w:pStyle w:val="TOC1"/>
            <w:rPr>
              <w:rFonts w:asciiTheme="minorHAnsi" w:eastAsiaTheme="minorEastAsia" w:hAnsiTheme="minorHAnsi" w:cstheme="minorBidi"/>
              <w:b w:val="0"/>
              <w:caps w:val="0"/>
              <w:sz w:val="22"/>
            </w:rPr>
          </w:pPr>
          <w:hyperlink w:anchor="_Toc89872897" w:history="1">
            <w:r w:rsidR="00834672" w:rsidRPr="00F143CD">
              <w:rPr>
                <w:rStyle w:val="Hyperlink"/>
              </w:rPr>
              <w:t xml:space="preserve">APPENDIX A: bOARD MEETINGS DURING </w:t>
            </w:r>
            <w:r w:rsidR="00D76ED2">
              <w:rPr>
                <w:rStyle w:val="Hyperlink"/>
              </w:rPr>
              <w:t>2020</w:t>
            </w:r>
            <w:r w:rsidR="00D76ED2">
              <w:rPr>
                <w:rStyle w:val="Hyperlink"/>
              </w:rPr>
              <w:noBreakHyphen/>
              <w:t>21</w:t>
            </w:r>
            <w:r w:rsidR="00834672">
              <w:rPr>
                <w:webHidden/>
              </w:rPr>
              <w:tab/>
            </w:r>
            <w:r w:rsidR="00834672">
              <w:rPr>
                <w:webHidden/>
              </w:rPr>
              <w:fldChar w:fldCharType="begin"/>
            </w:r>
            <w:r w:rsidR="00834672">
              <w:rPr>
                <w:webHidden/>
              </w:rPr>
              <w:instrText xml:space="preserve"> PAGEREF _Toc89872897 \h </w:instrText>
            </w:r>
            <w:r w:rsidR="00834672">
              <w:rPr>
                <w:webHidden/>
              </w:rPr>
            </w:r>
            <w:r w:rsidR="00834672">
              <w:rPr>
                <w:webHidden/>
              </w:rPr>
              <w:fldChar w:fldCharType="separate"/>
            </w:r>
            <w:r w:rsidR="0019342F">
              <w:rPr>
                <w:webHidden/>
              </w:rPr>
              <w:t>51</w:t>
            </w:r>
            <w:r w:rsidR="00834672">
              <w:rPr>
                <w:webHidden/>
              </w:rPr>
              <w:fldChar w:fldCharType="end"/>
            </w:r>
          </w:hyperlink>
        </w:p>
        <w:p w14:paraId="2B38CFB3" w14:textId="31FD372C" w:rsidR="00834672" w:rsidRDefault="00C2021F">
          <w:pPr>
            <w:pStyle w:val="TOC1"/>
            <w:rPr>
              <w:rFonts w:asciiTheme="minorHAnsi" w:eastAsiaTheme="minorEastAsia" w:hAnsiTheme="minorHAnsi" w:cstheme="minorBidi"/>
              <w:b w:val="0"/>
              <w:caps w:val="0"/>
              <w:sz w:val="22"/>
            </w:rPr>
          </w:pPr>
          <w:hyperlink w:anchor="_Toc89872898" w:history="1">
            <w:r w:rsidR="00834672" w:rsidRPr="00F143CD">
              <w:rPr>
                <w:rStyle w:val="Hyperlink"/>
              </w:rPr>
              <w:t>APPENDIX B: mETHODOLOGICAL AND DATA CAVEATS</w:t>
            </w:r>
            <w:r w:rsidR="00834672">
              <w:rPr>
                <w:webHidden/>
              </w:rPr>
              <w:tab/>
            </w:r>
            <w:r w:rsidR="00834672">
              <w:rPr>
                <w:webHidden/>
              </w:rPr>
              <w:fldChar w:fldCharType="begin"/>
            </w:r>
            <w:r w:rsidR="00834672">
              <w:rPr>
                <w:webHidden/>
              </w:rPr>
              <w:instrText xml:space="preserve"> PAGEREF _Toc89872898 \h </w:instrText>
            </w:r>
            <w:r w:rsidR="00834672">
              <w:rPr>
                <w:webHidden/>
              </w:rPr>
            </w:r>
            <w:r w:rsidR="00834672">
              <w:rPr>
                <w:webHidden/>
              </w:rPr>
              <w:fldChar w:fldCharType="separate"/>
            </w:r>
            <w:r w:rsidR="0019342F">
              <w:rPr>
                <w:webHidden/>
              </w:rPr>
              <w:t>52</w:t>
            </w:r>
            <w:r w:rsidR="00834672">
              <w:rPr>
                <w:webHidden/>
              </w:rPr>
              <w:fldChar w:fldCharType="end"/>
            </w:r>
          </w:hyperlink>
        </w:p>
        <w:p w14:paraId="3D84CF62" w14:textId="0B6E2EDC" w:rsidR="00834672" w:rsidRDefault="00C2021F">
          <w:pPr>
            <w:pStyle w:val="TOC2"/>
            <w:rPr>
              <w:rFonts w:asciiTheme="minorHAnsi" w:eastAsiaTheme="minorEastAsia" w:hAnsiTheme="minorHAnsi" w:cstheme="minorBidi"/>
              <w:color w:val="auto"/>
              <w:sz w:val="22"/>
              <w:szCs w:val="22"/>
            </w:rPr>
          </w:pPr>
          <w:hyperlink w:anchor="_Toc89872899" w:history="1">
            <w:r w:rsidR="00834672" w:rsidRPr="00F143CD">
              <w:rPr>
                <w:rStyle w:val="Hyperlink"/>
              </w:rPr>
              <w:t xml:space="preserve">Methodological </w:t>
            </w:r>
            <w:r w:rsidR="009A30B1">
              <w:rPr>
                <w:rStyle w:val="Hyperlink"/>
              </w:rPr>
              <w:t>o</w:t>
            </w:r>
            <w:r w:rsidR="00834672" w:rsidRPr="00F143CD">
              <w:rPr>
                <w:rStyle w:val="Hyperlink"/>
              </w:rPr>
              <w:t>verview</w:t>
            </w:r>
            <w:r w:rsidR="00834672">
              <w:rPr>
                <w:webHidden/>
              </w:rPr>
              <w:tab/>
            </w:r>
            <w:r w:rsidR="00834672">
              <w:rPr>
                <w:webHidden/>
              </w:rPr>
              <w:fldChar w:fldCharType="begin"/>
            </w:r>
            <w:r w:rsidR="00834672">
              <w:rPr>
                <w:webHidden/>
              </w:rPr>
              <w:instrText xml:space="preserve"> PAGEREF _Toc89872899 \h </w:instrText>
            </w:r>
            <w:r w:rsidR="00834672">
              <w:rPr>
                <w:webHidden/>
              </w:rPr>
            </w:r>
            <w:r w:rsidR="00834672">
              <w:rPr>
                <w:webHidden/>
              </w:rPr>
              <w:fldChar w:fldCharType="separate"/>
            </w:r>
            <w:r w:rsidR="0019342F">
              <w:rPr>
                <w:webHidden/>
              </w:rPr>
              <w:t>52</w:t>
            </w:r>
            <w:r w:rsidR="00834672">
              <w:rPr>
                <w:webHidden/>
              </w:rPr>
              <w:fldChar w:fldCharType="end"/>
            </w:r>
          </w:hyperlink>
        </w:p>
        <w:p w14:paraId="2B14B5C6" w14:textId="63A78D95" w:rsidR="00834672" w:rsidRDefault="00C2021F">
          <w:pPr>
            <w:pStyle w:val="TOC2"/>
            <w:rPr>
              <w:rFonts w:asciiTheme="minorHAnsi" w:eastAsiaTheme="minorEastAsia" w:hAnsiTheme="minorHAnsi" w:cstheme="minorBidi"/>
              <w:color w:val="auto"/>
              <w:sz w:val="22"/>
              <w:szCs w:val="22"/>
            </w:rPr>
          </w:pPr>
          <w:hyperlink w:anchor="_Toc89872900" w:history="1">
            <w:r w:rsidR="00834672" w:rsidRPr="00F143CD">
              <w:rPr>
                <w:rStyle w:val="Hyperlink"/>
              </w:rPr>
              <w:t xml:space="preserve">General </w:t>
            </w:r>
            <w:r w:rsidR="009A30B1">
              <w:rPr>
                <w:rStyle w:val="Hyperlink"/>
              </w:rPr>
              <w:t>c</w:t>
            </w:r>
            <w:r w:rsidR="00834672" w:rsidRPr="00F143CD">
              <w:rPr>
                <w:rStyle w:val="Hyperlink"/>
              </w:rPr>
              <w:t>aveats</w:t>
            </w:r>
            <w:r w:rsidR="00834672">
              <w:rPr>
                <w:webHidden/>
              </w:rPr>
              <w:tab/>
            </w:r>
            <w:r w:rsidR="00834672">
              <w:rPr>
                <w:webHidden/>
              </w:rPr>
              <w:fldChar w:fldCharType="begin"/>
            </w:r>
            <w:r w:rsidR="00834672">
              <w:rPr>
                <w:webHidden/>
              </w:rPr>
              <w:instrText xml:space="preserve"> PAGEREF _Toc89872900 \h </w:instrText>
            </w:r>
            <w:r w:rsidR="00834672">
              <w:rPr>
                <w:webHidden/>
              </w:rPr>
            </w:r>
            <w:r w:rsidR="00834672">
              <w:rPr>
                <w:webHidden/>
              </w:rPr>
              <w:fldChar w:fldCharType="separate"/>
            </w:r>
            <w:r w:rsidR="0019342F">
              <w:rPr>
                <w:webHidden/>
              </w:rPr>
              <w:t>53</w:t>
            </w:r>
            <w:r w:rsidR="00834672">
              <w:rPr>
                <w:webHidden/>
              </w:rPr>
              <w:fldChar w:fldCharType="end"/>
            </w:r>
          </w:hyperlink>
        </w:p>
        <w:p w14:paraId="548E383B" w14:textId="551FE053" w:rsidR="00834672" w:rsidRDefault="00C2021F">
          <w:pPr>
            <w:pStyle w:val="TOC2"/>
            <w:rPr>
              <w:rFonts w:asciiTheme="minorHAnsi" w:eastAsiaTheme="minorEastAsia" w:hAnsiTheme="minorHAnsi" w:cstheme="minorBidi"/>
              <w:color w:val="auto"/>
              <w:sz w:val="22"/>
              <w:szCs w:val="22"/>
            </w:rPr>
          </w:pPr>
          <w:hyperlink w:anchor="_Toc89872901" w:history="1">
            <w:r w:rsidR="00834672" w:rsidRPr="00F143CD">
              <w:rPr>
                <w:rStyle w:val="Hyperlink"/>
              </w:rPr>
              <w:t>Policy changes</w:t>
            </w:r>
            <w:r w:rsidR="00834672">
              <w:rPr>
                <w:webHidden/>
              </w:rPr>
              <w:tab/>
            </w:r>
            <w:r w:rsidR="00834672">
              <w:rPr>
                <w:webHidden/>
              </w:rPr>
              <w:fldChar w:fldCharType="begin"/>
            </w:r>
            <w:r w:rsidR="00834672">
              <w:rPr>
                <w:webHidden/>
              </w:rPr>
              <w:instrText xml:space="preserve"> PAGEREF _Toc89872901 \h </w:instrText>
            </w:r>
            <w:r w:rsidR="00834672">
              <w:rPr>
                <w:webHidden/>
              </w:rPr>
            </w:r>
            <w:r w:rsidR="00834672">
              <w:rPr>
                <w:webHidden/>
              </w:rPr>
              <w:fldChar w:fldCharType="separate"/>
            </w:r>
            <w:r w:rsidR="0019342F">
              <w:rPr>
                <w:webHidden/>
              </w:rPr>
              <w:t>56</w:t>
            </w:r>
            <w:r w:rsidR="00834672">
              <w:rPr>
                <w:webHidden/>
              </w:rPr>
              <w:fldChar w:fldCharType="end"/>
            </w:r>
          </w:hyperlink>
        </w:p>
        <w:p w14:paraId="6F101E53" w14:textId="3376DD3F" w:rsidR="00834672" w:rsidRDefault="00C2021F">
          <w:pPr>
            <w:pStyle w:val="TOC1"/>
            <w:rPr>
              <w:rFonts w:asciiTheme="minorHAnsi" w:eastAsiaTheme="minorEastAsia" w:hAnsiTheme="minorHAnsi" w:cstheme="minorBidi"/>
              <w:b w:val="0"/>
              <w:caps w:val="0"/>
              <w:sz w:val="22"/>
            </w:rPr>
          </w:pPr>
          <w:hyperlink w:anchor="_Toc89872902" w:history="1">
            <w:r w:rsidR="00834672" w:rsidRPr="00F143CD">
              <w:rPr>
                <w:rStyle w:val="Hyperlink"/>
              </w:rPr>
              <w:t>APPENDIX C: EXAMINATION AND APPROVAL PROCESS</w:t>
            </w:r>
            <w:r w:rsidR="00834672">
              <w:rPr>
                <w:webHidden/>
              </w:rPr>
              <w:tab/>
            </w:r>
            <w:r w:rsidR="00834672">
              <w:rPr>
                <w:webHidden/>
              </w:rPr>
              <w:fldChar w:fldCharType="begin"/>
            </w:r>
            <w:r w:rsidR="00834672">
              <w:rPr>
                <w:webHidden/>
              </w:rPr>
              <w:instrText xml:space="preserve"> PAGEREF _Toc89872902 \h </w:instrText>
            </w:r>
            <w:r w:rsidR="00834672">
              <w:rPr>
                <w:webHidden/>
              </w:rPr>
            </w:r>
            <w:r w:rsidR="00834672">
              <w:rPr>
                <w:webHidden/>
              </w:rPr>
              <w:fldChar w:fldCharType="separate"/>
            </w:r>
            <w:r w:rsidR="0019342F">
              <w:rPr>
                <w:webHidden/>
              </w:rPr>
              <w:t>59</w:t>
            </w:r>
            <w:r w:rsidR="00834672">
              <w:rPr>
                <w:webHidden/>
              </w:rPr>
              <w:fldChar w:fldCharType="end"/>
            </w:r>
          </w:hyperlink>
        </w:p>
        <w:p w14:paraId="58684FC3" w14:textId="4D557CC5" w:rsidR="00834672" w:rsidRDefault="00C2021F">
          <w:pPr>
            <w:pStyle w:val="TOC2"/>
            <w:rPr>
              <w:rFonts w:asciiTheme="minorHAnsi" w:eastAsiaTheme="minorEastAsia" w:hAnsiTheme="minorHAnsi" w:cstheme="minorBidi"/>
              <w:color w:val="auto"/>
              <w:sz w:val="22"/>
              <w:szCs w:val="22"/>
            </w:rPr>
          </w:pPr>
          <w:hyperlink w:anchor="_Toc89872903" w:history="1">
            <w:r w:rsidR="00834672" w:rsidRPr="00F143CD">
              <w:rPr>
                <w:rStyle w:val="Hyperlink"/>
              </w:rPr>
              <w:t>Board involvement</w:t>
            </w:r>
            <w:r w:rsidR="00834672">
              <w:rPr>
                <w:webHidden/>
              </w:rPr>
              <w:tab/>
            </w:r>
            <w:r w:rsidR="00834672">
              <w:rPr>
                <w:webHidden/>
              </w:rPr>
              <w:fldChar w:fldCharType="begin"/>
            </w:r>
            <w:r w:rsidR="00834672">
              <w:rPr>
                <w:webHidden/>
              </w:rPr>
              <w:instrText xml:space="preserve"> PAGEREF _Toc89872903 \h </w:instrText>
            </w:r>
            <w:r w:rsidR="00834672">
              <w:rPr>
                <w:webHidden/>
              </w:rPr>
            </w:r>
            <w:r w:rsidR="00834672">
              <w:rPr>
                <w:webHidden/>
              </w:rPr>
              <w:fldChar w:fldCharType="separate"/>
            </w:r>
            <w:r w:rsidR="0019342F">
              <w:rPr>
                <w:webHidden/>
              </w:rPr>
              <w:t>59</w:t>
            </w:r>
            <w:r w:rsidR="00834672">
              <w:rPr>
                <w:webHidden/>
              </w:rPr>
              <w:fldChar w:fldCharType="end"/>
            </w:r>
          </w:hyperlink>
        </w:p>
        <w:p w14:paraId="34C8BE30" w14:textId="1AD55702" w:rsidR="00834672" w:rsidRDefault="00C2021F">
          <w:pPr>
            <w:pStyle w:val="TOC2"/>
            <w:rPr>
              <w:rFonts w:asciiTheme="minorHAnsi" w:eastAsiaTheme="minorEastAsia" w:hAnsiTheme="minorHAnsi" w:cstheme="minorBidi"/>
              <w:color w:val="auto"/>
              <w:sz w:val="22"/>
              <w:szCs w:val="22"/>
            </w:rPr>
          </w:pPr>
          <w:hyperlink w:anchor="_Toc89872904" w:history="1">
            <w:r w:rsidR="00834672" w:rsidRPr="00F143CD">
              <w:rPr>
                <w:rStyle w:val="Hyperlink"/>
              </w:rPr>
              <w:t>Handling of commercially sensitive and personal information</w:t>
            </w:r>
            <w:r w:rsidR="00834672">
              <w:rPr>
                <w:webHidden/>
              </w:rPr>
              <w:tab/>
            </w:r>
            <w:r w:rsidR="00834672">
              <w:rPr>
                <w:webHidden/>
              </w:rPr>
              <w:fldChar w:fldCharType="begin"/>
            </w:r>
            <w:r w:rsidR="00834672">
              <w:rPr>
                <w:webHidden/>
              </w:rPr>
              <w:instrText xml:space="preserve"> PAGEREF _Toc89872904 \h </w:instrText>
            </w:r>
            <w:r w:rsidR="00834672">
              <w:rPr>
                <w:webHidden/>
              </w:rPr>
            </w:r>
            <w:r w:rsidR="00834672">
              <w:rPr>
                <w:webHidden/>
              </w:rPr>
              <w:fldChar w:fldCharType="separate"/>
            </w:r>
            <w:r w:rsidR="0019342F">
              <w:rPr>
                <w:webHidden/>
              </w:rPr>
              <w:t>59</w:t>
            </w:r>
            <w:r w:rsidR="00834672">
              <w:rPr>
                <w:webHidden/>
              </w:rPr>
              <w:fldChar w:fldCharType="end"/>
            </w:r>
          </w:hyperlink>
        </w:p>
        <w:p w14:paraId="143502D2" w14:textId="5CC87AAD" w:rsidR="00834672" w:rsidRDefault="00C2021F">
          <w:pPr>
            <w:pStyle w:val="TOC1"/>
            <w:rPr>
              <w:rFonts w:asciiTheme="minorHAnsi" w:eastAsiaTheme="minorEastAsia" w:hAnsiTheme="minorHAnsi" w:cstheme="minorBidi"/>
              <w:b w:val="0"/>
              <w:caps w:val="0"/>
              <w:sz w:val="22"/>
            </w:rPr>
          </w:pPr>
          <w:hyperlink w:anchor="_Toc89872905" w:history="1">
            <w:r w:rsidR="00834672" w:rsidRPr="00F143CD">
              <w:rPr>
                <w:rStyle w:val="Hyperlink"/>
              </w:rPr>
              <w:t>Appendix D: Glossary</w:t>
            </w:r>
            <w:r w:rsidR="00834672">
              <w:rPr>
                <w:webHidden/>
              </w:rPr>
              <w:tab/>
            </w:r>
            <w:r w:rsidR="00834672">
              <w:rPr>
                <w:webHidden/>
              </w:rPr>
              <w:fldChar w:fldCharType="begin"/>
            </w:r>
            <w:r w:rsidR="00834672">
              <w:rPr>
                <w:webHidden/>
              </w:rPr>
              <w:instrText xml:space="preserve"> PAGEREF _Toc89872905 \h </w:instrText>
            </w:r>
            <w:r w:rsidR="00834672">
              <w:rPr>
                <w:webHidden/>
              </w:rPr>
            </w:r>
            <w:r w:rsidR="00834672">
              <w:rPr>
                <w:webHidden/>
              </w:rPr>
              <w:fldChar w:fldCharType="separate"/>
            </w:r>
            <w:r w:rsidR="0019342F">
              <w:rPr>
                <w:webHidden/>
              </w:rPr>
              <w:t>60</w:t>
            </w:r>
            <w:r w:rsidR="00834672">
              <w:rPr>
                <w:webHidden/>
              </w:rPr>
              <w:fldChar w:fldCharType="end"/>
            </w:r>
          </w:hyperlink>
        </w:p>
        <w:p w14:paraId="6123EE5E" w14:textId="451B65C0" w:rsidR="00834672" w:rsidRDefault="00834672">
          <w:r>
            <w:rPr>
              <w:b/>
              <w:bCs/>
              <w:noProof/>
            </w:rPr>
            <w:fldChar w:fldCharType="end"/>
          </w:r>
        </w:p>
      </w:sdtContent>
    </w:sdt>
    <w:p w14:paraId="06BEEDC5" w14:textId="5534FD99" w:rsidR="0011132A" w:rsidRDefault="0011132A">
      <w:pPr>
        <w:spacing w:after="0" w:line="240" w:lineRule="auto"/>
        <w:jc w:val="left"/>
      </w:pPr>
      <w:r>
        <w:br w:type="page"/>
      </w:r>
    </w:p>
    <w:p w14:paraId="2104DC84" w14:textId="6C374EEC" w:rsidR="00186576" w:rsidRDefault="00186576" w:rsidP="00186576">
      <w:pPr>
        <w:pStyle w:val="TOCHeading"/>
        <w:numPr>
          <w:ilvl w:val="0"/>
          <w:numId w:val="0"/>
        </w:numPr>
      </w:pPr>
      <w:r>
        <w:lastRenderedPageBreak/>
        <w:t>TableS AND CHARTS</w:t>
      </w:r>
    </w:p>
    <w:p w14:paraId="2468A12B" w14:textId="7673E8D8" w:rsidR="00E54C44" w:rsidRPr="00186576" w:rsidRDefault="00A32E43" w:rsidP="00186576">
      <w:pPr>
        <w:pStyle w:val="TableofFigures"/>
        <w:tabs>
          <w:tab w:val="right" w:leader="dot" w:pos="7700"/>
        </w:tabs>
        <w:spacing w:line="276" w:lineRule="auto"/>
        <w:rPr>
          <w:rFonts w:eastAsiaTheme="minorEastAsia" w:cstheme="minorBidi"/>
          <w:noProof/>
          <w:color w:val="auto"/>
          <w:sz w:val="22"/>
          <w:szCs w:val="22"/>
        </w:rPr>
      </w:pPr>
      <w:r>
        <w:fldChar w:fldCharType="begin"/>
      </w:r>
      <w:r>
        <w:instrText xml:space="preserve"> TOC \h \z \c "Table" </w:instrText>
      </w:r>
      <w:r>
        <w:fldChar w:fldCharType="separate"/>
      </w:r>
      <w:hyperlink w:anchor="_Toc89939935" w:history="1">
        <w:r w:rsidR="00E54C44" w:rsidRPr="00186576">
          <w:rPr>
            <w:rStyle w:val="Hyperlink"/>
            <w:noProof/>
          </w:rPr>
          <w:t xml:space="preserve">Table 3.1: Proposals considered, </w:t>
        </w:r>
        <w:r w:rsidR="00DC1928">
          <w:rPr>
            <w:rStyle w:val="Hyperlink"/>
            <w:noProof/>
          </w:rPr>
          <w:t>2017</w:t>
        </w:r>
        <w:r w:rsidR="00DC1928">
          <w:rPr>
            <w:rStyle w:val="Hyperlink"/>
            <w:noProof/>
          </w:rPr>
          <w:noBreakHyphen/>
          <w:t>18</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rStyle w:val="Hyperlink"/>
            <w:noProof/>
          </w:rPr>
          <w:t xml:space="preserve"> (number of proposals)</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_Toc89939935 \h </w:instrText>
        </w:r>
        <w:r w:rsidR="00E54C44" w:rsidRPr="00186576">
          <w:rPr>
            <w:noProof/>
            <w:webHidden/>
          </w:rPr>
        </w:r>
        <w:r w:rsidR="00E54C44" w:rsidRPr="00186576">
          <w:rPr>
            <w:noProof/>
            <w:webHidden/>
          </w:rPr>
          <w:fldChar w:fldCharType="separate"/>
        </w:r>
        <w:r w:rsidR="0019342F">
          <w:rPr>
            <w:noProof/>
            <w:webHidden/>
          </w:rPr>
          <w:t>19</w:t>
        </w:r>
        <w:r w:rsidR="00E54C44" w:rsidRPr="00186576">
          <w:rPr>
            <w:noProof/>
            <w:webHidden/>
          </w:rPr>
          <w:fldChar w:fldCharType="end"/>
        </w:r>
      </w:hyperlink>
    </w:p>
    <w:p w14:paraId="5CFBA505" w14:textId="602CD9AF"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36" w:history="1">
        <w:r w:rsidR="00E54C44" w:rsidRPr="00186576">
          <w:rPr>
            <w:rStyle w:val="Hyperlink"/>
            <w:noProof/>
          </w:rPr>
          <w:t xml:space="preserve">Table 3.2: Proposals considered in </w:t>
        </w:r>
        <w:r w:rsidR="00D76ED2">
          <w:rPr>
            <w:rStyle w:val="Hyperlink"/>
            <w:noProof/>
          </w:rPr>
          <w:t>2019</w:t>
        </w:r>
        <w:r w:rsidR="00D76ED2">
          <w:rPr>
            <w:rStyle w:val="Hyperlink"/>
            <w:noProof/>
          </w:rPr>
          <w:noBreakHyphen/>
          <w:t>20</w:t>
        </w:r>
        <w:r w:rsidR="00E54C44" w:rsidRPr="00186576">
          <w:rPr>
            <w:rStyle w:val="Hyperlink"/>
            <w:noProof/>
          </w:rPr>
          <w:t xml:space="preserve"> and </w:t>
        </w:r>
        <w:r w:rsidR="00D76ED2">
          <w:rPr>
            <w:rStyle w:val="Hyperlink"/>
            <w:noProof/>
          </w:rPr>
          <w:t>2020</w:t>
        </w:r>
        <w:r w:rsidR="00D76ED2">
          <w:rPr>
            <w:rStyle w:val="Hyperlink"/>
            <w:noProof/>
          </w:rPr>
          <w:noBreakHyphen/>
          <w:t>21</w:t>
        </w:r>
        <w:r w:rsidR="00E54C44" w:rsidRPr="00186576">
          <w:rPr>
            <w:rStyle w:val="Hyperlink"/>
            <w:noProof/>
          </w:rPr>
          <w:t xml:space="preserve">, by zero dollar threshold </w:t>
        </w:r>
        <w:r w:rsidR="00BF64DA">
          <w:rPr>
            <w:rStyle w:val="Hyperlink"/>
            <w:noProof/>
          </w:rPr>
          <w:br/>
        </w:r>
        <w:r w:rsidR="00E54C44" w:rsidRPr="00186576">
          <w:rPr>
            <w:rStyle w:val="Hyperlink"/>
            <w:noProof/>
          </w:rPr>
          <w:t>and non</w:t>
        </w:r>
        <w:r w:rsidR="003E7C79">
          <w:rPr>
            <w:rStyle w:val="Hyperlink"/>
            <w:noProof/>
          </w:rPr>
          <w:t>–</w:t>
        </w:r>
        <w:r w:rsidR="00E54C44" w:rsidRPr="00186576">
          <w:rPr>
            <w:rStyle w:val="Hyperlink"/>
            <w:noProof/>
          </w:rPr>
          <w:t>zero dollar threshold proposals (number of proposals)</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_Toc89939936 \h </w:instrText>
        </w:r>
        <w:r w:rsidR="00E54C44" w:rsidRPr="00186576">
          <w:rPr>
            <w:noProof/>
            <w:webHidden/>
          </w:rPr>
        </w:r>
        <w:r w:rsidR="00E54C44" w:rsidRPr="00186576">
          <w:rPr>
            <w:noProof/>
            <w:webHidden/>
          </w:rPr>
          <w:fldChar w:fldCharType="separate"/>
        </w:r>
        <w:r w:rsidR="0019342F">
          <w:rPr>
            <w:noProof/>
            <w:webHidden/>
          </w:rPr>
          <w:t>20</w:t>
        </w:r>
        <w:r w:rsidR="00E54C44" w:rsidRPr="00186576">
          <w:rPr>
            <w:noProof/>
            <w:webHidden/>
          </w:rPr>
          <w:fldChar w:fldCharType="end"/>
        </w:r>
      </w:hyperlink>
    </w:p>
    <w:p w14:paraId="3CF685B6" w14:textId="4CBF8E57"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37" w:history="1">
        <w:r w:rsidR="00E54C44" w:rsidRPr="00186576">
          <w:rPr>
            <w:rStyle w:val="Hyperlink"/>
            <w:noProof/>
          </w:rPr>
          <w:t xml:space="preserve">Table 3.3: Proposals decided </w:t>
        </w:r>
        <w:r w:rsidR="00DC1928">
          <w:rPr>
            <w:rStyle w:val="Hyperlink"/>
            <w:noProof/>
          </w:rPr>
          <w:t>2017</w:t>
        </w:r>
        <w:r w:rsidR="00DC1928">
          <w:rPr>
            <w:rStyle w:val="Hyperlink"/>
            <w:noProof/>
          </w:rPr>
          <w:noBreakHyphen/>
          <w:t>18</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rStyle w:val="Hyperlink"/>
            <w:noProof/>
          </w:rPr>
          <w:t xml:space="preserve"> (value of proposed investment)</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_Toc89939937 \h </w:instrText>
        </w:r>
        <w:r w:rsidR="00E54C44" w:rsidRPr="00186576">
          <w:rPr>
            <w:noProof/>
            <w:webHidden/>
          </w:rPr>
        </w:r>
        <w:r w:rsidR="00E54C44" w:rsidRPr="00186576">
          <w:rPr>
            <w:noProof/>
            <w:webHidden/>
          </w:rPr>
          <w:fldChar w:fldCharType="separate"/>
        </w:r>
        <w:r w:rsidR="0019342F">
          <w:rPr>
            <w:noProof/>
            <w:webHidden/>
          </w:rPr>
          <w:t>20</w:t>
        </w:r>
        <w:r w:rsidR="00E54C44" w:rsidRPr="00186576">
          <w:rPr>
            <w:noProof/>
            <w:webHidden/>
          </w:rPr>
          <w:fldChar w:fldCharType="end"/>
        </w:r>
      </w:hyperlink>
    </w:p>
    <w:p w14:paraId="5874693D" w14:textId="6E4B1B5D"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38" w:history="1">
        <w:r w:rsidR="00E54C44" w:rsidRPr="00186576">
          <w:rPr>
            <w:rStyle w:val="Hyperlink"/>
            <w:noProof/>
          </w:rPr>
          <w:t xml:space="preserve">Table 3.4: Proposals considered in </w:t>
        </w:r>
        <w:r w:rsidR="00D76ED2">
          <w:rPr>
            <w:rStyle w:val="Hyperlink"/>
            <w:noProof/>
          </w:rPr>
          <w:t>2019</w:t>
        </w:r>
        <w:r w:rsidR="00D76ED2">
          <w:rPr>
            <w:rStyle w:val="Hyperlink"/>
            <w:noProof/>
          </w:rPr>
          <w:noBreakHyphen/>
          <w:t>20</w:t>
        </w:r>
        <w:r w:rsidR="00E54C44" w:rsidRPr="00186576">
          <w:rPr>
            <w:rStyle w:val="Hyperlink"/>
            <w:noProof/>
          </w:rPr>
          <w:t xml:space="preserve"> and </w:t>
        </w:r>
        <w:r w:rsidR="00D76ED2">
          <w:rPr>
            <w:rStyle w:val="Hyperlink"/>
            <w:noProof/>
          </w:rPr>
          <w:t>2020</w:t>
        </w:r>
        <w:r w:rsidR="00D76ED2">
          <w:rPr>
            <w:rStyle w:val="Hyperlink"/>
            <w:noProof/>
          </w:rPr>
          <w:noBreakHyphen/>
          <w:t>21</w:t>
        </w:r>
        <w:r w:rsidR="00E54C44" w:rsidRPr="00186576">
          <w:rPr>
            <w:rStyle w:val="Hyperlink"/>
            <w:noProof/>
          </w:rPr>
          <w:t xml:space="preserve">, by zero dollar threshold </w:t>
        </w:r>
        <w:r w:rsidR="00BF64DA">
          <w:rPr>
            <w:rStyle w:val="Hyperlink"/>
            <w:noProof/>
          </w:rPr>
          <w:br/>
        </w:r>
        <w:r w:rsidR="00E54C44" w:rsidRPr="00186576">
          <w:rPr>
            <w:rStyle w:val="Hyperlink"/>
            <w:noProof/>
          </w:rPr>
          <w:t>and non</w:t>
        </w:r>
        <w:r w:rsidR="003E7C79">
          <w:rPr>
            <w:rStyle w:val="Hyperlink"/>
            <w:noProof/>
          </w:rPr>
          <w:t>–</w:t>
        </w:r>
        <w:r w:rsidR="00E54C44" w:rsidRPr="00186576">
          <w:rPr>
            <w:rStyle w:val="Hyperlink"/>
            <w:noProof/>
          </w:rPr>
          <w:t>zero dollar threshold proposals (value of proposed investment)</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_Toc89939938 \h </w:instrText>
        </w:r>
        <w:r w:rsidR="00E54C44" w:rsidRPr="00186576">
          <w:rPr>
            <w:noProof/>
            <w:webHidden/>
          </w:rPr>
        </w:r>
        <w:r w:rsidR="00E54C44" w:rsidRPr="00186576">
          <w:rPr>
            <w:noProof/>
            <w:webHidden/>
          </w:rPr>
          <w:fldChar w:fldCharType="separate"/>
        </w:r>
        <w:r w:rsidR="0019342F">
          <w:rPr>
            <w:noProof/>
            <w:webHidden/>
          </w:rPr>
          <w:t>21</w:t>
        </w:r>
        <w:r w:rsidR="00E54C44" w:rsidRPr="00186576">
          <w:rPr>
            <w:noProof/>
            <w:webHidden/>
          </w:rPr>
          <w:fldChar w:fldCharType="end"/>
        </w:r>
      </w:hyperlink>
    </w:p>
    <w:p w14:paraId="04F62600" w14:textId="2348CE13"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39" w:history="1">
        <w:r w:rsidR="00E54C44" w:rsidRPr="00186576">
          <w:rPr>
            <w:rStyle w:val="Hyperlink"/>
            <w:noProof/>
          </w:rPr>
          <w:t xml:space="preserve">Table 3.5: Total approvals by value of proposed investment range </w:t>
        </w:r>
        <w:r w:rsidR="00BF64DA">
          <w:rPr>
            <w:rStyle w:val="Hyperlink"/>
            <w:noProof/>
          </w:rPr>
          <w:br/>
        </w:r>
        <w:r w:rsidR="00DC1928">
          <w:rPr>
            <w:rStyle w:val="Hyperlink"/>
            <w:noProof/>
          </w:rPr>
          <w:t>2017</w:t>
        </w:r>
        <w:r w:rsidR="00DC1928">
          <w:rPr>
            <w:rStyle w:val="Hyperlink"/>
            <w:noProof/>
          </w:rPr>
          <w:noBreakHyphen/>
          <w:t>18</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rStyle w:val="Hyperlink"/>
            <w:noProof/>
          </w:rPr>
          <w:t xml:space="preserve"> (number and value of approvals)</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_Toc89939939 \h </w:instrText>
        </w:r>
        <w:r w:rsidR="00E54C44" w:rsidRPr="00186576">
          <w:rPr>
            <w:noProof/>
            <w:webHidden/>
          </w:rPr>
        </w:r>
        <w:r w:rsidR="00E54C44" w:rsidRPr="00186576">
          <w:rPr>
            <w:noProof/>
            <w:webHidden/>
          </w:rPr>
          <w:fldChar w:fldCharType="separate"/>
        </w:r>
        <w:r w:rsidR="0019342F">
          <w:rPr>
            <w:noProof/>
            <w:webHidden/>
          </w:rPr>
          <w:t>21</w:t>
        </w:r>
        <w:r w:rsidR="00E54C44" w:rsidRPr="00186576">
          <w:rPr>
            <w:noProof/>
            <w:webHidden/>
          </w:rPr>
          <w:fldChar w:fldCharType="end"/>
        </w:r>
      </w:hyperlink>
    </w:p>
    <w:p w14:paraId="721C837F" w14:textId="678EF4F7"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40" w:history="1">
        <w:r w:rsidR="00E54C44" w:rsidRPr="00186576">
          <w:rPr>
            <w:rStyle w:val="Hyperlink"/>
            <w:noProof/>
          </w:rPr>
          <w:t xml:space="preserve">Table 3.6: Total approvals by value of proposed investment range in </w:t>
        </w:r>
        <w:r w:rsidR="00D76ED2">
          <w:rPr>
            <w:rStyle w:val="Hyperlink"/>
            <w:noProof/>
          </w:rPr>
          <w:t>2020</w:t>
        </w:r>
        <w:r w:rsidR="00D76ED2">
          <w:rPr>
            <w:rStyle w:val="Hyperlink"/>
            <w:noProof/>
          </w:rPr>
          <w:noBreakHyphen/>
          <w:t>21</w:t>
        </w:r>
        <w:r w:rsidR="00E54C44" w:rsidRPr="00186576">
          <w:rPr>
            <w:rStyle w:val="Hyperlink"/>
            <w:noProof/>
          </w:rPr>
          <w:t xml:space="preserve">, </w:t>
        </w:r>
        <w:r w:rsidR="00BF64DA">
          <w:rPr>
            <w:rStyle w:val="Hyperlink"/>
            <w:noProof/>
          </w:rPr>
          <w:br/>
        </w:r>
        <w:r w:rsidR="00E54C44" w:rsidRPr="00186576">
          <w:rPr>
            <w:rStyle w:val="Hyperlink"/>
            <w:noProof/>
          </w:rPr>
          <w:t>by zero dollar threshold and non</w:t>
        </w:r>
        <w:r w:rsidR="003E7C79">
          <w:rPr>
            <w:rStyle w:val="Hyperlink"/>
            <w:noProof/>
          </w:rPr>
          <w:t>–</w:t>
        </w:r>
        <w:r w:rsidR="00E54C44" w:rsidRPr="00186576">
          <w:rPr>
            <w:rStyle w:val="Hyperlink"/>
            <w:noProof/>
          </w:rPr>
          <w:t>zero dollar threshold (number and value of approvals)</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_Toc89939940 \h </w:instrText>
        </w:r>
        <w:r w:rsidR="00E54C44" w:rsidRPr="00186576">
          <w:rPr>
            <w:noProof/>
            <w:webHidden/>
          </w:rPr>
        </w:r>
        <w:r w:rsidR="00E54C44" w:rsidRPr="00186576">
          <w:rPr>
            <w:noProof/>
            <w:webHidden/>
          </w:rPr>
          <w:fldChar w:fldCharType="separate"/>
        </w:r>
        <w:r w:rsidR="0019342F">
          <w:rPr>
            <w:noProof/>
            <w:webHidden/>
          </w:rPr>
          <w:t>21</w:t>
        </w:r>
        <w:r w:rsidR="00E54C44" w:rsidRPr="00186576">
          <w:rPr>
            <w:noProof/>
            <w:webHidden/>
          </w:rPr>
          <w:fldChar w:fldCharType="end"/>
        </w:r>
      </w:hyperlink>
    </w:p>
    <w:p w14:paraId="4AED9380" w14:textId="4B0D5194"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41" w:history="1">
        <w:r w:rsidR="00E54C44" w:rsidRPr="00186576">
          <w:rPr>
            <w:rStyle w:val="Hyperlink"/>
            <w:noProof/>
          </w:rPr>
          <w:t xml:space="preserve">Table 3.7: Total approvals by industry sector, </w:t>
        </w:r>
        <w:r w:rsidR="00DC1928">
          <w:rPr>
            <w:rStyle w:val="Hyperlink"/>
            <w:noProof/>
          </w:rPr>
          <w:t>2017</w:t>
        </w:r>
        <w:r w:rsidR="00DC1928">
          <w:rPr>
            <w:rStyle w:val="Hyperlink"/>
            <w:noProof/>
          </w:rPr>
          <w:noBreakHyphen/>
          <w:t>18</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_Toc89939941 \h </w:instrText>
        </w:r>
        <w:r w:rsidR="00E54C44" w:rsidRPr="00186576">
          <w:rPr>
            <w:noProof/>
            <w:webHidden/>
          </w:rPr>
        </w:r>
        <w:r w:rsidR="00E54C44" w:rsidRPr="00186576">
          <w:rPr>
            <w:noProof/>
            <w:webHidden/>
          </w:rPr>
          <w:fldChar w:fldCharType="separate"/>
        </w:r>
        <w:r w:rsidR="0019342F">
          <w:rPr>
            <w:noProof/>
            <w:webHidden/>
          </w:rPr>
          <w:t>24</w:t>
        </w:r>
        <w:r w:rsidR="00E54C44" w:rsidRPr="00186576">
          <w:rPr>
            <w:noProof/>
            <w:webHidden/>
          </w:rPr>
          <w:fldChar w:fldCharType="end"/>
        </w:r>
      </w:hyperlink>
    </w:p>
    <w:p w14:paraId="174072CA" w14:textId="5AEFB291"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42" w:history="1">
        <w:r w:rsidR="00E54C44" w:rsidRPr="00186576">
          <w:rPr>
            <w:rStyle w:val="Hyperlink"/>
            <w:noProof/>
          </w:rPr>
          <w:t xml:space="preserve">Table 3.8: Manufacturing, electricity and gas sector approvals, </w:t>
        </w:r>
        <w:r w:rsidR="00DC1928">
          <w:rPr>
            <w:rStyle w:val="Hyperlink"/>
            <w:noProof/>
          </w:rPr>
          <w:t>2017</w:t>
        </w:r>
        <w:r w:rsidR="00DC1928">
          <w:rPr>
            <w:rStyle w:val="Hyperlink"/>
            <w:noProof/>
          </w:rPr>
          <w:noBreakHyphen/>
          <w:t>18</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_Toc89939942 \h </w:instrText>
        </w:r>
        <w:r w:rsidR="00E54C44" w:rsidRPr="00186576">
          <w:rPr>
            <w:noProof/>
            <w:webHidden/>
          </w:rPr>
        </w:r>
        <w:r w:rsidR="00E54C44" w:rsidRPr="00186576">
          <w:rPr>
            <w:noProof/>
            <w:webHidden/>
          </w:rPr>
          <w:fldChar w:fldCharType="separate"/>
        </w:r>
        <w:r w:rsidR="0019342F">
          <w:rPr>
            <w:noProof/>
            <w:webHidden/>
          </w:rPr>
          <w:t>25</w:t>
        </w:r>
        <w:r w:rsidR="00E54C44" w:rsidRPr="00186576">
          <w:rPr>
            <w:noProof/>
            <w:webHidden/>
          </w:rPr>
          <w:fldChar w:fldCharType="end"/>
        </w:r>
      </w:hyperlink>
    </w:p>
    <w:p w14:paraId="1E806855" w14:textId="440E5692"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43" w:history="1">
        <w:r w:rsidR="00E54C44" w:rsidRPr="00186576">
          <w:rPr>
            <w:rStyle w:val="Hyperlink"/>
            <w:noProof/>
          </w:rPr>
          <w:t xml:space="preserve">Table 3.9: Mineral exploration and development sector approvals, </w:t>
        </w:r>
        <w:r w:rsidR="00DC1928">
          <w:rPr>
            <w:rStyle w:val="Hyperlink"/>
            <w:noProof/>
          </w:rPr>
          <w:t>2017</w:t>
        </w:r>
        <w:r w:rsidR="00DC1928">
          <w:rPr>
            <w:rStyle w:val="Hyperlink"/>
            <w:noProof/>
          </w:rPr>
          <w:noBreakHyphen/>
          <w:t>18</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_Toc89939943 \h </w:instrText>
        </w:r>
        <w:r w:rsidR="00E54C44" w:rsidRPr="00186576">
          <w:rPr>
            <w:noProof/>
            <w:webHidden/>
          </w:rPr>
        </w:r>
        <w:r w:rsidR="00E54C44" w:rsidRPr="00186576">
          <w:rPr>
            <w:noProof/>
            <w:webHidden/>
          </w:rPr>
          <w:fldChar w:fldCharType="separate"/>
        </w:r>
        <w:r w:rsidR="0019342F">
          <w:rPr>
            <w:noProof/>
            <w:webHidden/>
          </w:rPr>
          <w:t>25</w:t>
        </w:r>
        <w:r w:rsidR="00E54C44" w:rsidRPr="00186576">
          <w:rPr>
            <w:noProof/>
            <w:webHidden/>
          </w:rPr>
          <w:fldChar w:fldCharType="end"/>
        </w:r>
      </w:hyperlink>
    </w:p>
    <w:p w14:paraId="3F2F3A27" w14:textId="4FD9825F"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44" w:history="1">
        <w:r w:rsidR="00E54C44" w:rsidRPr="00186576">
          <w:rPr>
            <w:rStyle w:val="Hyperlink"/>
            <w:noProof/>
          </w:rPr>
          <w:t xml:space="preserve">Table 3.10: Services sector approvals, </w:t>
        </w:r>
        <w:r w:rsidR="00DC1928">
          <w:rPr>
            <w:rStyle w:val="Hyperlink"/>
            <w:noProof/>
          </w:rPr>
          <w:t>2017</w:t>
        </w:r>
        <w:r w:rsidR="00DC1928">
          <w:rPr>
            <w:rStyle w:val="Hyperlink"/>
            <w:noProof/>
          </w:rPr>
          <w:noBreakHyphen/>
          <w:t>18</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_Toc89939944 \h </w:instrText>
        </w:r>
        <w:r w:rsidR="00E54C44" w:rsidRPr="00186576">
          <w:rPr>
            <w:noProof/>
            <w:webHidden/>
          </w:rPr>
        </w:r>
        <w:r w:rsidR="00E54C44" w:rsidRPr="00186576">
          <w:rPr>
            <w:noProof/>
            <w:webHidden/>
          </w:rPr>
          <w:fldChar w:fldCharType="separate"/>
        </w:r>
        <w:r w:rsidR="0019342F">
          <w:rPr>
            <w:noProof/>
            <w:webHidden/>
          </w:rPr>
          <w:t>26</w:t>
        </w:r>
        <w:r w:rsidR="00E54C44" w:rsidRPr="00186576">
          <w:rPr>
            <w:noProof/>
            <w:webHidden/>
          </w:rPr>
          <w:fldChar w:fldCharType="end"/>
        </w:r>
      </w:hyperlink>
    </w:p>
    <w:p w14:paraId="11D6C9A1" w14:textId="3F2CD066"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45" w:history="1">
        <w:r w:rsidR="00E54C44" w:rsidRPr="00186576">
          <w:rPr>
            <w:rStyle w:val="Hyperlink"/>
            <w:noProof/>
          </w:rPr>
          <w:t xml:space="preserve">Table 3.11: Commercial real estate approvals, by type from </w:t>
        </w:r>
        <w:r w:rsidR="00DC1928">
          <w:rPr>
            <w:rStyle w:val="Hyperlink"/>
            <w:noProof/>
          </w:rPr>
          <w:t>2017</w:t>
        </w:r>
        <w:r w:rsidR="00DC1928">
          <w:rPr>
            <w:rStyle w:val="Hyperlink"/>
            <w:noProof/>
          </w:rPr>
          <w:noBreakHyphen/>
          <w:t>18</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_Toc89939945 \h </w:instrText>
        </w:r>
        <w:r w:rsidR="00E54C44" w:rsidRPr="00186576">
          <w:rPr>
            <w:noProof/>
            <w:webHidden/>
          </w:rPr>
        </w:r>
        <w:r w:rsidR="00E54C44" w:rsidRPr="00186576">
          <w:rPr>
            <w:noProof/>
            <w:webHidden/>
          </w:rPr>
          <w:fldChar w:fldCharType="separate"/>
        </w:r>
        <w:r w:rsidR="0019342F">
          <w:rPr>
            <w:noProof/>
            <w:webHidden/>
          </w:rPr>
          <w:t>27</w:t>
        </w:r>
        <w:r w:rsidR="00E54C44" w:rsidRPr="00186576">
          <w:rPr>
            <w:noProof/>
            <w:webHidden/>
          </w:rPr>
          <w:fldChar w:fldCharType="end"/>
        </w:r>
      </w:hyperlink>
    </w:p>
    <w:p w14:paraId="7801E8B2" w14:textId="036BF343"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46" w:history="1">
        <w:r w:rsidR="00E54C44" w:rsidRPr="00186576">
          <w:rPr>
            <w:rStyle w:val="Hyperlink"/>
            <w:noProof/>
          </w:rPr>
          <w:t xml:space="preserve">Table 3.12: State and territory distribution of proposed investment in </w:t>
        </w:r>
        <w:r w:rsidR="00BF64DA">
          <w:rPr>
            <w:rStyle w:val="Hyperlink"/>
            <w:noProof/>
          </w:rPr>
          <w:br/>
        </w:r>
        <w:r w:rsidR="00E54C44" w:rsidRPr="00186576">
          <w:rPr>
            <w:rStyle w:val="Hyperlink"/>
            <w:noProof/>
          </w:rPr>
          <w:t xml:space="preserve">commercial real estate in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_Toc89939946 \h </w:instrText>
        </w:r>
        <w:r w:rsidR="00E54C44" w:rsidRPr="00186576">
          <w:rPr>
            <w:noProof/>
            <w:webHidden/>
          </w:rPr>
        </w:r>
        <w:r w:rsidR="00E54C44" w:rsidRPr="00186576">
          <w:rPr>
            <w:noProof/>
            <w:webHidden/>
          </w:rPr>
          <w:fldChar w:fldCharType="separate"/>
        </w:r>
        <w:r w:rsidR="0019342F">
          <w:rPr>
            <w:noProof/>
            <w:webHidden/>
          </w:rPr>
          <w:t>27</w:t>
        </w:r>
        <w:r w:rsidR="00E54C44" w:rsidRPr="00186576">
          <w:rPr>
            <w:noProof/>
            <w:webHidden/>
          </w:rPr>
          <w:fldChar w:fldCharType="end"/>
        </w:r>
      </w:hyperlink>
    </w:p>
    <w:p w14:paraId="7C48F23E" w14:textId="0007AA3A"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47" w:history="1">
        <w:r w:rsidR="00E54C44" w:rsidRPr="00186576">
          <w:rPr>
            <w:rStyle w:val="Hyperlink"/>
            <w:noProof/>
          </w:rPr>
          <w:t xml:space="preserve">Table 3.13: Residential real estate approvals, by type, </w:t>
        </w:r>
        <w:r w:rsidR="00DC1928">
          <w:rPr>
            <w:rStyle w:val="Hyperlink"/>
            <w:noProof/>
          </w:rPr>
          <w:t>2017</w:t>
        </w:r>
        <w:r w:rsidR="00DC1928">
          <w:rPr>
            <w:rStyle w:val="Hyperlink"/>
            <w:noProof/>
          </w:rPr>
          <w:noBreakHyphen/>
          <w:t>18</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_Toc89939947 \h </w:instrText>
        </w:r>
        <w:r w:rsidR="00E54C44" w:rsidRPr="00186576">
          <w:rPr>
            <w:noProof/>
            <w:webHidden/>
          </w:rPr>
        </w:r>
        <w:r w:rsidR="00E54C44" w:rsidRPr="00186576">
          <w:rPr>
            <w:noProof/>
            <w:webHidden/>
          </w:rPr>
          <w:fldChar w:fldCharType="separate"/>
        </w:r>
        <w:r w:rsidR="0019342F">
          <w:rPr>
            <w:noProof/>
            <w:webHidden/>
          </w:rPr>
          <w:t>30</w:t>
        </w:r>
        <w:r w:rsidR="00E54C44" w:rsidRPr="00186576">
          <w:rPr>
            <w:noProof/>
            <w:webHidden/>
          </w:rPr>
          <w:fldChar w:fldCharType="end"/>
        </w:r>
      </w:hyperlink>
    </w:p>
    <w:p w14:paraId="15821ED9" w14:textId="20267E7D"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48" w:history="1">
        <w:r w:rsidR="00E54C44" w:rsidRPr="00186576">
          <w:rPr>
            <w:rStyle w:val="Hyperlink"/>
            <w:noProof/>
          </w:rPr>
          <w:t xml:space="preserve">Table 3.14: State and territory distribution of proposed investment in </w:t>
        </w:r>
        <w:r w:rsidR="00BF64DA">
          <w:rPr>
            <w:rStyle w:val="Hyperlink"/>
            <w:noProof/>
          </w:rPr>
          <w:br/>
        </w:r>
        <w:r w:rsidR="00E54C44" w:rsidRPr="00186576">
          <w:rPr>
            <w:rStyle w:val="Hyperlink"/>
            <w:noProof/>
          </w:rPr>
          <w:t xml:space="preserve">residential real estate in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_Toc89939948 \h </w:instrText>
        </w:r>
        <w:r w:rsidR="00E54C44" w:rsidRPr="00186576">
          <w:rPr>
            <w:noProof/>
            <w:webHidden/>
          </w:rPr>
        </w:r>
        <w:r w:rsidR="00E54C44" w:rsidRPr="00186576">
          <w:rPr>
            <w:noProof/>
            <w:webHidden/>
          </w:rPr>
          <w:fldChar w:fldCharType="separate"/>
        </w:r>
        <w:r w:rsidR="0019342F">
          <w:rPr>
            <w:noProof/>
            <w:webHidden/>
          </w:rPr>
          <w:t>31</w:t>
        </w:r>
        <w:r w:rsidR="00E54C44" w:rsidRPr="00186576">
          <w:rPr>
            <w:noProof/>
            <w:webHidden/>
          </w:rPr>
          <w:fldChar w:fldCharType="end"/>
        </w:r>
      </w:hyperlink>
    </w:p>
    <w:p w14:paraId="3BE63B15" w14:textId="4C5D6C6D"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49" w:history="1">
        <w:r w:rsidR="00E54C44" w:rsidRPr="00186576">
          <w:rPr>
            <w:rStyle w:val="Hyperlink"/>
            <w:noProof/>
          </w:rPr>
          <w:t xml:space="preserve">Table 3.15: State and territory distribution of proposed investment in </w:t>
        </w:r>
        <w:r w:rsidR="00BF64DA">
          <w:rPr>
            <w:rStyle w:val="Hyperlink"/>
            <w:noProof/>
          </w:rPr>
          <w:br/>
        </w:r>
        <w:r w:rsidR="00E54C44" w:rsidRPr="00186576">
          <w:rPr>
            <w:rStyle w:val="Hyperlink"/>
            <w:noProof/>
          </w:rPr>
          <w:t xml:space="preserve">residential real estate, by type in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_Toc89939949 \h </w:instrText>
        </w:r>
        <w:r w:rsidR="00E54C44" w:rsidRPr="00186576">
          <w:rPr>
            <w:noProof/>
            <w:webHidden/>
          </w:rPr>
        </w:r>
        <w:r w:rsidR="00E54C44" w:rsidRPr="00186576">
          <w:rPr>
            <w:noProof/>
            <w:webHidden/>
          </w:rPr>
          <w:fldChar w:fldCharType="separate"/>
        </w:r>
        <w:r w:rsidR="0019342F">
          <w:rPr>
            <w:noProof/>
            <w:webHidden/>
          </w:rPr>
          <w:t>31</w:t>
        </w:r>
        <w:r w:rsidR="00E54C44" w:rsidRPr="00186576">
          <w:rPr>
            <w:noProof/>
            <w:webHidden/>
          </w:rPr>
          <w:fldChar w:fldCharType="end"/>
        </w:r>
      </w:hyperlink>
    </w:p>
    <w:p w14:paraId="0A755CB7" w14:textId="4F3CD187"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50" w:history="1">
        <w:r w:rsidR="00E54C44" w:rsidRPr="00186576">
          <w:rPr>
            <w:rStyle w:val="Hyperlink"/>
            <w:noProof/>
          </w:rPr>
          <w:t xml:space="preserve">Table 3.16: New business approvals by industry sector, </w:t>
        </w:r>
        <w:r w:rsidR="00DC1928">
          <w:rPr>
            <w:rStyle w:val="Hyperlink"/>
            <w:noProof/>
          </w:rPr>
          <w:t>2017</w:t>
        </w:r>
        <w:r w:rsidR="00DC1928">
          <w:rPr>
            <w:rStyle w:val="Hyperlink"/>
            <w:noProof/>
          </w:rPr>
          <w:noBreakHyphen/>
          <w:t>18</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_Toc89939950 \h </w:instrText>
        </w:r>
        <w:r w:rsidR="00E54C44" w:rsidRPr="00186576">
          <w:rPr>
            <w:noProof/>
            <w:webHidden/>
          </w:rPr>
        </w:r>
        <w:r w:rsidR="00E54C44" w:rsidRPr="00186576">
          <w:rPr>
            <w:noProof/>
            <w:webHidden/>
          </w:rPr>
          <w:fldChar w:fldCharType="separate"/>
        </w:r>
        <w:r w:rsidR="0019342F">
          <w:rPr>
            <w:noProof/>
            <w:webHidden/>
          </w:rPr>
          <w:t>32</w:t>
        </w:r>
        <w:r w:rsidR="00E54C44" w:rsidRPr="00186576">
          <w:rPr>
            <w:noProof/>
            <w:webHidden/>
          </w:rPr>
          <w:fldChar w:fldCharType="end"/>
        </w:r>
      </w:hyperlink>
    </w:p>
    <w:p w14:paraId="537281EA" w14:textId="6AA8533D"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51" w:history="1">
        <w:r w:rsidR="00E54C44" w:rsidRPr="00186576">
          <w:rPr>
            <w:rStyle w:val="Hyperlink"/>
            <w:noProof/>
          </w:rPr>
          <w:t xml:space="preserve">Table 3.17: Approvals by country of investor, by industry sector in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_Toc89939951 \h </w:instrText>
        </w:r>
        <w:r w:rsidR="00E54C44" w:rsidRPr="00186576">
          <w:rPr>
            <w:noProof/>
            <w:webHidden/>
          </w:rPr>
        </w:r>
        <w:r w:rsidR="00E54C44" w:rsidRPr="00186576">
          <w:rPr>
            <w:noProof/>
            <w:webHidden/>
          </w:rPr>
          <w:fldChar w:fldCharType="separate"/>
        </w:r>
        <w:r w:rsidR="0019342F">
          <w:rPr>
            <w:noProof/>
            <w:webHidden/>
          </w:rPr>
          <w:t>34</w:t>
        </w:r>
        <w:r w:rsidR="00E54C44" w:rsidRPr="00186576">
          <w:rPr>
            <w:noProof/>
            <w:webHidden/>
          </w:rPr>
          <w:fldChar w:fldCharType="end"/>
        </w:r>
      </w:hyperlink>
    </w:p>
    <w:p w14:paraId="6AEED901" w14:textId="283F2AE1"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52" w:history="1">
        <w:r w:rsidR="00E54C44" w:rsidRPr="00186576">
          <w:rPr>
            <w:rStyle w:val="Hyperlink"/>
            <w:noProof/>
          </w:rPr>
          <w:t xml:space="preserve">Table 3.18: Variations considered from </w:t>
        </w:r>
        <w:r w:rsidR="00D76ED2">
          <w:rPr>
            <w:rStyle w:val="Hyperlink"/>
            <w:noProof/>
          </w:rPr>
          <w:t>2019</w:t>
        </w:r>
        <w:r w:rsidR="00D76ED2">
          <w:rPr>
            <w:rStyle w:val="Hyperlink"/>
            <w:noProof/>
          </w:rPr>
          <w:noBreakHyphen/>
          <w:t>20</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rStyle w:val="Hyperlink"/>
            <w:noProof/>
          </w:rPr>
          <w:t xml:space="preserve"> </w:t>
        </w:r>
        <w:r w:rsidR="00BF64DA">
          <w:rPr>
            <w:rStyle w:val="Hyperlink"/>
            <w:noProof/>
          </w:rPr>
          <w:br/>
        </w:r>
        <w:r w:rsidR="00E54C44" w:rsidRPr="00186576">
          <w:rPr>
            <w:rStyle w:val="Hyperlink"/>
            <w:noProof/>
          </w:rPr>
          <w:t>(number of variations by variation type)</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_Toc89939952 \h </w:instrText>
        </w:r>
        <w:r w:rsidR="00E54C44" w:rsidRPr="00186576">
          <w:rPr>
            <w:noProof/>
            <w:webHidden/>
          </w:rPr>
        </w:r>
        <w:r w:rsidR="00E54C44" w:rsidRPr="00186576">
          <w:rPr>
            <w:noProof/>
            <w:webHidden/>
          </w:rPr>
          <w:fldChar w:fldCharType="separate"/>
        </w:r>
        <w:r w:rsidR="0019342F">
          <w:rPr>
            <w:noProof/>
            <w:webHidden/>
          </w:rPr>
          <w:t>36</w:t>
        </w:r>
        <w:r w:rsidR="00E54C44" w:rsidRPr="00186576">
          <w:rPr>
            <w:noProof/>
            <w:webHidden/>
          </w:rPr>
          <w:fldChar w:fldCharType="end"/>
        </w:r>
      </w:hyperlink>
    </w:p>
    <w:p w14:paraId="6807E3E3" w14:textId="71B599E8"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53" w:history="1">
        <w:r w:rsidR="00E54C44" w:rsidRPr="00186576">
          <w:rPr>
            <w:rStyle w:val="Hyperlink"/>
            <w:noProof/>
          </w:rPr>
          <w:t xml:space="preserve">Table 3.19: Variations approved from </w:t>
        </w:r>
        <w:r w:rsidR="00D76ED2">
          <w:rPr>
            <w:rStyle w:val="Hyperlink"/>
            <w:noProof/>
          </w:rPr>
          <w:t>2019</w:t>
        </w:r>
        <w:r w:rsidR="00D76ED2">
          <w:rPr>
            <w:rStyle w:val="Hyperlink"/>
            <w:noProof/>
          </w:rPr>
          <w:noBreakHyphen/>
          <w:t>20</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rStyle w:val="Hyperlink"/>
            <w:noProof/>
          </w:rPr>
          <w:t xml:space="preserve"> </w:t>
        </w:r>
        <w:r w:rsidR="00BF64DA">
          <w:rPr>
            <w:rStyle w:val="Hyperlink"/>
            <w:noProof/>
          </w:rPr>
          <w:br/>
        </w:r>
        <w:r w:rsidR="00E54C44" w:rsidRPr="00186576">
          <w:rPr>
            <w:rStyle w:val="Hyperlink"/>
            <w:noProof/>
          </w:rPr>
          <w:t>(number of variations by variation reason)</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_Toc89939953 \h </w:instrText>
        </w:r>
        <w:r w:rsidR="00E54C44" w:rsidRPr="00186576">
          <w:rPr>
            <w:noProof/>
            <w:webHidden/>
          </w:rPr>
        </w:r>
        <w:r w:rsidR="00E54C44" w:rsidRPr="00186576">
          <w:rPr>
            <w:noProof/>
            <w:webHidden/>
          </w:rPr>
          <w:fldChar w:fldCharType="separate"/>
        </w:r>
        <w:r w:rsidR="0019342F">
          <w:rPr>
            <w:noProof/>
            <w:webHidden/>
          </w:rPr>
          <w:t>37</w:t>
        </w:r>
        <w:r w:rsidR="00E54C44" w:rsidRPr="00186576">
          <w:rPr>
            <w:noProof/>
            <w:webHidden/>
          </w:rPr>
          <w:fldChar w:fldCharType="end"/>
        </w:r>
      </w:hyperlink>
    </w:p>
    <w:p w14:paraId="11BE644B" w14:textId="11A04CDE"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54" w:history="1">
        <w:r w:rsidR="00E54C44" w:rsidRPr="00186576">
          <w:rPr>
            <w:rStyle w:val="Hyperlink"/>
            <w:noProof/>
          </w:rPr>
          <w:t xml:space="preserve">Table 3.20: Vacancy fee statistics, </w:t>
        </w:r>
        <w:r w:rsidR="00C17F09">
          <w:rPr>
            <w:rStyle w:val="Hyperlink"/>
            <w:noProof/>
          </w:rPr>
          <w:t>2018</w:t>
        </w:r>
        <w:r w:rsidR="00C17F09">
          <w:rPr>
            <w:rStyle w:val="Hyperlink"/>
            <w:noProof/>
          </w:rPr>
          <w:noBreakHyphen/>
          <w:t>19</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_Toc89939954 \h </w:instrText>
        </w:r>
        <w:r w:rsidR="00E54C44" w:rsidRPr="00186576">
          <w:rPr>
            <w:noProof/>
            <w:webHidden/>
          </w:rPr>
        </w:r>
        <w:r w:rsidR="00E54C44" w:rsidRPr="00186576">
          <w:rPr>
            <w:noProof/>
            <w:webHidden/>
          </w:rPr>
          <w:fldChar w:fldCharType="separate"/>
        </w:r>
        <w:r w:rsidR="0019342F">
          <w:rPr>
            <w:noProof/>
            <w:webHidden/>
          </w:rPr>
          <w:t>38</w:t>
        </w:r>
        <w:r w:rsidR="00E54C44" w:rsidRPr="00186576">
          <w:rPr>
            <w:noProof/>
            <w:webHidden/>
          </w:rPr>
          <w:fldChar w:fldCharType="end"/>
        </w:r>
      </w:hyperlink>
    </w:p>
    <w:p w14:paraId="501A4924" w14:textId="328EEA26"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55" w:history="1">
        <w:r w:rsidR="00E54C44" w:rsidRPr="00186576">
          <w:rPr>
            <w:rStyle w:val="Hyperlink"/>
            <w:noProof/>
          </w:rPr>
          <w:t xml:space="preserve">Table 3.21: Foreign investment fee collection, </w:t>
        </w:r>
        <w:r w:rsidR="00DC1928">
          <w:rPr>
            <w:rStyle w:val="Hyperlink"/>
            <w:noProof/>
          </w:rPr>
          <w:t>2017</w:t>
        </w:r>
        <w:r w:rsidR="00DC1928">
          <w:rPr>
            <w:rStyle w:val="Hyperlink"/>
            <w:noProof/>
          </w:rPr>
          <w:noBreakHyphen/>
          <w:t>18</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_Toc89939955 \h </w:instrText>
        </w:r>
        <w:r w:rsidR="00E54C44" w:rsidRPr="00186576">
          <w:rPr>
            <w:noProof/>
            <w:webHidden/>
          </w:rPr>
        </w:r>
        <w:r w:rsidR="00E54C44" w:rsidRPr="00186576">
          <w:rPr>
            <w:noProof/>
            <w:webHidden/>
          </w:rPr>
          <w:fldChar w:fldCharType="separate"/>
        </w:r>
        <w:r w:rsidR="0019342F">
          <w:rPr>
            <w:noProof/>
            <w:webHidden/>
          </w:rPr>
          <w:t>39</w:t>
        </w:r>
        <w:r w:rsidR="00E54C44" w:rsidRPr="00186576">
          <w:rPr>
            <w:noProof/>
            <w:webHidden/>
          </w:rPr>
          <w:fldChar w:fldCharType="end"/>
        </w:r>
      </w:hyperlink>
    </w:p>
    <w:p w14:paraId="1B74D740" w14:textId="7B1A3484"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56" w:history="1">
        <w:r w:rsidR="00E54C44" w:rsidRPr="00186576">
          <w:rPr>
            <w:rStyle w:val="Hyperlink"/>
            <w:noProof/>
          </w:rPr>
          <w:t xml:space="preserve">Table 4.1: Audits completed, </w:t>
        </w:r>
        <w:r w:rsidR="00D76ED2">
          <w:rPr>
            <w:rStyle w:val="Hyperlink"/>
            <w:noProof/>
          </w:rPr>
          <w:t>2019</w:t>
        </w:r>
        <w:r w:rsidR="00D76ED2">
          <w:rPr>
            <w:rStyle w:val="Hyperlink"/>
            <w:noProof/>
          </w:rPr>
          <w:noBreakHyphen/>
          <w:t>20</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_Toc89939956 \h </w:instrText>
        </w:r>
        <w:r w:rsidR="00E54C44" w:rsidRPr="00186576">
          <w:rPr>
            <w:noProof/>
            <w:webHidden/>
          </w:rPr>
        </w:r>
        <w:r w:rsidR="00E54C44" w:rsidRPr="00186576">
          <w:rPr>
            <w:noProof/>
            <w:webHidden/>
          </w:rPr>
          <w:fldChar w:fldCharType="separate"/>
        </w:r>
        <w:r w:rsidR="0019342F">
          <w:rPr>
            <w:noProof/>
            <w:webHidden/>
          </w:rPr>
          <w:t>42</w:t>
        </w:r>
        <w:r w:rsidR="00E54C44" w:rsidRPr="00186576">
          <w:rPr>
            <w:noProof/>
            <w:webHidden/>
          </w:rPr>
          <w:fldChar w:fldCharType="end"/>
        </w:r>
      </w:hyperlink>
    </w:p>
    <w:p w14:paraId="6C727EAD" w14:textId="050A2244"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57" w:history="1">
        <w:r w:rsidR="00E54C44" w:rsidRPr="00186576">
          <w:rPr>
            <w:rStyle w:val="Hyperlink"/>
            <w:noProof/>
          </w:rPr>
          <w:t>Table 4.2: Assessment of potential non</w:t>
        </w:r>
        <w:r w:rsidR="003E7C79">
          <w:rPr>
            <w:rStyle w:val="Hyperlink"/>
            <w:noProof/>
          </w:rPr>
          <w:t>–</w:t>
        </w:r>
        <w:r w:rsidR="00E54C44" w:rsidRPr="00186576">
          <w:rPr>
            <w:rStyle w:val="Hyperlink"/>
            <w:noProof/>
          </w:rPr>
          <w:t xml:space="preserve">compliance,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_Toc89939957 \h </w:instrText>
        </w:r>
        <w:r w:rsidR="00E54C44" w:rsidRPr="00186576">
          <w:rPr>
            <w:noProof/>
            <w:webHidden/>
          </w:rPr>
        </w:r>
        <w:r w:rsidR="00E54C44" w:rsidRPr="00186576">
          <w:rPr>
            <w:noProof/>
            <w:webHidden/>
          </w:rPr>
          <w:fldChar w:fldCharType="separate"/>
        </w:r>
        <w:r w:rsidR="0019342F">
          <w:rPr>
            <w:noProof/>
            <w:webHidden/>
          </w:rPr>
          <w:t>44</w:t>
        </w:r>
        <w:r w:rsidR="00E54C44" w:rsidRPr="00186576">
          <w:rPr>
            <w:noProof/>
            <w:webHidden/>
          </w:rPr>
          <w:fldChar w:fldCharType="end"/>
        </w:r>
      </w:hyperlink>
    </w:p>
    <w:p w14:paraId="7F72972C" w14:textId="0EB9F10D"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58" w:history="1">
        <w:r w:rsidR="00E54C44" w:rsidRPr="00186576">
          <w:rPr>
            <w:rStyle w:val="Hyperlink"/>
            <w:noProof/>
          </w:rPr>
          <w:t xml:space="preserve">Table 4.3: Condition mandated reporting,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_Toc89939958 \h </w:instrText>
        </w:r>
        <w:r w:rsidR="00E54C44" w:rsidRPr="00186576">
          <w:rPr>
            <w:noProof/>
            <w:webHidden/>
          </w:rPr>
        </w:r>
        <w:r w:rsidR="00E54C44" w:rsidRPr="00186576">
          <w:rPr>
            <w:noProof/>
            <w:webHidden/>
          </w:rPr>
          <w:fldChar w:fldCharType="separate"/>
        </w:r>
        <w:r w:rsidR="0019342F">
          <w:rPr>
            <w:noProof/>
            <w:webHidden/>
          </w:rPr>
          <w:t>45</w:t>
        </w:r>
        <w:r w:rsidR="00E54C44" w:rsidRPr="00186576">
          <w:rPr>
            <w:noProof/>
            <w:webHidden/>
          </w:rPr>
          <w:fldChar w:fldCharType="end"/>
        </w:r>
      </w:hyperlink>
    </w:p>
    <w:p w14:paraId="6A1E7B94" w14:textId="43185023"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59" w:history="1">
        <w:r w:rsidR="00E54C44" w:rsidRPr="00186576">
          <w:rPr>
            <w:rStyle w:val="Hyperlink"/>
            <w:noProof/>
          </w:rPr>
          <w:t xml:space="preserve">Table 4.4: Statutory reporting,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_Toc89939959 \h </w:instrText>
        </w:r>
        <w:r w:rsidR="00E54C44" w:rsidRPr="00186576">
          <w:rPr>
            <w:noProof/>
            <w:webHidden/>
          </w:rPr>
        </w:r>
        <w:r w:rsidR="00E54C44" w:rsidRPr="00186576">
          <w:rPr>
            <w:noProof/>
            <w:webHidden/>
          </w:rPr>
          <w:fldChar w:fldCharType="separate"/>
        </w:r>
        <w:r w:rsidR="0019342F">
          <w:rPr>
            <w:noProof/>
            <w:webHidden/>
          </w:rPr>
          <w:t>45</w:t>
        </w:r>
        <w:r w:rsidR="00E54C44" w:rsidRPr="00186576">
          <w:rPr>
            <w:noProof/>
            <w:webHidden/>
          </w:rPr>
          <w:fldChar w:fldCharType="end"/>
        </w:r>
      </w:hyperlink>
    </w:p>
    <w:p w14:paraId="2E77BBB3" w14:textId="7237B813"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60" w:history="1">
        <w:r w:rsidR="00E54C44" w:rsidRPr="00186576">
          <w:rPr>
            <w:rStyle w:val="Hyperlink"/>
            <w:noProof/>
          </w:rPr>
          <w:t xml:space="preserve">Table 4.5: Residential real estate compliance investigations, </w:t>
        </w:r>
        <w:r w:rsidR="00C17F09">
          <w:rPr>
            <w:rStyle w:val="Hyperlink"/>
            <w:noProof/>
          </w:rPr>
          <w:t>2018</w:t>
        </w:r>
        <w:r w:rsidR="00C17F09">
          <w:rPr>
            <w:rStyle w:val="Hyperlink"/>
            <w:noProof/>
          </w:rPr>
          <w:noBreakHyphen/>
          <w:t>19</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_Toc89939960 \h </w:instrText>
        </w:r>
        <w:r w:rsidR="00E54C44" w:rsidRPr="00186576">
          <w:rPr>
            <w:noProof/>
            <w:webHidden/>
          </w:rPr>
        </w:r>
        <w:r w:rsidR="00E54C44" w:rsidRPr="00186576">
          <w:rPr>
            <w:noProof/>
            <w:webHidden/>
          </w:rPr>
          <w:fldChar w:fldCharType="separate"/>
        </w:r>
        <w:r w:rsidR="0019342F">
          <w:rPr>
            <w:noProof/>
            <w:webHidden/>
          </w:rPr>
          <w:t>46</w:t>
        </w:r>
        <w:r w:rsidR="00E54C44" w:rsidRPr="00186576">
          <w:rPr>
            <w:noProof/>
            <w:webHidden/>
          </w:rPr>
          <w:fldChar w:fldCharType="end"/>
        </w:r>
      </w:hyperlink>
    </w:p>
    <w:p w14:paraId="4268A130" w14:textId="5EF434C5"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61" w:history="1">
        <w:r w:rsidR="00E54C44" w:rsidRPr="00186576">
          <w:rPr>
            <w:rStyle w:val="Hyperlink"/>
            <w:noProof/>
          </w:rPr>
          <w:t>Table 4.6: Outcomes of residential real estate investigations that</w:t>
        </w:r>
        <w:r w:rsidR="00BF64DA">
          <w:rPr>
            <w:rStyle w:val="Hyperlink"/>
            <w:noProof/>
          </w:rPr>
          <w:br/>
        </w:r>
        <w:r w:rsidR="00E54C44" w:rsidRPr="00186576">
          <w:rPr>
            <w:rStyle w:val="Hyperlink"/>
            <w:noProof/>
          </w:rPr>
          <w:t xml:space="preserve"> identified breaches, </w:t>
        </w:r>
        <w:r w:rsidR="00C17F09">
          <w:rPr>
            <w:rStyle w:val="Hyperlink"/>
            <w:noProof/>
          </w:rPr>
          <w:t>2018</w:t>
        </w:r>
        <w:r w:rsidR="00C17F09">
          <w:rPr>
            <w:rStyle w:val="Hyperlink"/>
            <w:noProof/>
          </w:rPr>
          <w:noBreakHyphen/>
          <w:t>19</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_Toc89939961 \h </w:instrText>
        </w:r>
        <w:r w:rsidR="00E54C44" w:rsidRPr="00186576">
          <w:rPr>
            <w:noProof/>
            <w:webHidden/>
          </w:rPr>
        </w:r>
        <w:r w:rsidR="00E54C44" w:rsidRPr="00186576">
          <w:rPr>
            <w:noProof/>
            <w:webHidden/>
          </w:rPr>
          <w:fldChar w:fldCharType="separate"/>
        </w:r>
        <w:r w:rsidR="0019342F">
          <w:rPr>
            <w:noProof/>
            <w:webHidden/>
          </w:rPr>
          <w:t>47</w:t>
        </w:r>
        <w:r w:rsidR="00E54C44" w:rsidRPr="00186576">
          <w:rPr>
            <w:noProof/>
            <w:webHidden/>
          </w:rPr>
          <w:fldChar w:fldCharType="end"/>
        </w:r>
      </w:hyperlink>
    </w:p>
    <w:p w14:paraId="42FC7C23" w14:textId="686556D2"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62" w:history="1">
        <w:r w:rsidR="00E54C44" w:rsidRPr="00186576">
          <w:rPr>
            <w:rStyle w:val="Hyperlink"/>
            <w:noProof/>
          </w:rPr>
          <w:t xml:space="preserve">Table 4.7: Source of residential real estate compliance investigations, </w:t>
        </w:r>
        <w:r w:rsidR="00BF64DA">
          <w:rPr>
            <w:rStyle w:val="Hyperlink"/>
            <w:noProof/>
          </w:rPr>
          <w:br/>
        </w:r>
        <w:r w:rsidR="00C17F09">
          <w:rPr>
            <w:rStyle w:val="Hyperlink"/>
            <w:noProof/>
          </w:rPr>
          <w:t>2018</w:t>
        </w:r>
        <w:r w:rsidR="00C17F09">
          <w:rPr>
            <w:rStyle w:val="Hyperlink"/>
            <w:noProof/>
          </w:rPr>
          <w:noBreakHyphen/>
          <w:t>19</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_Toc89939962 \h </w:instrText>
        </w:r>
        <w:r w:rsidR="00E54C44" w:rsidRPr="00186576">
          <w:rPr>
            <w:noProof/>
            <w:webHidden/>
          </w:rPr>
        </w:r>
        <w:r w:rsidR="00E54C44" w:rsidRPr="00186576">
          <w:rPr>
            <w:noProof/>
            <w:webHidden/>
          </w:rPr>
          <w:fldChar w:fldCharType="separate"/>
        </w:r>
        <w:r w:rsidR="0019342F">
          <w:rPr>
            <w:noProof/>
            <w:webHidden/>
          </w:rPr>
          <w:t>48</w:t>
        </w:r>
        <w:r w:rsidR="00E54C44" w:rsidRPr="00186576">
          <w:rPr>
            <w:noProof/>
            <w:webHidden/>
          </w:rPr>
          <w:fldChar w:fldCharType="end"/>
        </w:r>
      </w:hyperlink>
    </w:p>
    <w:p w14:paraId="6B33326A" w14:textId="04234899"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63" w:history="1">
        <w:r w:rsidR="00E54C44" w:rsidRPr="00186576">
          <w:rPr>
            <w:rStyle w:val="Hyperlink"/>
            <w:noProof/>
          </w:rPr>
          <w:t xml:space="preserve">Table 4.8: Outcomes of completed residential real estate compliance investigations, </w:t>
        </w:r>
        <w:r w:rsidR="00BF64DA">
          <w:rPr>
            <w:rStyle w:val="Hyperlink"/>
            <w:noProof/>
          </w:rPr>
          <w:br/>
        </w:r>
        <w:r w:rsidR="00C17F09">
          <w:rPr>
            <w:rStyle w:val="Hyperlink"/>
            <w:noProof/>
          </w:rPr>
          <w:t>2018</w:t>
        </w:r>
        <w:r w:rsidR="00C17F09">
          <w:rPr>
            <w:rStyle w:val="Hyperlink"/>
            <w:noProof/>
          </w:rPr>
          <w:noBreakHyphen/>
          <w:t>19</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rStyle w:val="Hyperlink"/>
            <w:noProof/>
          </w:rPr>
          <w:t>, by source</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_Toc89939963 \h </w:instrText>
        </w:r>
        <w:r w:rsidR="00E54C44" w:rsidRPr="00186576">
          <w:rPr>
            <w:noProof/>
            <w:webHidden/>
          </w:rPr>
        </w:r>
        <w:r w:rsidR="00E54C44" w:rsidRPr="00186576">
          <w:rPr>
            <w:noProof/>
            <w:webHidden/>
          </w:rPr>
          <w:fldChar w:fldCharType="separate"/>
        </w:r>
        <w:r w:rsidR="0019342F">
          <w:rPr>
            <w:noProof/>
            <w:webHidden/>
          </w:rPr>
          <w:t>48</w:t>
        </w:r>
        <w:r w:rsidR="00E54C44" w:rsidRPr="00186576">
          <w:rPr>
            <w:noProof/>
            <w:webHidden/>
          </w:rPr>
          <w:fldChar w:fldCharType="end"/>
        </w:r>
      </w:hyperlink>
    </w:p>
    <w:p w14:paraId="2621F556" w14:textId="460127C4" w:rsidR="00E54C44" w:rsidRPr="00186576" w:rsidRDefault="00C2021F" w:rsidP="00186576">
      <w:pPr>
        <w:pStyle w:val="TableofFigures"/>
        <w:tabs>
          <w:tab w:val="right" w:leader="dot" w:pos="7700"/>
        </w:tabs>
        <w:spacing w:line="276" w:lineRule="auto"/>
        <w:rPr>
          <w:rFonts w:eastAsiaTheme="minorEastAsia" w:cstheme="minorBidi"/>
          <w:noProof/>
          <w:color w:val="auto"/>
          <w:sz w:val="22"/>
          <w:szCs w:val="22"/>
        </w:rPr>
      </w:pPr>
      <w:hyperlink w:anchor="_Toc89939964" w:history="1">
        <w:r w:rsidR="00E54C44" w:rsidRPr="00186576">
          <w:rPr>
            <w:rStyle w:val="Hyperlink"/>
            <w:noProof/>
          </w:rPr>
          <w:t xml:space="preserve">Table 4.9: Infringement notices issued in relation to residential real estate, </w:t>
        </w:r>
        <w:r w:rsidR="00BF64DA">
          <w:rPr>
            <w:rStyle w:val="Hyperlink"/>
            <w:noProof/>
          </w:rPr>
          <w:br/>
        </w:r>
        <w:r w:rsidR="00C17F09">
          <w:rPr>
            <w:rStyle w:val="Hyperlink"/>
            <w:noProof/>
          </w:rPr>
          <w:t>2018</w:t>
        </w:r>
        <w:r w:rsidR="00C17F09">
          <w:rPr>
            <w:rStyle w:val="Hyperlink"/>
            <w:noProof/>
          </w:rPr>
          <w:noBreakHyphen/>
          <w:t>19</w:t>
        </w:r>
        <w:r w:rsidR="00E54C44" w:rsidRPr="00186576">
          <w:rPr>
            <w:rStyle w:val="Hyperlink"/>
            <w:noProof/>
          </w:rPr>
          <w:t xml:space="preserve"> to </w:t>
        </w:r>
        <w:r w:rsidR="00D76ED2">
          <w:rPr>
            <w:rStyle w:val="Hyperlink"/>
            <w:noProof/>
          </w:rPr>
          <w:t>2020</w:t>
        </w:r>
        <w:r w:rsidR="00D76ED2">
          <w:rPr>
            <w:rStyle w:val="Hyperlink"/>
            <w:noProof/>
          </w:rPr>
          <w:noBreakHyphen/>
          <w:t>21</w:t>
        </w:r>
        <w:r w:rsidR="00E54C44" w:rsidRPr="00186576">
          <w:rPr>
            <w:noProof/>
            <w:webHidden/>
          </w:rPr>
          <w:tab/>
        </w:r>
        <w:r w:rsidR="00E54C44" w:rsidRPr="00186576">
          <w:rPr>
            <w:noProof/>
            <w:webHidden/>
          </w:rPr>
          <w:fldChar w:fldCharType="begin"/>
        </w:r>
        <w:r w:rsidR="00E54C44" w:rsidRPr="00186576">
          <w:rPr>
            <w:noProof/>
            <w:webHidden/>
          </w:rPr>
          <w:instrText xml:space="preserve"> PAGEREF _Toc89939964 \h </w:instrText>
        </w:r>
        <w:r w:rsidR="00E54C44" w:rsidRPr="00186576">
          <w:rPr>
            <w:noProof/>
            <w:webHidden/>
          </w:rPr>
        </w:r>
        <w:r w:rsidR="00E54C44" w:rsidRPr="00186576">
          <w:rPr>
            <w:noProof/>
            <w:webHidden/>
          </w:rPr>
          <w:fldChar w:fldCharType="separate"/>
        </w:r>
        <w:r w:rsidR="0019342F">
          <w:rPr>
            <w:noProof/>
            <w:webHidden/>
          </w:rPr>
          <w:t>49</w:t>
        </w:r>
        <w:r w:rsidR="00E54C44" w:rsidRPr="00186576">
          <w:rPr>
            <w:noProof/>
            <w:webHidden/>
          </w:rPr>
          <w:fldChar w:fldCharType="end"/>
        </w:r>
      </w:hyperlink>
    </w:p>
    <w:p w14:paraId="437B1907" w14:textId="77777777" w:rsidR="00BF51F4" w:rsidRDefault="00A32E43" w:rsidP="00BF51F4">
      <w:pPr>
        <w:tabs>
          <w:tab w:val="left" w:pos="6229"/>
        </w:tabs>
        <w:rPr>
          <w:noProof/>
        </w:rPr>
      </w:pPr>
      <w:r>
        <w:fldChar w:fldCharType="end"/>
      </w:r>
      <w:r w:rsidR="00BF51F4">
        <w:fldChar w:fldCharType="begin"/>
      </w:r>
      <w:r w:rsidR="00BF51F4">
        <w:instrText xml:space="preserve"> TOC \h \z \t "Chart Main Heading" \c </w:instrText>
      </w:r>
      <w:r w:rsidR="00BF51F4">
        <w:fldChar w:fldCharType="separate"/>
      </w:r>
    </w:p>
    <w:p w14:paraId="647BE713" w14:textId="7F108F11" w:rsidR="00BF51F4" w:rsidRDefault="00C2021F">
      <w:pPr>
        <w:pStyle w:val="TableofFigures"/>
        <w:tabs>
          <w:tab w:val="right" w:leader="dot" w:pos="7700"/>
        </w:tabs>
        <w:rPr>
          <w:rFonts w:eastAsiaTheme="minorEastAsia" w:cstheme="minorBidi"/>
          <w:noProof/>
          <w:color w:val="auto"/>
          <w:sz w:val="22"/>
          <w:szCs w:val="22"/>
        </w:rPr>
      </w:pPr>
      <w:hyperlink w:anchor="_Toc100146842" w:history="1">
        <w:r w:rsidR="00BF51F4" w:rsidRPr="005A26B4">
          <w:rPr>
            <w:rStyle w:val="Hyperlink"/>
            <w:noProof/>
          </w:rPr>
          <w:t>Chart 3.1: Share of total value of approvals, by industry sector in 2020</w:t>
        </w:r>
        <w:r w:rsidR="00BF51F4" w:rsidRPr="005A26B4">
          <w:rPr>
            <w:rStyle w:val="Hyperlink"/>
            <w:noProof/>
          </w:rPr>
          <w:noBreakHyphen/>
          <w:t>21</w:t>
        </w:r>
        <w:r w:rsidR="00BF51F4">
          <w:rPr>
            <w:noProof/>
            <w:webHidden/>
          </w:rPr>
          <w:tab/>
        </w:r>
        <w:r w:rsidR="00BF51F4">
          <w:rPr>
            <w:noProof/>
            <w:webHidden/>
          </w:rPr>
          <w:fldChar w:fldCharType="begin"/>
        </w:r>
        <w:r w:rsidR="00BF51F4">
          <w:rPr>
            <w:noProof/>
            <w:webHidden/>
          </w:rPr>
          <w:instrText xml:space="preserve"> PAGEREF _Toc100146842 \h </w:instrText>
        </w:r>
        <w:r w:rsidR="00BF51F4">
          <w:rPr>
            <w:noProof/>
            <w:webHidden/>
          </w:rPr>
        </w:r>
        <w:r w:rsidR="00BF51F4">
          <w:rPr>
            <w:noProof/>
            <w:webHidden/>
          </w:rPr>
          <w:fldChar w:fldCharType="separate"/>
        </w:r>
        <w:r w:rsidR="00BF51F4">
          <w:rPr>
            <w:noProof/>
            <w:webHidden/>
          </w:rPr>
          <w:t>22</w:t>
        </w:r>
        <w:r w:rsidR="00BF51F4">
          <w:rPr>
            <w:noProof/>
            <w:webHidden/>
          </w:rPr>
          <w:fldChar w:fldCharType="end"/>
        </w:r>
      </w:hyperlink>
    </w:p>
    <w:p w14:paraId="005CB353" w14:textId="7456B74B" w:rsidR="00BF51F4" w:rsidRDefault="00C2021F">
      <w:pPr>
        <w:pStyle w:val="TableofFigures"/>
        <w:tabs>
          <w:tab w:val="right" w:leader="dot" w:pos="7700"/>
        </w:tabs>
        <w:rPr>
          <w:rFonts w:eastAsiaTheme="minorEastAsia" w:cstheme="minorBidi"/>
          <w:noProof/>
          <w:color w:val="auto"/>
          <w:sz w:val="22"/>
          <w:szCs w:val="22"/>
        </w:rPr>
      </w:pPr>
      <w:hyperlink w:anchor="_Toc100146843" w:history="1">
        <w:r w:rsidR="00BF51F4" w:rsidRPr="005A26B4">
          <w:rPr>
            <w:rStyle w:val="Hyperlink"/>
            <w:noProof/>
          </w:rPr>
          <w:t>Chart 3.2: Approvals value by industry sector, in 2019</w:t>
        </w:r>
        <w:r w:rsidR="00BF51F4" w:rsidRPr="005A26B4">
          <w:rPr>
            <w:rStyle w:val="Hyperlink"/>
            <w:noProof/>
          </w:rPr>
          <w:noBreakHyphen/>
          <w:t>20 and 2020</w:t>
        </w:r>
        <w:r w:rsidR="00BF51F4" w:rsidRPr="005A26B4">
          <w:rPr>
            <w:rStyle w:val="Hyperlink"/>
            <w:noProof/>
          </w:rPr>
          <w:noBreakHyphen/>
          <w:t>21</w:t>
        </w:r>
        <w:r w:rsidR="00BF51F4">
          <w:rPr>
            <w:noProof/>
            <w:webHidden/>
          </w:rPr>
          <w:tab/>
        </w:r>
        <w:r w:rsidR="00BF51F4">
          <w:rPr>
            <w:noProof/>
            <w:webHidden/>
          </w:rPr>
          <w:fldChar w:fldCharType="begin"/>
        </w:r>
        <w:r w:rsidR="00BF51F4">
          <w:rPr>
            <w:noProof/>
            <w:webHidden/>
          </w:rPr>
          <w:instrText xml:space="preserve"> PAGEREF _Toc100146843 \h </w:instrText>
        </w:r>
        <w:r w:rsidR="00BF51F4">
          <w:rPr>
            <w:noProof/>
            <w:webHidden/>
          </w:rPr>
        </w:r>
        <w:r w:rsidR="00BF51F4">
          <w:rPr>
            <w:noProof/>
            <w:webHidden/>
          </w:rPr>
          <w:fldChar w:fldCharType="separate"/>
        </w:r>
        <w:r w:rsidR="00BF51F4">
          <w:rPr>
            <w:noProof/>
            <w:webHidden/>
          </w:rPr>
          <w:t>22</w:t>
        </w:r>
        <w:r w:rsidR="00BF51F4">
          <w:rPr>
            <w:noProof/>
            <w:webHidden/>
          </w:rPr>
          <w:fldChar w:fldCharType="end"/>
        </w:r>
      </w:hyperlink>
    </w:p>
    <w:p w14:paraId="7F582E72" w14:textId="1B5A3DC4" w:rsidR="00BF51F4" w:rsidRDefault="00C2021F">
      <w:pPr>
        <w:pStyle w:val="TableofFigures"/>
        <w:tabs>
          <w:tab w:val="right" w:leader="dot" w:pos="7700"/>
        </w:tabs>
        <w:rPr>
          <w:rFonts w:eastAsiaTheme="minorEastAsia" w:cstheme="minorBidi"/>
          <w:noProof/>
          <w:color w:val="auto"/>
          <w:sz w:val="22"/>
          <w:szCs w:val="22"/>
        </w:rPr>
      </w:pPr>
      <w:hyperlink w:anchor="_Toc100146844" w:history="1">
        <w:r w:rsidR="00BF51F4" w:rsidRPr="005A26B4">
          <w:rPr>
            <w:rStyle w:val="Hyperlink"/>
            <w:noProof/>
          </w:rPr>
          <w:t>Chart 3.3: Share of residential real estate approvals by state and territory in 2020</w:t>
        </w:r>
        <w:r w:rsidR="00BF51F4" w:rsidRPr="005A26B4">
          <w:rPr>
            <w:rStyle w:val="Hyperlink"/>
            <w:noProof/>
          </w:rPr>
          <w:noBreakHyphen/>
          <w:t>21</w:t>
        </w:r>
        <w:r w:rsidR="00BF51F4">
          <w:rPr>
            <w:noProof/>
            <w:webHidden/>
          </w:rPr>
          <w:tab/>
        </w:r>
        <w:r w:rsidR="00BF51F4">
          <w:rPr>
            <w:noProof/>
            <w:webHidden/>
          </w:rPr>
          <w:fldChar w:fldCharType="begin"/>
        </w:r>
        <w:r w:rsidR="00BF51F4">
          <w:rPr>
            <w:noProof/>
            <w:webHidden/>
          </w:rPr>
          <w:instrText xml:space="preserve"> PAGEREF _Toc100146844 \h </w:instrText>
        </w:r>
        <w:r w:rsidR="00BF51F4">
          <w:rPr>
            <w:noProof/>
            <w:webHidden/>
          </w:rPr>
        </w:r>
        <w:r w:rsidR="00BF51F4">
          <w:rPr>
            <w:noProof/>
            <w:webHidden/>
          </w:rPr>
          <w:fldChar w:fldCharType="separate"/>
        </w:r>
        <w:r w:rsidR="00BF51F4">
          <w:rPr>
            <w:noProof/>
            <w:webHidden/>
          </w:rPr>
          <w:t>28</w:t>
        </w:r>
        <w:r w:rsidR="00BF51F4">
          <w:rPr>
            <w:noProof/>
            <w:webHidden/>
          </w:rPr>
          <w:fldChar w:fldCharType="end"/>
        </w:r>
      </w:hyperlink>
    </w:p>
    <w:p w14:paraId="74FACD90" w14:textId="0A3537DB" w:rsidR="00BF51F4" w:rsidRDefault="00C2021F">
      <w:pPr>
        <w:pStyle w:val="TableofFigures"/>
        <w:tabs>
          <w:tab w:val="right" w:leader="dot" w:pos="7700"/>
        </w:tabs>
        <w:rPr>
          <w:rFonts w:eastAsiaTheme="minorEastAsia" w:cstheme="minorBidi"/>
          <w:noProof/>
          <w:color w:val="auto"/>
          <w:sz w:val="22"/>
          <w:szCs w:val="22"/>
        </w:rPr>
      </w:pPr>
      <w:hyperlink w:anchor="_Toc100146845" w:history="1">
        <w:r w:rsidR="00BF51F4" w:rsidRPr="005A26B4">
          <w:rPr>
            <w:rStyle w:val="Hyperlink"/>
            <w:noProof/>
          </w:rPr>
          <w:t>Chart 4.1: Breaches by location in 2020</w:t>
        </w:r>
        <w:r w:rsidR="00BF51F4" w:rsidRPr="005A26B4">
          <w:rPr>
            <w:rStyle w:val="Hyperlink"/>
            <w:noProof/>
          </w:rPr>
          <w:noBreakHyphen/>
          <w:t>21</w:t>
        </w:r>
        <w:r w:rsidR="00BF51F4">
          <w:rPr>
            <w:noProof/>
            <w:webHidden/>
          </w:rPr>
          <w:tab/>
        </w:r>
        <w:r w:rsidR="00BF51F4">
          <w:rPr>
            <w:noProof/>
            <w:webHidden/>
          </w:rPr>
          <w:fldChar w:fldCharType="begin"/>
        </w:r>
        <w:r w:rsidR="00BF51F4">
          <w:rPr>
            <w:noProof/>
            <w:webHidden/>
          </w:rPr>
          <w:instrText xml:space="preserve"> PAGEREF _Toc100146845 \h </w:instrText>
        </w:r>
        <w:r w:rsidR="00BF51F4">
          <w:rPr>
            <w:noProof/>
            <w:webHidden/>
          </w:rPr>
        </w:r>
        <w:r w:rsidR="00BF51F4">
          <w:rPr>
            <w:noProof/>
            <w:webHidden/>
          </w:rPr>
          <w:fldChar w:fldCharType="separate"/>
        </w:r>
        <w:r w:rsidR="00BF51F4">
          <w:rPr>
            <w:noProof/>
            <w:webHidden/>
          </w:rPr>
          <w:t>50</w:t>
        </w:r>
        <w:r w:rsidR="00BF51F4">
          <w:rPr>
            <w:noProof/>
            <w:webHidden/>
          </w:rPr>
          <w:fldChar w:fldCharType="end"/>
        </w:r>
      </w:hyperlink>
    </w:p>
    <w:p w14:paraId="4049E458" w14:textId="36B471B6" w:rsidR="00394986" w:rsidRDefault="00BF51F4" w:rsidP="00BF51F4">
      <w:pPr>
        <w:tabs>
          <w:tab w:val="left" w:pos="6229"/>
        </w:tabs>
      </w:pPr>
      <w:r>
        <w:fldChar w:fldCharType="end"/>
      </w:r>
      <w:r w:rsidR="004512F2">
        <w:fldChar w:fldCharType="begin"/>
      </w:r>
      <w:r w:rsidR="004512F2">
        <w:instrText xml:space="preserve"> TOC \h \z \c "Table" </w:instrText>
      </w:r>
      <w:r w:rsidR="004512F2">
        <w:fldChar w:fldCharType="end"/>
      </w:r>
    </w:p>
    <w:p w14:paraId="793B8BB1" w14:textId="77777777" w:rsidR="00065800" w:rsidRDefault="00065800">
      <w:pPr>
        <w:spacing w:after="0" w:line="240" w:lineRule="auto"/>
        <w:jc w:val="left"/>
        <w:sectPr w:rsidR="00065800" w:rsidSect="00065800">
          <w:headerReference w:type="even" r:id="rId31"/>
          <w:headerReference w:type="default" r:id="rId32"/>
          <w:footerReference w:type="default" r:id="rId33"/>
          <w:headerReference w:type="first" r:id="rId34"/>
          <w:footerReference w:type="first" r:id="rId35"/>
          <w:pgSz w:w="11906" w:h="16838" w:code="9"/>
          <w:pgMar w:top="2466" w:right="2098" w:bottom="2466" w:left="2098" w:header="1899" w:footer="1899" w:gutter="0"/>
          <w:pgNumType w:fmt="lowerRoman" w:start="1"/>
          <w:cols w:space="708"/>
          <w:titlePg/>
          <w:docGrid w:linePitch="360"/>
        </w:sectPr>
      </w:pPr>
    </w:p>
    <w:p w14:paraId="20D1D8EE" w14:textId="77777777" w:rsidR="00394986" w:rsidRPr="00D70C5D" w:rsidRDefault="00394986" w:rsidP="00D122D6">
      <w:pPr>
        <w:pStyle w:val="Heading1"/>
        <w:numPr>
          <w:ilvl w:val="0"/>
          <w:numId w:val="0"/>
        </w:numPr>
      </w:pPr>
      <w:bookmarkStart w:id="0" w:name="_Toc75244046"/>
      <w:bookmarkStart w:id="1" w:name="_Toc89872873"/>
      <w:bookmarkStart w:id="2" w:name="_Toc89872920"/>
      <w:r w:rsidRPr="00D70C5D">
        <w:lastRenderedPageBreak/>
        <w:t>E</w:t>
      </w:r>
      <w:r>
        <w:t xml:space="preserve">xecutive </w:t>
      </w:r>
      <w:bookmarkStart w:id="3" w:name="_Hlk78193192"/>
      <w:r w:rsidRPr="00D70C5D">
        <w:t>S</w:t>
      </w:r>
      <w:r>
        <w:t>um</w:t>
      </w:r>
      <w:bookmarkEnd w:id="3"/>
      <w:r>
        <w:t>mary</w:t>
      </w:r>
      <w:bookmarkEnd w:id="0"/>
      <w:bookmarkEnd w:id="1"/>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8EB"/>
        <w:tblCellMar>
          <w:top w:w="284" w:type="dxa"/>
          <w:left w:w="170" w:type="dxa"/>
          <w:bottom w:w="284" w:type="dxa"/>
          <w:right w:w="170" w:type="dxa"/>
        </w:tblCellMar>
        <w:tblLook w:val="04A0" w:firstRow="1" w:lastRow="0" w:firstColumn="1" w:lastColumn="0" w:noHBand="0" w:noVBand="1"/>
      </w:tblPr>
      <w:tblGrid>
        <w:gridCol w:w="7700"/>
      </w:tblGrid>
      <w:tr w:rsidR="00394986" w14:paraId="023B5034" w14:textId="77777777" w:rsidTr="00065800">
        <w:trPr>
          <w:trHeight w:val="5783"/>
        </w:trPr>
        <w:tc>
          <w:tcPr>
            <w:tcW w:w="7700" w:type="dxa"/>
            <w:shd w:val="clear" w:color="auto" w:fill="E1E8EB"/>
          </w:tcPr>
          <w:p w14:paraId="16B13EB6" w14:textId="3E0468FD" w:rsidR="000446EC" w:rsidRDefault="00394986" w:rsidP="00394986">
            <w:r w:rsidRPr="0035025B">
              <w:t>This Annual Report</w:t>
            </w:r>
            <w:r w:rsidR="009D68ED">
              <w:t xml:space="preserve"> provides insight into proposed foreign investment during a rapidly changing and challenging year for Australia and the w</w:t>
            </w:r>
            <w:r w:rsidR="00340D92">
              <w:t>o</w:t>
            </w:r>
            <w:r w:rsidR="009D68ED">
              <w:t xml:space="preserve">rld. </w:t>
            </w:r>
            <w:r w:rsidR="00EB0291">
              <w:t xml:space="preserve">The </w:t>
            </w:r>
            <w:r w:rsidR="00D76ED2">
              <w:t>2020</w:t>
            </w:r>
            <w:r w:rsidR="00D76ED2">
              <w:noBreakHyphen/>
              <w:t>21</w:t>
            </w:r>
            <w:r w:rsidR="00EB0291">
              <w:t xml:space="preserve"> </w:t>
            </w:r>
            <w:r w:rsidR="00E46A11">
              <w:t>reporting period</w:t>
            </w:r>
            <w:r w:rsidR="00EB0291">
              <w:t xml:space="preserve"> </w:t>
            </w:r>
            <w:r w:rsidR="00802F97">
              <w:t xml:space="preserve">saw </w:t>
            </w:r>
            <w:r w:rsidR="00E55BDA" w:rsidRPr="00E73A52">
              <w:t xml:space="preserve">the implementation of significant reforms to the </w:t>
            </w:r>
            <w:r w:rsidR="00E55BDA" w:rsidRPr="00E73A52">
              <w:rPr>
                <w:i/>
                <w:iCs/>
              </w:rPr>
              <w:t>Foreign Acquisition and Takeover Act 1975</w:t>
            </w:r>
            <w:r w:rsidR="004558E4">
              <w:rPr>
                <w:i/>
                <w:iCs/>
              </w:rPr>
              <w:t xml:space="preserve"> </w:t>
            </w:r>
            <w:r w:rsidR="004558E4" w:rsidRPr="004558E4">
              <w:t>(the Act)</w:t>
            </w:r>
            <w:r w:rsidR="00E55BDA" w:rsidRPr="00E73A52">
              <w:t>. The reforms ensure that our foreign investment framework keeps pace with emerging risks and global developments, as well as strengthen</w:t>
            </w:r>
            <w:r w:rsidR="007060AE">
              <w:t>s</w:t>
            </w:r>
            <w:r w:rsidR="00E55BDA" w:rsidRPr="00E73A52">
              <w:t xml:space="preserve"> Australia</w:t>
            </w:r>
            <w:r w:rsidR="00065800">
              <w:t>’</w:t>
            </w:r>
            <w:r w:rsidR="00E55BDA" w:rsidRPr="00E73A52">
              <w:t>s foreign investment regime to ensure we continue to realise the benefits of foreign investment</w:t>
            </w:r>
            <w:r w:rsidR="00065800">
              <w:t xml:space="preserve">. </w:t>
            </w:r>
          </w:p>
          <w:p w14:paraId="30BAA7E2" w14:textId="31913953" w:rsidR="00E62623" w:rsidRDefault="007D316A" w:rsidP="00394986">
            <w:r>
              <w:t>The</w:t>
            </w:r>
            <w:r w:rsidR="000446EC">
              <w:t xml:space="preserve"> implementation of the</w:t>
            </w:r>
            <w:r>
              <w:t xml:space="preserve"> reforms also signalled the</w:t>
            </w:r>
            <w:r w:rsidR="00E46A11">
              <w:t xml:space="preserve"> </w:t>
            </w:r>
            <w:r w:rsidR="000446EC">
              <w:t>transition out</w:t>
            </w:r>
            <w:r w:rsidR="00846457">
              <w:t xml:space="preserve"> of the zero dollar threshold, </w:t>
            </w:r>
            <w:r w:rsidR="000446EC">
              <w:t xml:space="preserve">a </w:t>
            </w:r>
            <w:r w:rsidR="008B3324">
              <w:t xml:space="preserve">temporary </w:t>
            </w:r>
            <w:r w:rsidR="003C5DC4">
              <w:t xml:space="preserve">arrangement </w:t>
            </w:r>
            <w:r w:rsidR="00846457">
              <w:t xml:space="preserve">introduced by the Government to protect </w:t>
            </w:r>
            <w:r w:rsidR="004564C0">
              <w:t xml:space="preserve">the </w:t>
            </w:r>
            <w:r w:rsidR="00846457">
              <w:t xml:space="preserve">national interest during </w:t>
            </w:r>
            <w:r w:rsidR="00776645">
              <w:t>COVID-19</w:t>
            </w:r>
            <w:r w:rsidR="000446EC">
              <w:t xml:space="preserve">. Under the temporary arrangements, all foreign </w:t>
            </w:r>
            <w:r w:rsidR="00613159">
              <w:t>acquisitions</w:t>
            </w:r>
            <w:r w:rsidR="000446EC">
              <w:t>, regardless of value, were screened to provide additional oversight</w:t>
            </w:r>
            <w:r w:rsidR="00EB0291">
              <w:t>.</w:t>
            </w:r>
            <w:r w:rsidR="004F5692">
              <w:t xml:space="preserve"> </w:t>
            </w:r>
          </w:p>
          <w:p w14:paraId="3D1B7C0F" w14:textId="365D6073" w:rsidR="000446EC" w:rsidRDefault="004F5692" w:rsidP="00394986">
            <w:r>
              <w:t xml:space="preserve">The Board and the </w:t>
            </w:r>
            <w:bookmarkStart w:id="4" w:name="_Hlk88147823"/>
            <w:r>
              <w:t xml:space="preserve">Treasury </w:t>
            </w:r>
            <w:r w:rsidR="00BB3876">
              <w:t>consulted</w:t>
            </w:r>
            <w:r>
              <w:t xml:space="preserve"> widely with stakeholders to ensure </w:t>
            </w:r>
            <w:r w:rsidR="00BF2D03">
              <w:t>a seamless transition to the reforms and continued to provide an avenue for two</w:t>
            </w:r>
            <w:r w:rsidR="003E7C79">
              <w:t>–</w:t>
            </w:r>
            <w:r w:rsidR="00BF2D03">
              <w:t xml:space="preserve">way dialogue with investors and their representatives to collect market intelligence and insights which in turn informed its advice to the Government. </w:t>
            </w:r>
            <w:bookmarkEnd w:id="4"/>
          </w:p>
          <w:p w14:paraId="763AA410" w14:textId="1A436BAC" w:rsidR="001A5EA2" w:rsidRPr="00672036" w:rsidRDefault="009A51CC" w:rsidP="009A51CC">
            <w:pPr>
              <w:rPr>
                <w:lang w:val="en-US"/>
              </w:rPr>
            </w:pPr>
            <w:r w:rsidRPr="009A51CC">
              <w:rPr>
                <w:lang w:val="en-US"/>
              </w:rPr>
              <w:t>The</w:t>
            </w:r>
            <w:r w:rsidRPr="009A51CC" w:rsidDel="00060663">
              <w:rPr>
                <w:lang w:val="en-US"/>
              </w:rPr>
              <w:t xml:space="preserve"> </w:t>
            </w:r>
            <w:r w:rsidRPr="009A51CC">
              <w:rPr>
                <w:lang w:val="en-US"/>
              </w:rPr>
              <w:t xml:space="preserve">economic uncertainties surrounding </w:t>
            </w:r>
            <w:r w:rsidR="00776645">
              <w:rPr>
                <w:lang w:val="en-US"/>
              </w:rPr>
              <w:t>COVID-19</w:t>
            </w:r>
            <w:r w:rsidRPr="009A51CC">
              <w:rPr>
                <w:lang w:val="en-US"/>
              </w:rPr>
              <w:t xml:space="preserve"> </w:t>
            </w:r>
            <w:r w:rsidR="00060663">
              <w:rPr>
                <w:lang w:val="en-US"/>
              </w:rPr>
              <w:t xml:space="preserve">continued to affect </w:t>
            </w:r>
            <w:r w:rsidRPr="009A51CC">
              <w:rPr>
                <w:lang w:val="en-US"/>
              </w:rPr>
              <w:t>investor confidence</w:t>
            </w:r>
            <w:r w:rsidR="00192E9C">
              <w:rPr>
                <w:lang w:val="en-US"/>
              </w:rPr>
              <w:t xml:space="preserve"> and</w:t>
            </w:r>
            <w:r w:rsidR="00060663">
              <w:rPr>
                <w:lang w:val="en-US"/>
              </w:rPr>
              <w:t xml:space="preserve"> </w:t>
            </w:r>
            <w:r w:rsidR="004564C0">
              <w:rPr>
                <w:lang w:val="en-US"/>
              </w:rPr>
              <w:t>f</w:t>
            </w:r>
            <w:r w:rsidRPr="009A51CC">
              <w:rPr>
                <w:lang w:val="en-US"/>
              </w:rPr>
              <w:t xml:space="preserve">oreign </w:t>
            </w:r>
            <w:r w:rsidR="004564C0">
              <w:rPr>
                <w:lang w:val="en-US"/>
              </w:rPr>
              <w:t>d</w:t>
            </w:r>
            <w:r w:rsidRPr="009A51CC">
              <w:rPr>
                <w:lang w:val="en-US"/>
              </w:rPr>
              <w:t xml:space="preserve">irect </w:t>
            </w:r>
            <w:r w:rsidR="004564C0">
              <w:rPr>
                <w:lang w:val="en-US"/>
              </w:rPr>
              <w:t>i</w:t>
            </w:r>
            <w:r w:rsidRPr="009A51CC">
              <w:rPr>
                <w:lang w:val="en-US"/>
              </w:rPr>
              <w:t xml:space="preserve">nvestment </w:t>
            </w:r>
            <w:r w:rsidR="004564C0">
              <w:rPr>
                <w:lang w:val="en-US"/>
              </w:rPr>
              <w:t>in</w:t>
            </w:r>
            <w:r w:rsidRPr="009A51CC">
              <w:rPr>
                <w:lang w:val="en-US"/>
              </w:rPr>
              <w:t>flows</w:t>
            </w:r>
            <w:r w:rsidR="00C907E3">
              <w:rPr>
                <w:lang w:val="en-US"/>
              </w:rPr>
              <w:t xml:space="preserve"> through </w:t>
            </w:r>
            <w:r w:rsidR="00D76ED2">
              <w:rPr>
                <w:lang w:val="en-US"/>
              </w:rPr>
              <w:t>2020</w:t>
            </w:r>
            <w:r w:rsidR="00D76ED2">
              <w:rPr>
                <w:lang w:val="en-US"/>
              </w:rPr>
              <w:noBreakHyphen/>
              <w:t>21</w:t>
            </w:r>
            <w:r w:rsidR="00060663">
              <w:rPr>
                <w:lang w:val="en-US"/>
              </w:rPr>
              <w:t>, contributing to</w:t>
            </w:r>
            <w:r w:rsidRPr="009A51CC">
              <w:t xml:space="preserve"> a decline in the number of proposals the Treasury considered </w:t>
            </w:r>
            <w:r w:rsidR="00060663">
              <w:t>compared with the previous financial year</w:t>
            </w:r>
            <w:r w:rsidRPr="009A51CC">
              <w:t xml:space="preserve">. However, the total value of </w:t>
            </w:r>
            <w:r w:rsidR="001A5EA2">
              <w:t>investments increas</w:t>
            </w:r>
            <w:r w:rsidR="00BF2D03">
              <w:t>e</w:t>
            </w:r>
            <w:r w:rsidR="00060663">
              <w:t>d by</w:t>
            </w:r>
            <w:r w:rsidR="001A5EA2">
              <w:t xml:space="preserve"> </w:t>
            </w:r>
            <w:r w:rsidR="00202E59">
              <w:t>$37</w:t>
            </w:r>
            <w:r w:rsidR="001A5EA2">
              <w:t>.</w:t>
            </w:r>
            <w:r w:rsidR="00202E59">
              <w:t>5</w:t>
            </w:r>
            <w:r w:rsidR="0048451E">
              <w:t xml:space="preserve"> </w:t>
            </w:r>
            <w:r w:rsidR="00202E59">
              <w:t>b</w:t>
            </w:r>
            <w:r w:rsidR="0048451E">
              <w:t>illion</w:t>
            </w:r>
            <w:r w:rsidR="001A5EA2">
              <w:t xml:space="preserve"> </w:t>
            </w:r>
            <w:r w:rsidR="00060663">
              <w:t>from</w:t>
            </w:r>
            <w:r w:rsidR="004564C0">
              <w:t xml:space="preserve"> </w:t>
            </w:r>
            <w:r w:rsidR="00D76ED2">
              <w:t>2019</w:t>
            </w:r>
            <w:r w:rsidR="00D76ED2">
              <w:noBreakHyphen/>
              <w:t>20</w:t>
            </w:r>
            <w:r w:rsidR="004564C0">
              <w:t xml:space="preserve"> </w:t>
            </w:r>
            <w:r w:rsidR="00EB3441">
              <w:t>to $233.0</w:t>
            </w:r>
            <w:r w:rsidR="001702BC">
              <w:t> </w:t>
            </w:r>
            <w:r w:rsidR="00EB3441">
              <w:t>billion</w:t>
            </w:r>
            <w:r w:rsidR="00065800">
              <w:t xml:space="preserve">. </w:t>
            </w:r>
          </w:p>
        </w:tc>
      </w:tr>
    </w:tbl>
    <w:p w14:paraId="38809868" w14:textId="77777777" w:rsidR="00394986" w:rsidRDefault="00394986" w:rsidP="00394986">
      <w:pPr>
        <w:pStyle w:val="SingleParagraph"/>
      </w:pPr>
    </w:p>
    <w:p w14:paraId="3863AC7E" w14:textId="2D481C74" w:rsidR="00394986" w:rsidRDefault="00394986" w:rsidP="00394986">
      <w:pPr>
        <w:pStyle w:val="Bullet"/>
      </w:pPr>
      <w:r w:rsidRPr="00736DF0">
        <w:t xml:space="preserve">Data in this report reflects </w:t>
      </w:r>
      <w:r w:rsidR="00E73A52">
        <w:t xml:space="preserve">foreign investment </w:t>
      </w:r>
      <w:r w:rsidR="004F1709">
        <w:t>proposals subject to</w:t>
      </w:r>
      <w:r w:rsidR="00E73A52">
        <w:t xml:space="preserve"> the Act in </w:t>
      </w:r>
      <w:r w:rsidR="00D76ED2">
        <w:t>2020</w:t>
      </w:r>
      <w:r w:rsidR="00D76ED2">
        <w:noBreakHyphen/>
        <w:t>21</w:t>
      </w:r>
      <w:r w:rsidR="00E73A52">
        <w:t xml:space="preserve">, providing information regarding flows of proposed </w:t>
      </w:r>
      <w:r w:rsidR="007060AE">
        <w:t xml:space="preserve">investment </w:t>
      </w:r>
      <w:r w:rsidR="00E73A52">
        <w:t>into Australia during the reporting period.</w:t>
      </w:r>
    </w:p>
    <w:p w14:paraId="2E4C5CAA" w14:textId="69BD6876" w:rsidR="00BB3F80" w:rsidRDefault="00BB3F80" w:rsidP="00BB3F80">
      <w:pPr>
        <w:pStyle w:val="Bullet"/>
      </w:pPr>
      <w:r>
        <w:t>The total</w:t>
      </w:r>
      <w:r w:rsidDel="007A6FA5">
        <w:t xml:space="preserve"> </w:t>
      </w:r>
      <w:r w:rsidR="008208BD">
        <w:t>value</w:t>
      </w:r>
      <w:r w:rsidR="007A6FA5">
        <w:t xml:space="preserve"> </w:t>
      </w:r>
      <w:r>
        <w:t xml:space="preserve">of investment </w:t>
      </w:r>
      <w:r w:rsidRPr="00A20644">
        <w:t xml:space="preserve">approvals in </w:t>
      </w:r>
      <w:r w:rsidR="00D76ED2">
        <w:t>2020</w:t>
      </w:r>
      <w:r w:rsidR="00D76ED2">
        <w:noBreakHyphen/>
        <w:t>21</w:t>
      </w:r>
      <w:r w:rsidRPr="00A20644">
        <w:t xml:space="preserve"> was $</w:t>
      </w:r>
      <w:r w:rsidR="00A20644" w:rsidRPr="00A20644">
        <w:t>233</w:t>
      </w:r>
      <w:r w:rsidR="00BF2D03">
        <w:t>.</w:t>
      </w:r>
      <w:r w:rsidR="00BF2D03" w:rsidRPr="00484200">
        <w:t>0</w:t>
      </w:r>
      <w:r w:rsidR="00484200">
        <w:t> </w:t>
      </w:r>
      <w:r w:rsidRPr="00484200">
        <w:t>billion</w:t>
      </w:r>
      <w:r w:rsidRPr="00A20644">
        <w:t>.</w:t>
      </w:r>
      <w:r>
        <w:t xml:space="preserve"> This represents a</w:t>
      </w:r>
      <w:r w:rsidR="00DC792D">
        <w:t xml:space="preserve"> 19.2</w:t>
      </w:r>
      <w:r w:rsidR="00484200">
        <w:t> </w:t>
      </w:r>
      <w:r w:rsidR="00DC792D">
        <w:t>per cent</w:t>
      </w:r>
      <w:r>
        <w:t xml:space="preserve"> increase from </w:t>
      </w:r>
      <w:r w:rsidR="00D76ED2">
        <w:t>2019</w:t>
      </w:r>
      <w:r w:rsidR="00D76ED2">
        <w:noBreakHyphen/>
        <w:t>20</w:t>
      </w:r>
      <w:r>
        <w:t xml:space="preserve"> </w:t>
      </w:r>
      <w:r w:rsidR="00202E59">
        <w:t xml:space="preserve">where </w:t>
      </w:r>
      <w:r>
        <w:t>the total value of investment was $195.5</w:t>
      </w:r>
      <w:r w:rsidR="00484200">
        <w:t> </w:t>
      </w:r>
      <w:r>
        <w:t xml:space="preserve">billion. It is </w:t>
      </w:r>
      <w:r w:rsidR="00202E59">
        <w:t xml:space="preserve">also </w:t>
      </w:r>
      <w:r>
        <w:t>a</w:t>
      </w:r>
      <w:r w:rsidR="00202E59">
        <w:t>n</w:t>
      </w:r>
      <w:r>
        <w:t xml:space="preserve"> increase from </w:t>
      </w:r>
      <w:r w:rsidR="00C17F09">
        <w:t>2018</w:t>
      </w:r>
      <w:r w:rsidR="00C17F09">
        <w:noBreakHyphen/>
        <w:t>19</w:t>
      </w:r>
      <w:r>
        <w:t xml:space="preserve"> </w:t>
      </w:r>
      <w:r w:rsidR="00202E59">
        <w:t xml:space="preserve">where </w:t>
      </w:r>
      <w:r>
        <w:t>the total value of investment was $231.0</w:t>
      </w:r>
      <w:r w:rsidR="00484200">
        <w:t> </w:t>
      </w:r>
      <w:r>
        <w:t>billion.</w:t>
      </w:r>
    </w:p>
    <w:p w14:paraId="62B6CE46" w14:textId="6A76CB5C" w:rsidR="00D03997" w:rsidRDefault="00D03997" w:rsidP="00BB3F80">
      <w:pPr>
        <w:pStyle w:val="Bullet"/>
      </w:pPr>
      <w:r>
        <w:t xml:space="preserve">The total number of proposed investments considered in </w:t>
      </w:r>
      <w:r w:rsidR="00D76ED2">
        <w:t>2020</w:t>
      </w:r>
      <w:r w:rsidR="00D76ED2">
        <w:noBreakHyphen/>
        <w:t>21</w:t>
      </w:r>
      <w:r w:rsidR="00495BF5">
        <w:t xml:space="preserve"> was 7,614</w:t>
      </w:r>
      <w:r w:rsidR="00A56DEF">
        <w:t xml:space="preserve">, </w:t>
      </w:r>
      <w:r w:rsidR="009B3698">
        <w:t xml:space="preserve">a </w:t>
      </w:r>
      <w:r w:rsidR="00BD2674">
        <w:t>declin</w:t>
      </w:r>
      <w:r w:rsidR="009B3698">
        <w:t>e</w:t>
      </w:r>
      <w:r w:rsidR="00BB3F80" w:rsidDel="00C24781">
        <w:t xml:space="preserve"> </w:t>
      </w:r>
      <w:r w:rsidR="00BB3F80">
        <w:t xml:space="preserve">from </w:t>
      </w:r>
      <w:r>
        <w:t>9,004</w:t>
      </w:r>
      <w:r w:rsidR="00BB3F80">
        <w:t xml:space="preserve"> in </w:t>
      </w:r>
      <w:r w:rsidR="00D76ED2">
        <w:t>2019</w:t>
      </w:r>
      <w:r w:rsidR="00D76ED2">
        <w:noBreakHyphen/>
        <w:t>20</w:t>
      </w:r>
      <w:r w:rsidR="00495BF5">
        <w:t xml:space="preserve"> </w:t>
      </w:r>
      <w:r w:rsidR="00495BF5" w:rsidDel="00C24781">
        <w:t>as the</w:t>
      </w:r>
      <w:r w:rsidR="00C24781">
        <w:t xml:space="preserve"> </w:t>
      </w:r>
      <w:r w:rsidR="00495BF5">
        <w:t xml:space="preserve">uncertainty of </w:t>
      </w:r>
      <w:r w:rsidR="00776645">
        <w:t>COVID-19</w:t>
      </w:r>
      <w:r w:rsidR="00495BF5">
        <w:t xml:space="preserve"> </w:t>
      </w:r>
      <w:r w:rsidR="00C24781">
        <w:t xml:space="preserve">affected </w:t>
      </w:r>
      <w:r w:rsidR="00495BF5">
        <w:t>investor confidence.</w:t>
      </w:r>
      <w:r>
        <w:t xml:space="preserve"> Of the 7,614 proposed investments, </w:t>
      </w:r>
      <w:r w:rsidR="008E6B05">
        <w:t xml:space="preserve">6,650 were approved, </w:t>
      </w:r>
      <w:r w:rsidR="00495BF5">
        <w:t>891 were withdrawn, 72 were exempt</w:t>
      </w:r>
      <w:r w:rsidR="00B878DB">
        <w:t>, and one was rejected</w:t>
      </w:r>
      <w:r>
        <w:t>.</w:t>
      </w:r>
    </w:p>
    <w:p w14:paraId="794D83A7" w14:textId="19AA5FC3" w:rsidR="00BB3F80" w:rsidRDefault="00BB3F80" w:rsidP="00312807">
      <w:pPr>
        <w:pStyle w:val="Bullet"/>
      </w:pPr>
      <w:r>
        <w:t>In the period 1</w:t>
      </w:r>
      <w:r w:rsidR="001702BC">
        <w:t> </w:t>
      </w:r>
      <w:r>
        <w:t xml:space="preserve">July to </w:t>
      </w:r>
      <w:r w:rsidR="00CC0D85">
        <w:t>31</w:t>
      </w:r>
      <w:r w:rsidR="001702BC">
        <w:t> </w:t>
      </w:r>
      <w:r>
        <w:t>December</w:t>
      </w:r>
      <w:r w:rsidR="001702BC">
        <w:t> </w:t>
      </w:r>
      <w:r>
        <w:t xml:space="preserve">2020, there were </w:t>
      </w:r>
      <w:r w:rsidR="00CC0D85">
        <w:t xml:space="preserve">1,025 </w:t>
      </w:r>
      <w:r>
        <w:t>approvals that related to zero</w:t>
      </w:r>
      <w:r w:rsidR="00065800">
        <w:t> </w:t>
      </w:r>
      <w:r>
        <w:t xml:space="preserve">dollar threshold proposals valued </w:t>
      </w:r>
      <w:r w:rsidRPr="00CC0D85">
        <w:t>at $</w:t>
      </w:r>
      <w:r w:rsidR="00CC0D85" w:rsidRPr="00CC0D85">
        <w:t>14.4</w:t>
      </w:r>
      <w:r w:rsidR="00A670E0">
        <w:t> </w:t>
      </w:r>
      <w:r w:rsidRPr="00CC0D85">
        <w:t>billion</w:t>
      </w:r>
      <w:r w:rsidR="0048451E">
        <w:t>, and 5,625 approvals that related to non</w:t>
      </w:r>
      <w:r w:rsidR="003E7C79">
        <w:t>–</w:t>
      </w:r>
      <w:r w:rsidR="0048451E">
        <w:t>zero dollar threshold proposals valued at $218.5</w:t>
      </w:r>
      <w:r w:rsidR="00A670E0">
        <w:t> </w:t>
      </w:r>
      <w:r w:rsidR="0048451E">
        <w:t>billion</w:t>
      </w:r>
      <w:r w:rsidRPr="00CC0D85">
        <w:t>.</w:t>
      </w:r>
      <w:r w:rsidR="00312807">
        <w:t xml:space="preserve"> The zero dollar threshold ceased on 31 December 2020.</w:t>
      </w:r>
    </w:p>
    <w:p w14:paraId="4DF18E50" w14:textId="739742C6" w:rsidR="00BB3F80" w:rsidRPr="00D1439E" w:rsidRDefault="00BB3F80" w:rsidP="00BB3F80">
      <w:pPr>
        <w:pStyle w:val="Bullet"/>
      </w:pPr>
      <w:r w:rsidRPr="00D1439E">
        <w:lastRenderedPageBreak/>
        <w:t xml:space="preserve">In </w:t>
      </w:r>
      <w:r w:rsidR="00D76ED2">
        <w:t>2020</w:t>
      </w:r>
      <w:r w:rsidR="00D76ED2">
        <w:noBreakHyphen/>
        <w:t>21</w:t>
      </w:r>
      <w:r w:rsidRPr="00D1439E">
        <w:t xml:space="preserve">, the United States was the largest source country for approved investment by value, as it was in </w:t>
      </w:r>
      <w:r w:rsidR="00D76ED2">
        <w:t>2019</w:t>
      </w:r>
      <w:r w:rsidR="00D76ED2">
        <w:noBreakHyphen/>
        <w:t>20</w:t>
      </w:r>
      <w:r w:rsidR="004558E4">
        <w:t xml:space="preserve"> and </w:t>
      </w:r>
      <w:r w:rsidR="00C17F09">
        <w:t>2018</w:t>
      </w:r>
      <w:r w:rsidR="00C17F09">
        <w:noBreakHyphen/>
        <w:t>19</w:t>
      </w:r>
      <w:r w:rsidRPr="00D1439E">
        <w:t xml:space="preserve">. It is followed </w:t>
      </w:r>
      <w:r w:rsidR="00A0612C">
        <w:t xml:space="preserve">in order </w:t>
      </w:r>
      <w:r w:rsidRPr="00D1439E">
        <w:t xml:space="preserve">by Singapore, Canada, </w:t>
      </w:r>
      <w:r w:rsidR="00320D95">
        <w:t>China</w:t>
      </w:r>
      <w:r w:rsidR="00D1439E" w:rsidRPr="00D1439E">
        <w:t xml:space="preserve"> and </w:t>
      </w:r>
      <w:r w:rsidR="00320D95">
        <w:t>Germany</w:t>
      </w:r>
      <w:r w:rsidRPr="00D1439E">
        <w:t>.</w:t>
      </w:r>
    </w:p>
    <w:p w14:paraId="46ED6BED" w14:textId="50A031B4" w:rsidR="00BB3F80" w:rsidRDefault="00BB3F80" w:rsidP="00BB3F80">
      <w:pPr>
        <w:pStyle w:val="Bullet"/>
      </w:pPr>
      <w:r>
        <w:t>The value of investment from the United</w:t>
      </w:r>
      <w:r w:rsidR="00A670E0">
        <w:t> </w:t>
      </w:r>
      <w:r>
        <w:t xml:space="preserve">States was </w:t>
      </w:r>
      <w:r w:rsidRPr="00F06349">
        <w:t>$</w:t>
      </w:r>
      <w:r w:rsidR="00D1439E" w:rsidRPr="00F06349">
        <w:t>56</w:t>
      </w:r>
      <w:r w:rsidRPr="00F06349">
        <w:t>.</w:t>
      </w:r>
      <w:r w:rsidR="00181CD7">
        <w:t>9</w:t>
      </w:r>
      <w:r w:rsidR="001702BC">
        <w:t> </w:t>
      </w:r>
      <w:r w:rsidRPr="00F06349">
        <w:t>billion</w:t>
      </w:r>
      <w:r>
        <w:t xml:space="preserve"> in this reporting period. This represents an </w:t>
      </w:r>
      <w:r w:rsidR="00D1439E">
        <w:t xml:space="preserve">increase in the value </w:t>
      </w:r>
      <w:r w:rsidR="00F06349">
        <w:t>of investment</w:t>
      </w:r>
      <w:r>
        <w:t xml:space="preserve"> </w:t>
      </w:r>
      <w:r w:rsidR="00F06349">
        <w:t>from $49.</w:t>
      </w:r>
      <w:r w:rsidR="00A94E78" w:rsidRPr="001702BC">
        <w:t>1</w:t>
      </w:r>
      <w:r w:rsidR="00F06349" w:rsidRPr="001702BC">
        <w:t>billion</w:t>
      </w:r>
      <w:r w:rsidR="00F06349">
        <w:t xml:space="preserve"> </w:t>
      </w:r>
      <w:r>
        <w:t>in 2019</w:t>
      </w:r>
      <w:r w:rsidR="00BF51F4">
        <w:t>-2</w:t>
      </w:r>
      <w:r w:rsidDel="00460514">
        <w:t>0</w:t>
      </w:r>
      <w:r w:rsidR="00F06349">
        <w:t>.</w:t>
      </w:r>
      <w:r>
        <w:t xml:space="preserve"> </w:t>
      </w:r>
      <w:r w:rsidR="00F06349" w:rsidDel="00460514">
        <w:t>S</w:t>
      </w:r>
      <w:r w:rsidR="00F06349">
        <w:t xml:space="preserve">ervices and </w:t>
      </w:r>
      <w:r w:rsidR="00460514">
        <w:t>r</w:t>
      </w:r>
      <w:r w:rsidR="00F06349">
        <w:t xml:space="preserve">eal </w:t>
      </w:r>
      <w:r w:rsidR="00460514">
        <w:t>e</w:t>
      </w:r>
      <w:r w:rsidR="00F06349">
        <w:t>state</w:t>
      </w:r>
      <w:r w:rsidR="00D34839">
        <w:t xml:space="preserve"> (both commercial and residential)</w:t>
      </w:r>
      <w:r w:rsidR="002D3F88">
        <w:t xml:space="preserve"> </w:t>
      </w:r>
      <w:r w:rsidR="00F06349">
        <w:t xml:space="preserve">were the highest value sectors with investment </w:t>
      </w:r>
      <w:r w:rsidR="00FD4F64">
        <w:t>approvals worth</w:t>
      </w:r>
      <w:r w:rsidR="00F06349">
        <w:t xml:space="preserve"> $27.3</w:t>
      </w:r>
      <w:r w:rsidR="00A670E0">
        <w:t> </w:t>
      </w:r>
      <w:r w:rsidR="00F06349">
        <w:t>billion and $20.</w:t>
      </w:r>
      <w:r w:rsidR="00A871CE">
        <w:t>8</w:t>
      </w:r>
      <w:r w:rsidR="00A670E0">
        <w:t> </w:t>
      </w:r>
      <w:r w:rsidR="00F06349">
        <w:t xml:space="preserve">billion. </w:t>
      </w:r>
    </w:p>
    <w:p w14:paraId="1D524D46" w14:textId="30FA5E48" w:rsidR="00BB3F80" w:rsidRDefault="00BB3F80" w:rsidP="00BB3F80">
      <w:pPr>
        <w:pStyle w:val="Bullet"/>
      </w:pPr>
      <w:r>
        <w:t xml:space="preserve">Singapore became the second largest source country of approved investment in </w:t>
      </w:r>
      <w:r w:rsidR="00D76ED2">
        <w:t>2020</w:t>
      </w:r>
      <w:r w:rsidR="00D76ED2">
        <w:noBreakHyphen/>
        <w:t>21</w:t>
      </w:r>
      <w:r>
        <w:t xml:space="preserve">, with the total value of investment </w:t>
      </w:r>
      <w:r w:rsidR="002D3F88">
        <w:t>increasing</w:t>
      </w:r>
      <w:r>
        <w:t xml:space="preserve"> to </w:t>
      </w:r>
      <w:r w:rsidRPr="004C287B">
        <w:t>$</w:t>
      </w:r>
      <w:r w:rsidR="004C287B" w:rsidRPr="004C287B">
        <w:t>21</w:t>
      </w:r>
      <w:r w:rsidRPr="004C287B">
        <w:t>.</w:t>
      </w:r>
      <w:r w:rsidR="004C287B" w:rsidRPr="004C287B">
        <w:t>3</w:t>
      </w:r>
      <w:r w:rsidR="00953242">
        <w:t> </w:t>
      </w:r>
      <w:r w:rsidRPr="004C287B">
        <w:t>billion</w:t>
      </w:r>
      <w:r>
        <w:t xml:space="preserve">. </w:t>
      </w:r>
      <w:r w:rsidR="004C287B">
        <w:t>T</w:t>
      </w:r>
      <w:r>
        <w:t xml:space="preserve">he total number of approved investments </w:t>
      </w:r>
      <w:r w:rsidR="004C287B">
        <w:t>increased</w:t>
      </w:r>
      <w:r>
        <w:t xml:space="preserve"> in the reporting period to </w:t>
      </w:r>
      <w:r w:rsidR="004C287B">
        <w:t>524</w:t>
      </w:r>
      <w:r>
        <w:t xml:space="preserve"> approved investments from 423</w:t>
      </w:r>
      <w:r w:rsidR="00065800">
        <w:t> </w:t>
      </w:r>
      <w:r>
        <w:t xml:space="preserve">approved investments in </w:t>
      </w:r>
      <w:r w:rsidR="00D76ED2">
        <w:t>2019</w:t>
      </w:r>
      <w:r w:rsidR="00D76ED2">
        <w:noBreakHyphen/>
        <w:t>20</w:t>
      </w:r>
      <w:r>
        <w:t>.</w:t>
      </w:r>
    </w:p>
    <w:p w14:paraId="71303890" w14:textId="5E99BF7C" w:rsidR="00BB3F80" w:rsidRDefault="00BB3F80" w:rsidP="00BB3F80">
      <w:pPr>
        <w:pStyle w:val="Bullet"/>
      </w:pPr>
      <w:r>
        <w:t>The value of investment from German</w:t>
      </w:r>
      <w:r w:rsidR="003E7C79">
        <w:t>–</w:t>
      </w:r>
      <w:r>
        <w:t xml:space="preserve">based investors </w:t>
      </w:r>
      <w:r w:rsidR="00F43AE3">
        <w:t>increased almost threefold</w:t>
      </w:r>
      <w:r>
        <w:t xml:space="preserve"> in the reporting period, </w:t>
      </w:r>
      <w:r w:rsidR="002D3F88">
        <w:t>increasing</w:t>
      </w:r>
      <w:r>
        <w:t xml:space="preserve"> from $4.3</w:t>
      </w:r>
      <w:r w:rsidR="00953242">
        <w:t> </w:t>
      </w:r>
      <w:r>
        <w:t xml:space="preserve">billion in </w:t>
      </w:r>
      <w:r w:rsidR="00D76ED2">
        <w:t>2019</w:t>
      </w:r>
      <w:r w:rsidR="00D76ED2">
        <w:noBreakHyphen/>
        <w:t>20</w:t>
      </w:r>
      <w:r>
        <w:t xml:space="preserve"> to </w:t>
      </w:r>
      <w:r w:rsidRPr="00C04C9B">
        <w:t>$</w:t>
      </w:r>
      <w:r w:rsidR="00C04C9B" w:rsidRPr="00C04C9B">
        <w:t>12</w:t>
      </w:r>
      <w:r w:rsidRPr="00C04C9B">
        <w:t>.</w:t>
      </w:r>
      <w:r w:rsidR="00844EA9">
        <w:t>0</w:t>
      </w:r>
      <w:r w:rsidR="00953242">
        <w:t> </w:t>
      </w:r>
      <w:r w:rsidRPr="00C04C9B">
        <w:t>billion</w:t>
      </w:r>
      <w:r>
        <w:t xml:space="preserve"> in </w:t>
      </w:r>
      <w:r w:rsidR="00D76ED2">
        <w:t>2020</w:t>
      </w:r>
      <w:r w:rsidR="00D76ED2">
        <w:noBreakHyphen/>
        <w:t>21</w:t>
      </w:r>
      <w:r>
        <w:t>.</w:t>
      </w:r>
      <w:r w:rsidR="002D3F88">
        <w:t xml:space="preserve"> </w:t>
      </w:r>
      <w:r w:rsidR="00844EA9">
        <w:t>S</w:t>
      </w:r>
      <w:r w:rsidR="002D3F88">
        <w:t>ervices and</w:t>
      </w:r>
      <w:r>
        <w:t xml:space="preserve"> </w:t>
      </w:r>
      <w:r w:rsidR="002D3F88">
        <w:t>r</w:t>
      </w:r>
      <w:r w:rsidR="00C04C9B">
        <w:t>eal state</w:t>
      </w:r>
      <w:r w:rsidR="002D3F88">
        <w:t xml:space="preserve"> (both commercial and residential) </w:t>
      </w:r>
      <w:r w:rsidR="00C04C9B">
        <w:t xml:space="preserve">were the highest value sectors with investment </w:t>
      </w:r>
      <w:r w:rsidR="00FD4F64">
        <w:t>approvals worth</w:t>
      </w:r>
      <w:r w:rsidR="00C04C9B">
        <w:t xml:space="preserve"> $7.5</w:t>
      </w:r>
      <w:r w:rsidR="00953242">
        <w:t> </w:t>
      </w:r>
      <w:r w:rsidR="00C04C9B">
        <w:t>billion and $1</w:t>
      </w:r>
      <w:r>
        <w:t>.8</w:t>
      </w:r>
      <w:r w:rsidR="00953242">
        <w:t> </w:t>
      </w:r>
      <w:r>
        <w:t>billion</w:t>
      </w:r>
      <w:r w:rsidR="00C04C9B">
        <w:t xml:space="preserve">. </w:t>
      </w:r>
    </w:p>
    <w:p w14:paraId="57BA02D6" w14:textId="54D5D274" w:rsidR="00BB3F80" w:rsidRDefault="00A0612C" w:rsidP="00BB3F80">
      <w:pPr>
        <w:pStyle w:val="Bullet"/>
      </w:pPr>
      <w:r>
        <w:t>Commercial real</w:t>
      </w:r>
      <w:r w:rsidR="00BB3F80" w:rsidRPr="005C3DFE">
        <w:t xml:space="preserve"> </w:t>
      </w:r>
      <w:r w:rsidR="00BB3F80">
        <w:t>e</w:t>
      </w:r>
      <w:r w:rsidR="00BB3F80" w:rsidRPr="005C3DFE">
        <w:t>state</w:t>
      </w:r>
      <w:r w:rsidR="005C3DFE">
        <w:t xml:space="preserve"> </w:t>
      </w:r>
      <w:r w:rsidR="0016644D">
        <w:t>received the highest number of approvals and highest value of investment</w:t>
      </w:r>
      <w:r w:rsidR="00554058">
        <w:t xml:space="preserve"> for</w:t>
      </w:r>
      <w:r w:rsidR="00BB3F80">
        <w:t xml:space="preserve"> </w:t>
      </w:r>
      <w:r w:rsidR="0016644D">
        <w:t>the reporting period</w:t>
      </w:r>
      <w:r w:rsidR="00D71ECC">
        <w:t xml:space="preserve">, with </w:t>
      </w:r>
      <w:r w:rsidR="00BB3F80">
        <w:t>approvals worth $</w:t>
      </w:r>
      <w:r w:rsidR="005C3DFE" w:rsidRPr="005C3DFE">
        <w:t>82</w:t>
      </w:r>
      <w:r w:rsidR="00BB3F80" w:rsidRPr="005C3DFE">
        <w:t>.</w:t>
      </w:r>
      <w:r w:rsidR="005C3DFE" w:rsidRPr="005C3DFE">
        <w:t>0</w:t>
      </w:r>
      <w:r w:rsidR="00804AC0">
        <w:t> </w:t>
      </w:r>
      <w:r w:rsidR="00BB3F80">
        <w:t>billion</w:t>
      </w:r>
      <w:r w:rsidR="00E304D5">
        <w:t>.</w:t>
      </w:r>
      <w:r w:rsidR="005C3DFE">
        <w:t xml:space="preserve"> </w:t>
      </w:r>
      <w:r w:rsidR="00E304D5">
        <w:t>T</w:t>
      </w:r>
      <w:r w:rsidR="005C3DFE">
        <w:t xml:space="preserve">his </w:t>
      </w:r>
      <w:r w:rsidR="008A1403">
        <w:t>was</w:t>
      </w:r>
      <w:r w:rsidR="005C3DFE">
        <w:t xml:space="preserve"> </w:t>
      </w:r>
      <w:r w:rsidR="00554058">
        <w:t>up from $38.8</w:t>
      </w:r>
      <w:r w:rsidR="00953242">
        <w:t> </w:t>
      </w:r>
      <w:r w:rsidR="00554058">
        <w:t xml:space="preserve">billion in </w:t>
      </w:r>
      <w:r w:rsidR="00D76ED2">
        <w:t>2019</w:t>
      </w:r>
      <w:r w:rsidR="00D76ED2">
        <w:noBreakHyphen/>
        <w:t>20</w:t>
      </w:r>
      <w:r w:rsidR="00554058">
        <w:t xml:space="preserve">. </w:t>
      </w:r>
      <w:r w:rsidR="00CF5740">
        <w:t>Services was t</w:t>
      </w:r>
      <w:r w:rsidR="00BB3F80">
        <w:t xml:space="preserve">he </w:t>
      </w:r>
      <w:r w:rsidR="00CF5740">
        <w:t>sector with the second highest value of approvals</w:t>
      </w:r>
      <w:r w:rsidR="00BB3F80">
        <w:t xml:space="preserve">. The value of approved investments </w:t>
      </w:r>
      <w:r w:rsidR="009B3698">
        <w:t xml:space="preserve">increased moderately </w:t>
      </w:r>
      <w:r w:rsidR="00BB3F80">
        <w:t xml:space="preserve">in this sector </w:t>
      </w:r>
      <w:r w:rsidR="004310D0">
        <w:t>from</w:t>
      </w:r>
      <w:r w:rsidR="00BB3F80">
        <w:t xml:space="preserve"> $</w:t>
      </w:r>
      <w:r w:rsidR="00BD5BA3" w:rsidRPr="00BD5BA3">
        <w:t>7</w:t>
      </w:r>
      <w:r w:rsidR="0026096C">
        <w:t>3</w:t>
      </w:r>
      <w:r w:rsidR="00BB3F80" w:rsidRPr="00BD5BA3">
        <w:t>.</w:t>
      </w:r>
      <w:r w:rsidR="0026096C">
        <w:t>6</w:t>
      </w:r>
      <w:r w:rsidR="001702BC">
        <w:t> </w:t>
      </w:r>
      <w:r w:rsidR="00BB3F80">
        <w:t xml:space="preserve">billion in </w:t>
      </w:r>
      <w:r w:rsidR="00D76ED2">
        <w:t>2019</w:t>
      </w:r>
      <w:r w:rsidR="00D76ED2">
        <w:noBreakHyphen/>
        <w:t>20</w:t>
      </w:r>
      <w:r w:rsidR="00BB3F80">
        <w:t xml:space="preserve"> to $</w:t>
      </w:r>
      <w:r w:rsidR="00BD5BA3" w:rsidRPr="00BD5BA3">
        <w:t>7</w:t>
      </w:r>
      <w:r w:rsidR="0026096C">
        <w:t>6</w:t>
      </w:r>
      <w:r w:rsidR="00BB3F80" w:rsidRPr="00BD5BA3">
        <w:t>.</w:t>
      </w:r>
      <w:r w:rsidR="0026096C">
        <w:t>9</w:t>
      </w:r>
      <w:r w:rsidR="00E304D5">
        <w:t> </w:t>
      </w:r>
      <w:r w:rsidR="00BB3F80">
        <w:t xml:space="preserve">billion in </w:t>
      </w:r>
      <w:r w:rsidR="00D76ED2">
        <w:t>2020</w:t>
      </w:r>
      <w:r w:rsidR="00D76ED2">
        <w:noBreakHyphen/>
        <w:t>21</w:t>
      </w:r>
      <w:r w:rsidR="00BB3F80">
        <w:t xml:space="preserve">. </w:t>
      </w:r>
      <w:r w:rsidR="00BD5BA3">
        <w:t>Manufacturing, gas and electricity</w:t>
      </w:r>
      <w:r w:rsidR="00BB3F80">
        <w:t xml:space="preserve"> was the third highest value sector, recording investment worth $</w:t>
      </w:r>
      <w:r w:rsidR="00BD5BA3" w:rsidRPr="00BD5BA3">
        <w:t>35</w:t>
      </w:r>
      <w:r w:rsidR="00BB3F80" w:rsidRPr="00BD5BA3">
        <w:t>.</w:t>
      </w:r>
      <w:r w:rsidR="00BD5BA3" w:rsidRPr="00BD5BA3">
        <w:t>3</w:t>
      </w:r>
      <w:r w:rsidR="001702BC">
        <w:t> </w:t>
      </w:r>
      <w:r w:rsidR="00BB3F80">
        <w:t xml:space="preserve">billion in </w:t>
      </w:r>
      <w:r w:rsidR="00D76ED2">
        <w:t>2020</w:t>
      </w:r>
      <w:r w:rsidR="00D76ED2">
        <w:noBreakHyphen/>
        <w:t>21</w:t>
      </w:r>
      <w:r w:rsidR="00BB3F80">
        <w:t>.</w:t>
      </w:r>
    </w:p>
    <w:p w14:paraId="27472466" w14:textId="1A45C40E" w:rsidR="00BB3F80" w:rsidRPr="002276BC" w:rsidRDefault="002276BC" w:rsidP="00BB3F80">
      <w:pPr>
        <w:pStyle w:val="Bullet"/>
      </w:pPr>
      <w:r w:rsidRPr="002276BC">
        <w:t xml:space="preserve">The </w:t>
      </w:r>
      <w:r w:rsidR="00BB3F80" w:rsidRPr="002276BC">
        <w:t>ATO compl</w:t>
      </w:r>
      <w:r w:rsidRPr="002276BC">
        <w:t>eted 404</w:t>
      </w:r>
      <w:r w:rsidR="00BB3F80" w:rsidRPr="002276BC">
        <w:t xml:space="preserve"> residential real estate investigations, </w:t>
      </w:r>
      <w:r w:rsidRPr="002276BC">
        <w:t>identifying 83</w:t>
      </w:r>
      <w:r w:rsidR="00BB3F80" w:rsidRPr="002276BC">
        <w:t xml:space="preserve"> properties in breach</w:t>
      </w:r>
      <w:r w:rsidR="0050028B">
        <w:t xml:space="preserve"> of the FATA</w:t>
      </w:r>
      <w:r w:rsidRPr="002276BC">
        <w:t xml:space="preserve">. </w:t>
      </w:r>
      <w:r>
        <w:t xml:space="preserve">This was a decrease in the number of breaches identified in </w:t>
      </w:r>
      <w:r w:rsidR="00D76ED2">
        <w:t>2019</w:t>
      </w:r>
      <w:r w:rsidR="00D76ED2">
        <w:noBreakHyphen/>
        <w:t>20</w:t>
      </w:r>
      <w:r>
        <w:t xml:space="preserve"> where 259 properties were found to be in breach from 620 residential real estate investigations. </w:t>
      </w:r>
    </w:p>
    <w:p w14:paraId="6764A7DD" w14:textId="69778BA3" w:rsidR="00BB3F80" w:rsidRPr="00E73A52" w:rsidRDefault="00BB3F80" w:rsidP="00BB3F80">
      <w:pPr>
        <w:pStyle w:val="Bullet"/>
        <w:numPr>
          <w:ilvl w:val="0"/>
          <w:numId w:val="0"/>
        </w:numPr>
        <w:ind w:left="283"/>
        <w:rPr>
          <w:lang w:val="en-US"/>
        </w:rPr>
      </w:pPr>
    </w:p>
    <w:p w14:paraId="3FAAE15D" w14:textId="69778BA3" w:rsidR="00CC7DB9" w:rsidRDefault="00CC7DB9">
      <w:pPr>
        <w:spacing w:after="0" w:line="240" w:lineRule="auto"/>
        <w:jc w:val="left"/>
        <w:rPr>
          <w:rFonts w:ascii="Calibri" w:hAnsi="Calibri" w:cs="Arial"/>
          <w:b/>
          <w:bCs/>
          <w:caps/>
          <w:color w:val="auto"/>
          <w:kern w:val="32"/>
          <w:sz w:val="32"/>
          <w:szCs w:val="48"/>
        </w:rPr>
        <w:sectPr w:rsidR="00CC7DB9" w:rsidSect="00CB7A07">
          <w:headerReference w:type="even" r:id="rId36"/>
          <w:footerReference w:type="even" r:id="rId37"/>
          <w:footerReference w:type="first" r:id="rId38"/>
          <w:type w:val="oddPage"/>
          <w:pgSz w:w="11906" w:h="16838" w:code="9"/>
          <w:pgMar w:top="2466" w:right="2098" w:bottom="2466" w:left="2098" w:header="1899" w:footer="1899" w:gutter="0"/>
          <w:pgNumType w:fmt="lowerRoman"/>
          <w:cols w:space="708"/>
          <w:titlePg/>
          <w:docGrid w:linePitch="360"/>
        </w:sectPr>
      </w:pPr>
      <w:bookmarkStart w:id="5" w:name="_Hlk80273972"/>
    </w:p>
    <w:p w14:paraId="2C3CCF4A" w14:textId="0A946E7C" w:rsidR="00385B58" w:rsidRPr="00C6113A" w:rsidRDefault="00C6113A" w:rsidP="00D122D6">
      <w:pPr>
        <w:pStyle w:val="Heading1"/>
      </w:pPr>
      <w:bookmarkStart w:id="6" w:name="_Toc89872874"/>
      <w:bookmarkStart w:id="7" w:name="_Toc89872921"/>
      <w:r w:rsidRPr="00C6113A">
        <w:lastRenderedPageBreak/>
        <w:t>The Foreign Investment Review Board</w:t>
      </w:r>
      <w:bookmarkEnd w:id="6"/>
      <w:bookmarkEnd w:id="7"/>
    </w:p>
    <w:bookmarkEnd w:id="5"/>
    <w:p w14:paraId="54AD8F45" w14:textId="2050F058" w:rsidR="00E522C4" w:rsidRPr="00A84283" w:rsidRDefault="00E522C4" w:rsidP="00E522C4">
      <w:pPr>
        <w:spacing w:after="360"/>
      </w:pPr>
      <w:r w:rsidRPr="00A84283">
        <w:t xml:space="preserve">This chapter provides an overview of the Board and </w:t>
      </w:r>
      <w:r>
        <w:t xml:space="preserve">the agencies that </w:t>
      </w:r>
      <w:r w:rsidR="006A768E">
        <w:t>administer the framework</w:t>
      </w:r>
      <w:r>
        <w:t>, the Treasury and the ATO</w:t>
      </w:r>
      <w:r w:rsidRPr="00A84283">
        <w:t>, including details on the Board</w:t>
      </w:r>
      <w:r w:rsidR="00065800">
        <w:t>’</w:t>
      </w:r>
      <w:r w:rsidRPr="00A84283">
        <w:t>s responsibilities, membership and operational costs.</w:t>
      </w:r>
    </w:p>
    <w:p w14:paraId="215E1FC5" w14:textId="7F270939" w:rsidR="00E522C4" w:rsidRPr="00A84283" w:rsidRDefault="00E522C4" w:rsidP="00E522C4">
      <w:r w:rsidRPr="00A84283">
        <w:t xml:space="preserve">The </w:t>
      </w:r>
      <w:r w:rsidR="00D73E54">
        <w:t xml:space="preserve">Foreign Investment Review </w:t>
      </w:r>
      <w:r w:rsidRPr="00A84283">
        <w:t>Board is a non</w:t>
      </w:r>
      <w:r w:rsidR="003E7C79">
        <w:t>–</w:t>
      </w:r>
      <w:r w:rsidRPr="00A84283">
        <w:t xml:space="preserve">statutory body established in 1976 to advise the Treasurer and the Government on foreign </w:t>
      </w:r>
      <w:r w:rsidRPr="00933585">
        <w:t>investment matters. The Board</w:t>
      </w:r>
      <w:r w:rsidR="00065800">
        <w:t>’</w:t>
      </w:r>
      <w:r w:rsidRPr="00933585">
        <w:t>s functions are advisory only and it does not make decisions on foreign investment proposals.</w:t>
      </w:r>
      <w:r w:rsidRPr="00A84283">
        <w:t xml:space="preserve"> Responsibility for making decisions on foreign investment policy</w:t>
      </w:r>
      <w:r w:rsidR="004A6B03">
        <w:t xml:space="preserve"> and </w:t>
      </w:r>
      <w:r w:rsidRPr="00933585">
        <w:t xml:space="preserve">investment proposals </w:t>
      </w:r>
      <w:r w:rsidRPr="00A84283">
        <w:t>rests with the Treasurer.</w:t>
      </w:r>
      <w:r>
        <w:rPr>
          <w:rStyle w:val="FootnoteReference"/>
        </w:rPr>
        <w:footnoteReference w:id="2"/>
      </w:r>
      <w:r w:rsidR="00290A66">
        <w:t xml:space="preserve"> Compliance and enforcement powers are </w:t>
      </w:r>
      <w:r w:rsidR="00671C98">
        <w:t xml:space="preserve">exercised by </w:t>
      </w:r>
      <w:r w:rsidR="00290A66">
        <w:t xml:space="preserve">the Treasurer and </w:t>
      </w:r>
      <w:r w:rsidR="00671C98">
        <w:t xml:space="preserve">appointed </w:t>
      </w:r>
      <w:r w:rsidR="00290A66">
        <w:t>Treasury and ATO offic</w:t>
      </w:r>
      <w:r w:rsidR="00671C98">
        <w:t>ers</w:t>
      </w:r>
      <w:r w:rsidR="00290A66">
        <w:t>.</w:t>
      </w:r>
    </w:p>
    <w:p w14:paraId="32F57C1E" w14:textId="3AF5DBAA" w:rsidR="00E522C4" w:rsidRPr="009E6D77" w:rsidRDefault="00E522C4" w:rsidP="00E522C4">
      <w:r w:rsidRPr="00A83C29">
        <w:t xml:space="preserve">During </w:t>
      </w:r>
      <w:r w:rsidR="00D76ED2">
        <w:t>2020</w:t>
      </w:r>
      <w:r w:rsidR="00D76ED2">
        <w:noBreakHyphen/>
        <w:t>21</w:t>
      </w:r>
      <w:r w:rsidRPr="00A83C29">
        <w:t>, the Board had eight members</w:t>
      </w:r>
      <w:r>
        <w:t xml:space="preserve">, </w:t>
      </w:r>
      <w:r w:rsidRPr="00A83C29">
        <w:t xml:space="preserve">comprising </w:t>
      </w:r>
      <w:r>
        <w:t>seven</w:t>
      </w:r>
      <w:r w:rsidRPr="00A83C29">
        <w:t xml:space="preserve"> part</w:t>
      </w:r>
      <w:r w:rsidR="003E7C79">
        <w:t>–</w:t>
      </w:r>
      <w:r w:rsidRPr="00A83C29">
        <w:t>time members and one full</w:t>
      </w:r>
      <w:r w:rsidR="003E7C79">
        <w:t>–</w:t>
      </w:r>
      <w:r w:rsidRPr="00A83C29">
        <w:t>time executive member</w:t>
      </w:r>
      <w:r w:rsidR="00065800">
        <w:t xml:space="preserve"> – </w:t>
      </w:r>
      <w:r w:rsidRPr="00A83C29">
        <w:t xml:space="preserve">the </w:t>
      </w:r>
      <w:r>
        <w:t xml:space="preserve">First Assistant Secretary </w:t>
      </w:r>
      <w:r w:rsidRPr="00A83C29">
        <w:t xml:space="preserve">of </w:t>
      </w:r>
      <w:r>
        <w:t xml:space="preserve">the </w:t>
      </w:r>
      <w:r w:rsidRPr="00A83C29">
        <w:t>Treasury</w:t>
      </w:r>
      <w:r w:rsidR="00065800">
        <w:t>’</w:t>
      </w:r>
      <w:r w:rsidRPr="00A83C29">
        <w:t>s Foreign Investment Division</w:t>
      </w:r>
      <w:r>
        <w:t>. On</w:t>
      </w:r>
      <w:r w:rsidR="00804AC0">
        <w:t> </w:t>
      </w:r>
      <w:r>
        <w:t>31</w:t>
      </w:r>
      <w:r w:rsidR="00804AC0">
        <w:t> </w:t>
      </w:r>
      <w:r>
        <w:t>March 2021, Mr</w:t>
      </w:r>
      <w:r w:rsidR="00BD2877">
        <w:t> </w:t>
      </w:r>
      <w:r>
        <w:t>David</w:t>
      </w:r>
      <w:r w:rsidR="00BD2877">
        <w:t> </w:t>
      </w:r>
      <w:r>
        <w:t>Peever</w:t>
      </w:r>
      <w:r w:rsidR="00065800">
        <w:t>’</w:t>
      </w:r>
      <w:r>
        <w:t>s term expired, reducing the Board</w:t>
      </w:r>
      <w:r w:rsidR="00065800">
        <w:t>’</w:t>
      </w:r>
      <w:r>
        <w:t>s part</w:t>
      </w:r>
      <w:r w:rsidR="003E7C79">
        <w:t>–</w:t>
      </w:r>
      <w:r>
        <w:t>time members to six</w:t>
      </w:r>
      <w:r w:rsidRPr="00A83C29">
        <w:t xml:space="preserve">. </w:t>
      </w:r>
      <w:r w:rsidRPr="009E6D77">
        <w:t>The Government seeks to attract members to the Board with deep knowledge and experience in a range of</w:t>
      </w:r>
      <w:r w:rsidR="00971C09">
        <w:t xml:space="preserve"> </w:t>
      </w:r>
      <w:r w:rsidRPr="009E6D77">
        <w:t xml:space="preserve">sectors </w:t>
      </w:r>
      <w:r w:rsidR="00C839B9">
        <w:t>to</w:t>
      </w:r>
      <w:r w:rsidRPr="009E6D77">
        <w:t xml:space="preserve"> actively contribute to the Board</w:t>
      </w:r>
      <w:r w:rsidR="00065800">
        <w:t>’</w:t>
      </w:r>
      <w:r w:rsidRPr="009E6D77">
        <w:t>s responsibilities. Strong probity procedures are in place to ensure any conflicts of interest that may occur are managed appropriately.</w:t>
      </w:r>
    </w:p>
    <w:p w14:paraId="0EA7638B" w14:textId="2DDA33CC" w:rsidR="00E522C4" w:rsidRPr="00A84283" w:rsidRDefault="00E522C4" w:rsidP="00E522C4">
      <w:r w:rsidRPr="000C6479">
        <w:t>To facilitate its advice, the Board hold</w:t>
      </w:r>
      <w:r w:rsidR="007A3FB6">
        <w:t>s</w:t>
      </w:r>
      <w:r w:rsidRPr="000C6479">
        <w:t xml:space="preserve"> regular meetings on a monthly basis</w:t>
      </w:r>
      <w:r w:rsidR="00426193">
        <w:t xml:space="preserve"> as well as teleconferences</w:t>
      </w:r>
      <w:r w:rsidRPr="000C6479">
        <w:t>. It also considers matters out</w:t>
      </w:r>
      <w:r w:rsidR="003E7C79">
        <w:t>–</w:t>
      </w:r>
      <w:r w:rsidRPr="000C6479">
        <w:t>of</w:t>
      </w:r>
      <w:r w:rsidR="003E7C79">
        <w:t>–</w:t>
      </w:r>
      <w:r w:rsidRPr="000C6479">
        <w:t>session via email</w:t>
      </w:r>
      <w:r w:rsidRPr="004A748C">
        <w:t xml:space="preserve">. </w:t>
      </w:r>
      <w:r>
        <w:t>During the reporting period</w:t>
      </w:r>
      <w:r w:rsidRPr="004A748C">
        <w:t xml:space="preserve">, </w:t>
      </w:r>
      <w:r w:rsidRPr="000C6479">
        <w:t xml:space="preserve">the Board replaced </w:t>
      </w:r>
      <w:r w:rsidR="00881E2E">
        <w:t xml:space="preserve">some of </w:t>
      </w:r>
      <w:r w:rsidRPr="000C6479">
        <w:t>its monthly face</w:t>
      </w:r>
      <w:r w:rsidR="003E7C79">
        <w:t>–</w:t>
      </w:r>
      <w:r w:rsidRPr="000C6479">
        <w:t>to</w:t>
      </w:r>
      <w:r w:rsidR="003E7C79">
        <w:t>–</w:t>
      </w:r>
      <w:r w:rsidRPr="000C6479">
        <w:t>face meetings with secure video conferencing</w:t>
      </w:r>
      <w:r>
        <w:t xml:space="preserve"> due to </w:t>
      </w:r>
      <w:r w:rsidR="00776645">
        <w:t>COVID-19</w:t>
      </w:r>
      <w:r>
        <w:t xml:space="preserve"> lockdown measures</w:t>
      </w:r>
      <w:r w:rsidRPr="000C6479">
        <w:t>. Appendix A lists Board members</w:t>
      </w:r>
      <w:r w:rsidR="00065800">
        <w:t>’</w:t>
      </w:r>
      <w:r w:rsidRPr="000C6479">
        <w:t xml:space="preserve"> attendance for the monthly meetings during the reporting period.</w:t>
      </w:r>
    </w:p>
    <w:p w14:paraId="46A27A67" w14:textId="6EAE5EB7" w:rsidR="00E522C4" w:rsidRPr="00BB3189" w:rsidRDefault="00E522C4" w:rsidP="00226E1B">
      <w:pPr>
        <w:pStyle w:val="Heading2"/>
      </w:pPr>
      <w:bookmarkStart w:id="9" w:name="_Toc31296893"/>
      <w:bookmarkStart w:id="10" w:name="_Toc31636011"/>
      <w:bookmarkStart w:id="11" w:name="_Toc31642780"/>
      <w:bookmarkStart w:id="12" w:name="_Toc32247789"/>
      <w:bookmarkStart w:id="13" w:name="_Toc63782920"/>
      <w:bookmarkStart w:id="14" w:name="_Toc75244049"/>
      <w:bookmarkStart w:id="15" w:name="_Toc79999652"/>
      <w:bookmarkStart w:id="16" w:name="_Toc89872875"/>
      <w:bookmarkStart w:id="17" w:name="_Toc89872922"/>
      <w:r w:rsidRPr="00BB3189">
        <w:t>Board responsibilities</w:t>
      </w:r>
      <w:bookmarkEnd w:id="9"/>
      <w:bookmarkEnd w:id="10"/>
      <w:bookmarkEnd w:id="11"/>
      <w:bookmarkEnd w:id="12"/>
      <w:bookmarkEnd w:id="13"/>
      <w:bookmarkEnd w:id="14"/>
      <w:bookmarkEnd w:id="15"/>
      <w:bookmarkEnd w:id="16"/>
      <w:bookmarkEnd w:id="17"/>
    </w:p>
    <w:p w14:paraId="623E9004" w14:textId="77777777" w:rsidR="00E522C4" w:rsidRPr="009E6D77" w:rsidRDefault="00E522C4" w:rsidP="00E522C4">
      <w:r w:rsidRPr="009E6D77">
        <w:t>The role of the Board is to:</w:t>
      </w:r>
    </w:p>
    <w:p w14:paraId="51123A1E" w14:textId="2DD92671" w:rsidR="0037385E" w:rsidRDefault="00E522C4" w:rsidP="00E522C4">
      <w:pPr>
        <w:pStyle w:val="Bullet"/>
      </w:pPr>
      <w:r w:rsidRPr="009E6D77">
        <w:t xml:space="preserve">examine proposed investments that are subject to the </w:t>
      </w:r>
      <w:r w:rsidR="0037385E">
        <w:t xml:space="preserve">foreign investment framework (the framework), which encompasses the </w:t>
      </w:r>
      <w:r w:rsidRPr="009E6D77">
        <w:rPr>
          <w:i/>
        </w:rPr>
        <w:t>Foreign Acquisitions and Takeovers Act 1975</w:t>
      </w:r>
      <w:r w:rsidRPr="009E6D77">
        <w:t> (the Act) and supporting legislatio</w:t>
      </w:r>
      <w:r w:rsidR="0037385E">
        <w:t>n and regulations</w:t>
      </w:r>
    </w:p>
    <w:p w14:paraId="1527D80D" w14:textId="0AE30ADE" w:rsidR="00E522C4" w:rsidRPr="00796AB0" w:rsidRDefault="00E522C4" w:rsidP="00E522C4">
      <w:pPr>
        <w:pStyle w:val="Bullet"/>
      </w:pPr>
      <w:r w:rsidRPr="009E6D77">
        <w:t>make recommendations to the Treasurer and other Treasury portfolio ministers on the national interest implications of these proposals</w:t>
      </w:r>
    </w:p>
    <w:p w14:paraId="34982218" w14:textId="7DDADBB7" w:rsidR="00E522C4" w:rsidRPr="009E6D77" w:rsidRDefault="00E522C4" w:rsidP="00E522C4">
      <w:pPr>
        <w:pStyle w:val="Bullet"/>
      </w:pPr>
      <w:r w:rsidRPr="009E6D77" w:rsidDel="00390926">
        <w:t>a</w:t>
      </w:r>
      <w:r w:rsidRPr="009E6D77">
        <w:t xml:space="preserve">dvise the Treasurer on the operation of </w:t>
      </w:r>
      <w:r w:rsidR="00390926">
        <w:t xml:space="preserve">the framework </w:t>
      </w:r>
      <w:r w:rsidRPr="009E6D77">
        <w:t xml:space="preserve">and </w:t>
      </w:r>
      <w:r w:rsidRPr="009E6D77" w:rsidDel="00151157">
        <w:t xml:space="preserve">the </w:t>
      </w:r>
      <w:r w:rsidRPr="00876DB5" w:rsidDel="0037385E">
        <w:t>Act</w:t>
      </w:r>
    </w:p>
    <w:p w14:paraId="4B60D579" w14:textId="6D1E7E8B" w:rsidR="00E522C4" w:rsidRPr="009E6D77" w:rsidRDefault="00E522C4" w:rsidP="00E522C4">
      <w:pPr>
        <w:pStyle w:val="Bullet"/>
      </w:pPr>
      <w:r w:rsidRPr="009E6D77">
        <w:lastRenderedPageBreak/>
        <w:t xml:space="preserve">foster an awareness and understanding, both in Australia and abroad, of </w:t>
      </w:r>
      <w:r w:rsidR="00151157">
        <w:t>Australia</w:t>
      </w:r>
      <w:r w:rsidR="00065800">
        <w:t>’</w:t>
      </w:r>
      <w:r w:rsidR="00151157">
        <w:t>s foreign investment policy</w:t>
      </w:r>
      <w:r w:rsidRPr="009E6D77">
        <w:t xml:space="preserve"> and the Act</w:t>
      </w:r>
    </w:p>
    <w:p w14:paraId="5CEA6C3B" w14:textId="11EC79C3" w:rsidR="00E522C4" w:rsidRPr="009E6D77" w:rsidRDefault="00E522C4" w:rsidP="00E522C4">
      <w:pPr>
        <w:pStyle w:val="Bullet"/>
      </w:pPr>
      <w:r w:rsidRPr="009E6D77">
        <w:t xml:space="preserve">provide guidance to foreign persons and their representatives or agents on the </w:t>
      </w:r>
      <w:r w:rsidR="00151157">
        <w:t>framework</w:t>
      </w:r>
      <w:r w:rsidR="001404BF">
        <w:t xml:space="preserve"> </w:t>
      </w:r>
      <w:r w:rsidRPr="009E6D77">
        <w:t>and the Act</w:t>
      </w:r>
      <w:r w:rsidR="00671C98">
        <w:t>.</w:t>
      </w:r>
    </w:p>
    <w:p w14:paraId="3BED7342" w14:textId="77777777" w:rsidR="00E522C4" w:rsidRPr="00264477" w:rsidRDefault="00E522C4" w:rsidP="00226E1B">
      <w:pPr>
        <w:pStyle w:val="Heading2"/>
      </w:pPr>
      <w:bookmarkStart w:id="18" w:name="_Toc31296894"/>
      <w:bookmarkStart w:id="19" w:name="_Toc31636012"/>
      <w:bookmarkStart w:id="20" w:name="_Toc31642781"/>
      <w:bookmarkStart w:id="21" w:name="_Toc32247790"/>
      <w:bookmarkStart w:id="22" w:name="_Toc63782921"/>
      <w:bookmarkStart w:id="23" w:name="_Toc75244050"/>
      <w:bookmarkStart w:id="24" w:name="_Toc79999653"/>
      <w:bookmarkStart w:id="25" w:name="_Toc89872876"/>
      <w:bookmarkStart w:id="26" w:name="_Toc89872923"/>
      <w:r w:rsidRPr="00264477">
        <w:t>Board membership</w:t>
      </w:r>
      <w:bookmarkEnd w:id="18"/>
      <w:bookmarkEnd w:id="19"/>
      <w:bookmarkEnd w:id="20"/>
      <w:bookmarkEnd w:id="21"/>
      <w:bookmarkEnd w:id="22"/>
      <w:bookmarkEnd w:id="23"/>
      <w:bookmarkEnd w:id="24"/>
      <w:bookmarkEnd w:id="25"/>
      <w:bookmarkEnd w:id="26"/>
    </w:p>
    <w:p w14:paraId="1F6B84AB" w14:textId="65BBA57C" w:rsidR="00E522C4" w:rsidRPr="00676C85" w:rsidRDefault="00E522C4" w:rsidP="00E522C4">
      <w:pPr>
        <w:spacing w:line="240" w:lineRule="exact"/>
      </w:pPr>
      <w:r w:rsidRPr="00676C85">
        <w:t xml:space="preserve">As </w:t>
      </w:r>
      <w:proofErr w:type="gramStart"/>
      <w:r w:rsidRPr="00676C85">
        <w:t>at</w:t>
      </w:r>
      <w:proofErr w:type="gramEnd"/>
      <w:r w:rsidRPr="00676C85">
        <w:t xml:space="preserve"> 30 June 2021, the Board comprised the following members.</w:t>
      </w:r>
    </w:p>
    <w:p w14:paraId="7ACD57DA" w14:textId="77777777" w:rsidR="00E522C4" w:rsidRPr="00676C85" w:rsidRDefault="00E522C4" w:rsidP="00E522C4">
      <w:pPr>
        <w:pStyle w:val="Bullet"/>
        <w:spacing w:line="240" w:lineRule="exact"/>
      </w:pPr>
      <w:r w:rsidRPr="00676C85">
        <w:t>Mr David Irvine AO (Chair)</w:t>
      </w:r>
    </w:p>
    <w:p w14:paraId="32B04E31" w14:textId="77777777" w:rsidR="00E522C4" w:rsidRPr="00676C85" w:rsidRDefault="00E522C4" w:rsidP="00E522C4">
      <w:pPr>
        <w:pStyle w:val="Bullet"/>
        <w:spacing w:line="240" w:lineRule="exact"/>
      </w:pPr>
      <w:r w:rsidRPr="00676C85">
        <w:t>The Hon Cheryl Edwardes AM</w:t>
      </w:r>
    </w:p>
    <w:p w14:paraId="30B47B5A" w14:textId="77777777" w:rsidR="00E522C4" w:rsidRPr="00676C85" w:rsidRDefault="00E522C4" w:rsidP="00E522C4">
      <w:pPr>
        <w:pStyle w:val="Bullet"/>
        <w:spacing w:line="240" w:lineRule="exact"/>
      </w:pPr>
      <w:r w:rsidRPr="00676C85">
        <w:t>Ms Teresa Dyson</w:t>
      </w:r>
    </w:p>
    <w:p w14:paraId="16ED0576" w14:textId="77777777" w:rsidR="00E522C4" w:rsidRPr="00676C85" w:rsidRDefault="00E522C4" w:rsidP="00E522C4">
      <w:pPr>
        <w:pStyle w:val="Bullet"/>
        <w:spacing w:line="240" w:lineRule="exact"/>
      </w:pPr>
      <w:r w:rsidRPr="00676C85">
        <w:t>The Hon Nick Minchin AO</w:t>
      </w:r>
    </w:p>
    <w:p w14:paraId="1DF74A93" w14:textId="77777777" w:rsidR="00E522C4" w:rsidRPr="00676C85" w:rsidRDefault="00E522C4" w:rsidP="00E522C4">
      <w:pPr>
        <w:pStyle w:val="Bullet"/>
        <w:spacing w:line="240" w:lineRule="exact"/>
      </w:pPr>
      <w:r w:rsidRPr="00676C85">
        <w:t>Ms Margaret (Meg) McDonald</w:t>
      </w:r>
    </w:p>
    <w:p w14:paraId="32F4A08D" w14:textId="77777777" w:rsidR="00E522C4" w:rsidRPr="00676C85" w:rsidRDefault="00E522C4" w:rsidP="00E522C4">
      <w:pPr>
        <w:pStyle w:val="Bullet"/>
        <w:spacing w:line="240" w:lineRule="exact"/>
      </w:pPr>
      <w:r w:rsidRPr="00676C85">
        <w:t>Mr Steven Skala AO</w:t>
      </w:r>
    </w:p>
    <w:p w14:paraId="6DC00F12" w14:textId="61C806BA" w:rsidR="00E522C4" w:rsidRPr="00676C85" w:rsidRDefault="00E522C4" w:rsidP="00E522C4">
      <w:pPr>
        <w:pStyle w:val="Bullet"/>
      </w:pPr>
      <w:r w:rsidRPr="00676C85">
        <w:t>Mr Tom Hamilton (full</w:t>
      </w:r>
      <w:r w:rsidR="003E7C79">
        <w:t>–</w:t>
      </w:r>
      <w:r w:rsidRPr="00676C85">
        <w:t>time executive member)</w:t>
      </w:r>
    </w:p>
    <w:p w14:paraId="7C0F1B2C" w14:textId="327B88F9" w:rsidR="00E522C4" w:rsidRDefault="00E522C4" w:rsidP="00E522C4">
      <w:pPr>
        <w:spacing w:after="0" w:line="240" w:lineRule="auto"/>
        <w:jc w:val="left"/>
        <w:rPr>
          <w:rFonts w:ascii="Calibri" w:hAnsi="Calibri"/>
          <w:b/>
          <w:color w:val="4F6228" w:themeColor="accent3" w:themeShade="80"/>
          <w:sz w:val="28"/>
          <w:szCs w:val="28"/>
        </w:rPr>
      </w:pPr>
      <w:r w:rsidRPr="00D54B8A">
        <w:t>Mr</w:t>
      </w:r>
      <w:r w:rsidR="00BD2877">
        <w:t> </w:t>
      </w:r>
      <w:r w:rsidRPr="00D54B8A">
        <w:t>David</w:t>
      </w:r>
      <w:r w:rsidR="00BD2877">
        <w:t> </w:t>
      </w:r>
      <w:r w:rsidRPr="00D54B8A">
        <w:t>Peever</w:t>
      </w:r>
      <w:r w:rsidR="00065800">
        <w:t>’</w:t>
      </w:r>
      <w:r w:rsidRPr="00D54B8A">
        <w:t>s term expired on</w:t>
      </w:r>
      <w:r>
        <w:t xml:space="preserve"> 31</w:t>
      </w:r>
      <w:r w:rsidR="00BD2877">
        <w:t> </w:t>
      </w:r>
      <w:r>
        <w:t>March</w:t>
      </w:r>
      <w:r w:rsidR="00BD2877">
        <w:t> </w:t>
      </w:r>
      <w:r>
        <w:t>2021</w:t>
      </w:r>
      <w:r w:rsidR="00065800">
        <w:t xml:space="preserve">. </w:t>
      </w:r>
      <w:r>
        <w:rPr>
          <w:rFonts w:ascii="Calibri" w:hAnsi="Calibri"/>
          <w:b/>
          <w:color w:val="4F6228" w:themeColor="accent3" w:themeShade="80"/>
          <w:sz w:val="28"/>
          <w:szCs w:val="28"/>
        </w:rPr>
        <w:br w:type="page"/>
      </w:r>
    </w:p>
    <w:p w14:paraId="6A926E14" w14:textId="381A2F79" w:rsidR="00E522C4" w:rsidRPr="00970A6B" w:rsidRDefault="00E522C4" w:rsidP="00C6113A">
      <w:pPr>
        <w:pStyle w:val="Heading2"/>
        <w:rPr>
          <w:color w:val="4F6228" w:themeColor="accent3" w:themeShade="80"/>
        </w:rPr>
      </w:pPr>
      <w:r w:rsidRPr="00876DB5">
        <w:lastRenderedPageBreak/>
        <w:t>Board Membership</w:t>
      </w:r>
    </w:p>
    <w:p w14:paraId="0E95E24A" w14:textId="2B74ABAF" w:rsidR="00E522C4" w:rsidRPr="00241E7E" w:rsidRDefault="00C6113A" w:rsidP="00975B8D">
      <w:pPr>
        <w:pStyle w:val="Heading3noTOC"/>
        <w:ind w:left="2976"/>
      </w:pPr>
      <w:r>
        <w:rPr>
          <w:b w:val="0"/>
          <w:noProof/>
        </w:rPr>
        <w:drawing>
          <wp:anchor distT="0" distB="180340" distL="180340" distR="180340" simplePos="0" relativeHeight="251658243" behindDoc="1" locked="0" layoutInCell="1" allowOverlap="1" wp14:anchorId="25522FED" wp14:editId="4356F819">
            <wp:simplePos x="0" y="0"/>
            <wp:positionH relativeFrom="margin">
              <wp:posOffset>0</wp:posOffset>
            </wp:positionH>
            <wp:positionV relativeFrom="margin">
              <wp:posOffset>361011</wp:posOffset>
            </wp:positionV>
            <wp:extent cx="1656000" cy="2250000"/>
            <wp:effectExtent l="0" t="0" r="1905" b="0"/>
            <wp:wrapSquare wrapText="bothSides"/>
            <wp:docPr id="5" name="Picture 5" descr="Photo of Mr David Irvine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Mr David Irvine AO"/>
                    <pic:cNvPicPr>
                      <a:picLocks noChangeAspect="1" noChangeArrowheads="1"/>
                    </pic:cNvPicPr>
                  </pic:nvPicPr>
                  <pic:blipFill rotWithShape="1">
                    <a:blip r:embed="rId39">
                      <a:extLst>
                        <a:ext uri="{28A0092B-C50C-407E-A947-70E740481C1C}">
                          <a14:useLocalDpi xmlns:a14="http://schemas.microsoft.com/office/drawing/2010/main" val="0"/>
                        </a:ext>
                      </a:extLst>
                    </a:blip>
                    <a:srcRect l="2388"/>
                    <a:stretch/>
                  </pic:blipFill>
                  <pic:spPr bwMode="auto">
                    <a:xfrm>
                      <a:off x="0" y="0"/>
                      <a:ext cx="1656000" cy="225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22C4" w:rsidRPr="00241E7E">
        <w:t>Mr David Irvine AO</w:t>
      </w:r>
    </w:p>
    <w:p w14:paraId="2716EF60" w14:textId="5731C58E" w:rsidR="00E522C4" w:rsidRPr="00613420" w:rsidRDefault="00E522C4" w:rsidP="00975B8D">
      <w:pPr>
        <w:keepNext/>
        <w:keepLines/>
        <w:spacing w:before="200" w:after="120"/>
        <w:ind w:left="2976"/>
        <w:jc w:val="left"/>
        <w:outlineLvl w:val="3"/>
        <w:rPr>
          <w:rFonts w:ascii="Calibri" w:eastAsiaTheme="majorEastAsia" w:hAnsi="Calibri" w:cstheme="majorBidi"/>
          <w:b/>
          <w:bCs/>
          <w:i/>
          <w:iCs/>
          <w:color w:val="auto"/>
        </w:rPr>
      </w:pPr>
      <w:r w:rsidRPr="00613420">
        <w:rPr>
          <w:rFonts w:ascii="Calibri" w:eastAsiaTheme="majorEastAsia" w:hAnsi="Calibri" w:cstheme="majorBidi"/>
          <w:b/>
          <w:bCs/>
          <w:i/>
          <w:iCs/>
          <w:color w:val="auto"/>
        </w:rPr>
        <w:t>Chair and non</w:t>
      </w:r>
      <w:r w:rsidR="003E7C79">
        <w:rPr>
          <w:rFonts w:ascii="Calibri" w:eastAsiaTheme="majorEastAsia" w:hAnsi="Calibri" w:cstheme="majorBidi"/>
          <w:b/>
          <w:bCs/>
          <w:i/>
          <w:iCs/>
          <w:color w:val="auto"/>
        </w:rPr>
        <w:t>–</w:t>
      </w:r>
      <w:r w:rsidRPr="00613420">
        <w:rPr>
          <w:rFonts w:ascii="Calibri" w:eastAsiaTheme="majorEastAsia" w:hAnsi="Calibri" w:cstheme="majorBidi"/>
          <w:b/>
          <w:bCs/>
          <w:i/>
          <w:iCs/>
          <w:color w:val="auto"/>
        </w:rPr>
        <w:t>executive member</w:t>
      </w:r>
    </w:p>
    <w:p w14:paraId="35E9FC15" w14:textId="77777777" w:rsidR="00E522C4" w:rsidRPr="00613420" w:rsidRDefault="00E522C4" w:rsidP="00975B8D">
      <w:pPr>
        <w:spacing w:after="160"/>
        <w:ind w:left="2976"/>
        <w:jc w:val="left"/>
        <w:rPr>
          <w:rFonts w:ascii="Calibri" w:hAnsi="Calibri"/>
          <w:color w:val="auto"/>
        </w:rPr>
      </w:pPr>
      <w:r w:rsidRPr="00613420">
        <w:rPr>
          <w:rFonts w:ascii="Calibri" w:hAnsi="Calibri"/>
          <w:color w:val="auto"/>
        </w:rPr>
        <w:t>Chair since 16 April 2017</w:t>
      </w:r>
      <w:r w:rsidRPr="00613420">
        <w:rPr>
          <w:rFonts w:ascii="Calibri" w:hAnsi="Calibri"/>
          <w:color w:val="auto"/>
        </w:rPr>
        <w:br/>
        <w:t>Member since 3 December 2015</w:t>
      </w:r>
    </w:p>
    <w:p w14:paraId="6C789309" w14:textId="649ECF36" w:rsidR="00E522C4" w:rsidRPr="00613420" w:rsidRDefault="00E522C4" w:rsidP="00975B8D">
      <w:pPr>
        <w:keepNext/>
        <w:keepLines/>
        <w:spacing w:after="160"/>
        <w:ind w:left="2976"/>
        <w:jc w:val="left"/>
        <w:rPr>
          <w:color w:val="auto"/>
        </w:rPr>
      </w:pPr>
      <w:r w:rsidRPr="00613420">
        <w:rPr>
          <w:color w:val="auto"/>
        </w:rPr>
        <w:t>Mr Irvine has significant national security expertise as a former Director</w:t>
      </w:r>
      <w:r w:rsidR="003E7C79">
        <w:rPr>
          <w:color w:val="auto"/>
        </w:rPr>
        <w:t>–</w:t>
      </w:r>
      <w:r w:rsidRPr="00613420">
        <w:rPr>
          <w:color w:val="auto"/>
        </w:rPr>
        <w:t>General of both the Australian Security Intelligence Organisation and the Australian Secret Intelligence Service. He is also a former Australian Ambassador to China and former Australian High Commissioner to Papua New Guinea.</w:t>
      </w:r>
    </w:p>
    <w:p w14:paraId="68AD9F34" w14:textId="77777777" w:rsidR="00E522C4" w:rsidRPr="00613420" w:rsidRDefault="00E522C4" w:rsidP="00975B8D">
      <w:pPr>
        <w:spacing w:before="200" w:after="120"/>
        <w:ind w:left="2976"/>
        <w:jc w:val="left"/>
        <w:rPr>
          <w:rFonts w:ascii="Calibri" w:eastAsiaTheme="majorEastAsia" w:hAnsi="Calibri" w:cstheme="majorBidi"/>
          <w:b/>
          <w:bCs/>
          <w:i/>
          <w:iCs/>
          <w:color w:val="auto"/>
        </w:rPr>
      </w:pPr>
      <w:r w:rsidRPr="00613420">
        <w:rPr>
          <w:rFonts w:ascii="Calibri" w:eastAsiaTheme="majorEastAsia" w:hAnsi="Calibri" w:cstheme="majorBidi"/>
          <w:b/>
          <w:bCs/>
          <w:i/>
          <w:iCs/>
          <w:color w:val="auto"/>
        </w:rPr>
        <w:t>Other roles</w:t>
      </w:r>
    </w:p>
    <w:p w14:paraId="67C16D1F" w14:textId="1914B404" w:rsidR="00E522C4" w:rsidRPr="00613420" w:rsidRDefault="00E522C4" w:rsidP="00975B8D">
      <w:pPr>
        <w:spacing w:after="0" w:line="240" w:lineRule="auto"/>
        <w:ind w:left="2976"/>
        <w:jc w:val="left"/>
        <w:rPr>
          <w:color w:val="auto"/>
        </w:rPr>
      </w:pPr>
      <w:r w:rsidRPr="00613420">
        <w:rPr>
          <w:color w:val="auto"/>
        </w:rPr>
        <w:t>Adjunct Professor</w:t>
      </w:r>
      <w:r w:rsidR="00065800">
        <w:rPr>
          <w:color w:val="auto"/>
        </w:rPr>
        <w:t xml:space="preserve"> – </w:t>
      </w:r>
      <w:r w:rsidRPr="00613420">
        <w:rPr>
          <w:color w:val="auto"/>
        </w:rPr>
        <w:t>Australian Graduate School of Policy and Security at Charles Sturt University</w:t>
      </w:r>
      <w:r w:rsidRPr="00613420">
        <w:rPr>
          <w:color w:val="auto"/>
        </w:rPr>
        <w:br/>
      </w:r>
      <w:r>
        <w:rPr>
          <w:color w:val="auto"/>
        </w:rPr>
        <w:t xml:space="preserve">Inaugural </w:t>
      </w:r>
      <w:r w:rsidRPr="00613420">
        <w:rPr>
          <w:color w:val="auto"/>
        </w:rPr>
        <w:t>Chair</w:t>
      </w:r>
      <w:r>
        <w:rPr>
          <w:color w:val="auto"/>
        </w:rPr>
        <w:t>, now Board Member</w:t>
      </w:r>
      <w:r w:rsidR="00065800">
        <w:rPr>
          <w:color w:val="auto"/>
        </w:rPr>
        <w:t xml:space="preserve"> – </w:t>
      </w:r>
      <w:r w:rsidRPr="00613420">
        <w:rPr>
          <w:color w:val="auto"/>
        </w:rPr>
        <w:t>Cyber Security Cooperative Research Centre</w:t>
      </w:r>
    </w:p>
    <w:p w14:paraId="0284394C" w14:textId="787C81BD" w:rsidR="00E522C4" w:rsidRPr="00613420" w:rsidRDefault="00E522C4" w:rsidP="00E522C4">
      <w:pPr>
        <w:spacing w:after="200"/>
        <w:rPr>
          <w:rFonts w:ascii="Calibri" w:hAnsi="Calibri"/>
          <w:b/>
          <w:color w:val="auto"/>
          <w:sz w:val="24"/>
        </w:rPr>
      </w:pPr>
    </w:p>
    <w:p w14:paraId="2596D5D4" w14:textId="5B8A29A4" w:rsidR="00E522C4" w:rsidRPr="00613420" w:rsidRDefault="00C6113A" w:rsidP="00975B8D">
      <w:pPr>
        <w:pStyle w:val="Heading3noTOC"/>
      </w:pPr>
      <w:r w:rsidRPr="00613420">
        <w:rPr>
          <w:b w:val="0"/>
          <w:noProof/>
          <w:color w:val="auto"/>
          <w:szCs w:val="24"/>
        </w:rPr>
        <w:drawing>
          <wp:anchor distT="0" distB="252095" distL="180340" distR="180340" simplePos="0" relativeHeight="251658244" behindDoc="1" locked="0" layoutInCell="1" allowOverlap="1" wp14:anchorId="2F301965" wp14:editId="1D71FC3D">
            <wp:simplePos x="0" y="0"/>
            <wp:positionH relativeFrom="margin">
              <wp:posOffset>47625</wp:posOffset>
            </wp:positionH>
            <wp:positionV relativeFrom="margin">
              <wp:posOffset>3638921</wp:posOffset>
            </wp:positionV>
            <wp:extent cx="1634400" cy="2221200"/>
            <wp:effectExtent l="0" t="0" r="4445" b="8255"/>
            <wp:wrapSquare wrapText="bothSides"/>
            <wp:docPr id="22" name="Picture 22" descr="Photo of The Hon Cheryl Edwards AM" title="Photo The Hon Cheryl Edwards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eb\DavWWWRoot\sites\mg\fitpd\Lfirbannualrport\2016-17\Report design\Cheryl Edwardes photo.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638" t="3311" r="-1" b="11631"/>
                    <a:stretch/>
                  </pic:blipFill>
                  <pic:spPr bwMode="auto">
                    <a:xfrm>
                      <a:off x="0" y="0"/>
                      <a:ext cx="1634400" cy="222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22C4" w:rsidRPr="00613420">
        <w:t>The Hon Cheryl Edwardes AM</w:t>
      </w:r>
    </w:p>
    <w:p w14:paraId="2695E8DB" w14:textId="4B709CC8" w:rsidR="00E522C4" w:rsidRPr="00613420" w:rsidRDefault="00E522C4" w:rsidP="00975B8D">
      <w:pPr>
        <w:keepNext/>
        <w:keepLines/>
        <w:spacing w:before="200" w:after="120"/>
        <w:outlineLvl w:val="3"/>
        <w:rPr>
          <w:rFonts w:ascii="Calibri" w:eastAsiaTheme="majorEastAsia" w:hAnsi="Calibri" w:cstheme="majorBidi"/>
          <w:b/>
          <w:bCs/>
          <w:i/>
          <w:iCs/>
          <w:color w:val="auto"/>
        </w:rPr>
      </w:pPr>
      <w:r w:rsidRPr="00613420">
        <w:rPr>
          <w:rFonts w:ascii="Calibri" w:eastAsiaTheme="majorEastAsia" w:hAnsi="Calibri" w:cstheme="majorBidi"/>
          <w:b/>
          <w:bCs/>
          <w:i/>
          <w:iCs/>
          <w:color w:val="auto"/>
        </w:rPr>
        <w:t>Non</w:t>
      </w:r>
      <w:r w:rsidR="003E7C79">
        <w:rPr>
          <w:rFonts w:ascii="Calibri" w:eastAsiaTheme="majorEastAsia" w:hAnsi="Calibri" w:cstheme="majorBidi"/>
          <w:b/>
          <w:bCs/>
          <w:i/>
          <w:iCs/>
          <w:color w:val="auto"/>
        </w:rPr>
        <w:t>–</w:t>
      </w:r>
      <w:r w:rsidRPr="00613420">
        <w:rPr>
          <w:rFonts w:ascii="Calibri" w:eastAsiaTheme="majorEastAsia" w:hAnsi="Calibri" w:cstheme="majorBidi"/>
          <w:b/>
          <w:bCs/>
          <w:i/>
          <w:iCs/>
          <w:color w:val="auto"/>
        </w:rPr>
        <w:t>executive member</w:t>
      </w:r>
    </w:p>
    <w:p w14:paraId="6012E4EF" w14:textId="77777777" w:rsidR="00E522C4" w:rsidRPr="00613420" w:rsidRDefault="00E522C4" w:rsidP="00975B8D">
      <w:pPr>
        <w:spacing w:after="160"/>
        <w:rPr>
          <w:color w:val="auto"/>
        </w:rPr>
      </w:pPr>
      <w:r w:rsidRPr="00613420">
        <w:rPr>
          <w:color w:val="auto"/>
        </w:rPr>
        <w:t>Member since 14 August 2017</w:t>
      </w:r>
    </w:p>
    <w:p w14:paraId="4FE59AB0" w14:textId="77777777" w:rsidR="00E522C4" w:rsidRPr="00613420" w:rsidRDefault="00E522C4" w:rsidP="00975B8D">
      <w:pPr>
        <w:spacing w:after="160" w:line="240" w:lineRule="auto"/>
        <w:rPr>
          <w:color w:val="auto"/>
        </w:rPr>
      </w:pPr>
      <w:r w:rsidRPr="00613420">
        <w:rPr>
          <w:color w:val="auto"/>
        </w:rPr>
        <w:t>Mrs Edwardes brings extensive legal and regulatory experience to the Board. Mrs Edwardes, a solicitor by profession, is a former Minister in the Court Government and was the member for Kingsley for 17 years.</w:t>
      </w:r>
    </w:p>
    <w:p w14:paraId="366C2110" w14:textId="3D075E60" w:rsidR="00E522C4" w:rsidRPr="00613420" w:rsidRDefault="00E522C4" w:rsidP="00975B8D">
      <w:pPr>
        <w:spacing w:after="160"/>
        <w:rPr>
          <w:color w:val="auto"/>
        </w:rPr>
      </w:pPr>
      <w:r w:rsidRPr="00613420">
        <w:rPr>
          <w:color w:val="auto"/>
        </w:rPr>
        <w:t>In 1993, she became the first woman to be appointed Attorney</w:t>
      </w:r>
      <w:r w:rsidR="003E7C79">
        <w:rPr>
          <w:color w:val="auto"/>
        </w:rPr>
        <w:t>–</w:t>
      </w:r>
      <w:r w:rsidRPr="00613420">
        <w:rPr>
          <w:color w:val="auto"/>
        </w:rPr>
        <w:t>General in Western Australia. Mrs Edwardes was awarded</w:t>
      </w:r>
      <w:r w:rsidRPr="00613420">
        <w:rPr>
          <w:color w:val="auto"/>
          <w:sz w:val="18"/>
          <w:szCs w:val="18"/>
        </w:rPr>
        <w:t xml:space="preserve"> </w:t>
      </w:r>
      <w:r w:rsidRPr="00613420">
        <w:rPr>
          <w:color w:val="auto"/>
        </w:rPr>
        <w:t>an</w:t>
      </w:r>
      <w:r w:rsidRPr="00613420">
        <w:rPr>
          <w:color w:val="auto"/>
          <w:sz w:val="18"/>
          <w:szCs w:val="18"/>
        </w:rPr>
        <w:t xml:space="preserve"> </w:t>
      </w:r>
      <w:r w:rsidRPr="00613420">
        <w:rPr>
          <w:color w:val="auto"/>
        </w:rPr>
        <w:t>Order</w:t>
      </w:r>
      <w:r w:rsidRPr="00613420">
        <w:rPr>
          <w:color w:val="auto"/>
          <w:sz w:val="18"/>
          <w:szCs w:val="18"/>
        </w:rPr>
        <w:t xml:space="preserve"> </w:t>
      </w:r>
      <w:r w:rsidRPr="00613420">
        <w:rPr>
          <w:color w:val="auto"/>
        </w:rPr>
        <w:t>of</w:t>
      </w:r>
      <w:r w:rsidRPr="00613420">
        <w:rPr>
          <w:color w:val="auto"/>
          <w:sz w:val="18"/>
          <w:szCs w:val="18"/>
        </w:rPr>
        <w:t xml:space="preserve"> </w:t>
      </w:r>
      <w:r w:rsidRPr="00613420">
        <w:rPr>
          <w:color w:val="auto"/>
        </w:rPr>
        <w:t>Australia</w:t>
      </w:r>
      <w:r w:rsidRPr="00613420">
        <w:rPr>
          <w:color w:val="auto"/>
          <w:sz w:val="18"/>
          <w:szCs w:val="18"/>
        </w:rPr>
        <w:t xml:space="preserve"> </w:t>
      </w:r>
      <w:r w:rsidRPr="00613420">
        <w:rPr>
          <w:color w:val="auto"/>
        </w:rPr>
        <w:t>in</w:t>
      </w:r>
      <w:r w:rsidRPr="00613420">
        <w:rPr>
          <w:color w:val="auto"/>
          <w:sz w:val="18"/>
          <w:szCs w:val="18"/>
        </w:rPr>
        <w:t xml:space="preserve"> </w:t>
      </w:r>
      <w:r w:rsidRPr="00613420">
        <w:rPr>
          <w:color w:val="auto"/>
        </w:rPr>
        <w:t>the</w:t>
      </w:r>
      <w:r w:rsidRPr="00613420">
        <w:rPr>
          <w:color w:val="auto"/>
          <w:sz w:val="18"/>
          <w:szCs w:val="18"/>
        </w:rPr>
        <w:t xml:space="preserve"> </w:t>
      </w:r>
      <w:r w:rsidRPr="00613420">
        <w:rPr>
          <w:color w:val="auto"/>
        </w:rPr>
        <w:t>Queen</w:t>
      </w:r>
      <w:r w:rsidR="00065800">
        <w:rPr>
          <w:color w:val="auto"/>
        </w:rPr>
        <w:t>’</w:t>
      </w:r>
      <w:r w:rsidRPr="00613420">
        <w:rPr>
          <w:color w:val="auto"/>
        </w:rPr>
        <w:t>s</w:t>
      </w:r>
      <w:r w:rsidRPr="00613420">
        <w:rPr>
          <w:color w:val="auto"/>
          <w:sz w:val="18"/>
          <w:szCs w:val="18"/>
        </w:rPr>
        <w:t xml:space="preserve"> </w:t>
      </w:r>
      <w:r w:rsidRPr="00613420">
        <w:rPr>
          <w:color w:val="auto"/>
        </w:rPr>
        <w:t>Birthday</w:t>
      </w:r>
      <w:r w:rsidRPr="00613420">
        <w:rPr>
          <w:color w:val="auto"/>
          <w:sz w:val="18"/>
          <w:szCs w:val="18"/>
        </w:rPr>
        <w:t xml:space="preserve"> </w:t>
      </w:r>
      <w:r w:rsidRPr="00613420">
        <w:rPr>
          <w:color w:val="auto"/>
        </w:rPr>
        <w:t>Honour 2016 for significant service to the people and Parliament of Western Australia, to the law and to the environment and through executive roles with business, education and community organisations.</w:t>
      </w:r>
    </w:p>
    <w:p w14:paraId="6D3D3575" w14:textId="77777777" w:rsidR="00E522C4" w:rsidRPr="00613420" w:rsidRDefault="00E522C4" w:rsidP="00C17F09">
      <w:pPr>
        <w:keepNext/>
        <w:keepLines/>
        <w:spacing w:after="120"/>
        <w:outlineLvl w:val="3"/>
        <w:rPr>
          <w:rFonts w:ascii="Calibri" w:eastAsiaTheme="majorEastAsia" w:hAnsi="Calibri" w:cstheme="majorBidi"/>
          <w:b/>
          <w:bCs/>
          <w:i/>
          <w:iCs/>
          <w:color w:val="auto"/>
        </w:rPr>
      </w:pPr>
      <w:r w:rsidRPr="00613420">
        <w:rPr>
          <w:rFonts w:ascii="Calibri" w:eastAsiaTheme="majorEastAsia" w:hAnsi="Calibri" w:cstheme="majorBidi"/>
          <w:b/>
          <w:bCs/>
          <w:i/>
          <w:iCs/>
          <w:color w:val="auto"/>
        </w:rPr>
        <w:t>Other roles</w:t>
      </w:r>
    </w:p>
    <w:p w14:paraId="6038B0C1" w14:textId="131C87D5" w:rsidR="00E522C4" w:rsidRPr="00613420" w:rsidRDefault="00E522C4" w:rsidP="00975B8D">
      <w:pPr>
        <w:pStyle w:val="Bullet"/>
        <w:numPr>
          <w:ilvl w:val="0"/>
          <w:numId w:val="0"/>
        </w:numPr>
        <w:jc w:val="left"/>
        <w:rPr>
          <w:color w:val="auto"/>
        </w:rPr>
      </w:pPr>
      <w:r w:rsidRPr="00613420">
        <w:rPr>
          <w:color w:val="auto"/>
        </w:rPr>
        <w:t>Commissioner</w:t>
      </w:r>
      <w:r w:rsidR="00065800">
        <w:rPr>
          <w:color w:val="auto"/>
        </w:rPr>
        <w:t xml:space="preserve"> – </w:t>
      </w:r>
      <w:r w:rsidRPr="00613420">
        <w:rPr>
          <w:color w:val="auto"/>
        </w:rPr>
        <w:t>West Australian Football Commission</w:t>
      </w:r>
      <w:r w:rsidRPr="00613420">
        <w:rPr>
          <w:color w:val="auto"/>
        </w:rPr>
        <w:br/>
        <w:t>Director</w:t>
      </w:r>
      <w:r w:rsidR="00065800">
        <w:rPr>
          <w:color w:val="auto"/>
        </w:rPr>
        <w:t xml:space="preserve"> – </w:t>
      </w:r>
      <w:r w:rsidRPr="00613420">
        <w:rPr>
          <w:color w:val="auto"/>
        </w:rPr>
        <w:t>VIMY Resources</w:t>
      </w:r>
      <w:r w:rsidRPr="00613420">
        <w:rPr>
          <w:color w:val="auto"/>
        </w:rPr>
        <w:br/>
        <w:t>Director</w:t>
      </w:r>
      <w:r w:rsidR="00065800">
        <w:rPr>
          <w:color w:val="auto"/>
        </w:rPr>
        <w:t xml:space="preserve"> – </w:t>
      </w:r>
      <w:r w:rsidRPr="00613420">
        <w:rPr>
          <w:color w:val="auto"/>
        </w:rPr>
        <w:t>Flinders Resources</w:t>
      </w:r>
      <w:r w:rsidRPr="00613420">
        <w:rPr>
          <w:color w:val="auto"/>
        </w:rPr>
        <w:br/>
        <w:t>Director</w:t>
      </w:r>
      <w:r w:rsidR="00065800">
        <w:rPr>
          <w:color w:val="auto"/>
        </w:rPr>
        <w:t xml:space="preserve"> – </w:t>
      </w:r>
      <w:proofErr w:type="spellStart"/>
      <w:r w:rsidRPr="00613420">
        <w:rPr>
          <w:color w:val="auto"/>
        </w:rPr>
        <w:t>NuHeara</w:t>
      </w:r>
      <w:proofErr w:type="spellEnd"/>
      <w:r w:rsidRPr="00613420">
        <w:rPr>
          <w:color w:val="auto"/>
        </w:rPr>
        <w:t xml:space="preserve"> Limited</w:t>
      </w:r>
    </w:p>
    <w:p w14:paraId="6356148B" w14:textId="348E9077" w:rsidR="00E522C4" w:rsidRPr="00613420" w:rsidRDefault="0030400A" w:rsidP="00975B8D">
      <w:pPr>
        <w:pStyle w:val="Heading3noTOC"/>
      </w:pPr>
      <w:r>
        <w:rPr>
          <w:noProof/>
        </w:rPr>
        <w:lastRenderedPageBreak/>
        <w:drawing>
          <wp:anchor distT="0" distB="0" distL="180340" distR="180340" simplePos="0" relativeHeight="251658247" behindDoc="0" locked="0" layoutInCell="1" allowOverlap="1" wp14:anchorId="4F939B1B" wp14:editId="1CF9F690">
            <wp:simplePos x="0" y="0"/>
            <wp:positionH relativeFrom="margin">
              <wp:posOffset>0</wp:posOffset>
            </wp:positionH>
            <wp:positionV relativeFrom="paragraph">
              <wp:posOffset>21921</wp:posOffset>
            </wp:positionV>
            <wp:extent cx="1648460" cy="2084070"/>
            <wp:effectExtent l="0" t="0" r="889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48460" cy="2084070"/>
                    </a:xfrm>
                    <a:prstGeom prst="rect">
                      <a:avLst/>
                    </a:prstGeom>
                  </pic:spPr>
                </pic:pic>
              </a:graphicData>
            </a:graphic>
            <wp14:sizeRelH relativeFrom="page">
              <wp14:pctWidth>0</wp14:pctWidth>
            </wp14:sizeRelH>
            <wp14:sizeRelV relativeFrom="page">
              <wp14:pctHeight>0</wp14:pctHeight>
            </wp14:sizeRelV>
          </wp:anchor>
        </w:drawing>
      </w:r>
      <w:r w:rsidR="00E522C4" w:rsidRPr="00613420">
        <w:t>Ms Teresa Dyson</w:t>
      </w:r>
    </w:p>
    <w:p w14:paraId="785F08BC" w14:textId="2D6270CF" w:rsidR="00E522C4" w:rsidRPr="00613420" w:rsidRDefault="00E522C4" w:rsidP="00975B8D">
      <w:pPr>
        <w:keepNext/>
        <w:keepLines/>
        <w:spacing w:before="200" w:after="120"/>
        <w:outlineLvl w:val="3"/>
        <w:rPr>
          <w:rFonts w:ascii="Calibri" w:eastAsiaTheme="majorEastAsia" w:hAnsi="Calibri" w:cstheme="majorBidi"/>
          <w:b/>
          <w:bCs/>
          <w:i/>
          <w:iCs/>
          <w:color w:val="auto"/>
        </w:rPr>
      </w:pPr>
      <w:r w:rsidRPr="00613420">
        <w:rPr>
          <w:rFonts w:ascii="Calibri" w:eastAsiaTheme="majorEastAsia" w:hAnsi="Calibri" w:cstheme="majorBidi"/>
          <w:b/>
          <w:bCs/>
          <w:i/>
          <w:iCs/>
          <w:color w:val="auto"/>
        </w:rPr>
        <w:t>Non</w:t>
      </w:r>
      <w:r w:rsidR="003E7C79">
        <w:rPr>
          <w:rFonts w:ascii="Calibri" w:eastAsiaTheme="majorEastAsia" w:hAnsi="Calibri" w:cstheme="majorBidi"/>
          <w:b/>
          <w:bCs/>
          <w:i/>
          <w:iCs/>
          <w:color w:val="auto"/>
        </w:rPr>
        <w:t>–</w:t>
      </w:r>
      <w:r w:rsidRPr="00613420">
        <w:rPr>
          <w:rFonts w:ascii="Calibri" w:eastAsiaTheme="majorEastAsia" w:hAnsi="Calibri" w:cstheme="majorBidi"/>
          <w:b/>
          <w:bCs/>
          <w:i/>
          <w:iCs/>
          <w:color w:val="auto"/>
        </w:rPr>
        <w:t>executive member</w:t>
      </w:r>
    </w:p>
    <w:p w14:paraId="70DF183E" w14:textId="77777777" w:rsidR="00E522C4" w:rsidRPr="00613420" w:rsidRDefault="00E522C4" w:rsidP="00975B8D">
      <w:pPr>
        <w:spacing w:after="160"/>
        <w:rPr>
          <w:color w:val="auto"/>
        </w:rPr>
      </w:pPr>
      <w:r w:rsidRPr="00613420">
        <w:rPr>
          <w:color w:val="auto"/>
        </w:rPr>
        <w:t>Member since 2 January 2018</w:t>
      </w:r>
    </w:p>
    <w:p w14:paraId="39B1FDC8" w14:textId="00C99DB7" w:rsidR="00E522C4" w:rsidRPr="00613420" w:rsidRDefault="00E522C4" w:rsidP="00975B8D">
      <w:pPr>
        <w:keepNext/>
        <w:keepLines/>
        <w:spacing w:after="160" w:line="240" w:lineRule="auto"/>
        <w:rPr>
          <w:color w:val="auto"/>
        </w:rPr>
      </w:pPr>
      <w:r w:rsidRPr="00613420">
        <w:rPr>
          <w:color w:val="auto"/>
        </w:rPr>
        <w:t>Ms Dyson is a non</w:t>
      </w:r>
      <w:r w:rsidR="003E7C79">
        <w:rPr>
          <w:color w:val="auto"/>
        </w:rPr>
        <w:t>–</w:t>
      </w:r>
      <w:r w:rsidRPr="00613420">
        <w:rPr>
          <w:color w:val="auto"/>
        </w:rPr>
        <w:t xml:space="preserve">executive director, serving on a range of listed, </w:t>
      </w:r>
      <w:r>
        <w:rPr>
          <w:color w:val="auto"/>
        </w:rPr>
        <w:t>government</w:t>
      </w:r>
      <w:r w:rsidRPr="00613420">
        <w:rPr>
          <w:color w:val="auto"/>
        </w:rPr>
        <w:t xml:space="preserve"> and not</w:t>
      </w:r>
      <w:r w:rsidR="003E7C79">
        <w:rPr>
          <w:color w:val="auto"/>
        </w:rPr>
        <w:t>–</w:t>
      </w:r>
      <w:r w:rsidRPr="00613420">
        <w:rPr>
          <w:color w:val="auto"/>
        </w:rPr>
        <w:t>for</w:t>
      </w:r>
      <w:r w:rsidR="003E7C79">
        <w:rPr>
          <w:color w:val="auto"/>
        </w:rPr>
        <w:t>–</w:t>
      </w:r>
      <w:r w:rsidRPr="00613420">
        <w:rPr>
          <w:color w:val="auto"/>
        </w:rPr>
        <w:t>profit boards. Ms Dyson has over 25 years of experience as a senior tax adviser, including as a partner at Ashurst and Deloitte, advising on infrastructure, financing, corporate tax issues, mergers and acquisitions activities, the not</w:t>
      </w:r>
      <w:r w:rsidR="003E7C79">
        <w:rPr>
          <w:color w:val="auto"/>
        </w:rPr>
        <w:t>–</w:t>
      </w:r>
      <w:r w:rsidRPr="00613420">
        <w:rPr>
          <w:color w:val="auto"/>
        </w:rPr>
        <w:t>for</w:t>
      </w:r>
      <w:r w:rsidR="003E7C79">
        <w:rPr>
          <w:color w:val="auto"/>
        </w:rPr>
        <w:t>–</w:t>
      </w:r>
      <w:r w:rsidRPr="00613420">
        <w:rPr>
          <w:color w:val="auto"/>
        </w:rPr>
        <w:t>profit sector, and tax controversy. She brings corporate and governance experience from a range of sectors. Ms Dyson is a former member and chair of the Board of Taxation.</w:t>
      </w:r>
    </w:p>
    <w:p w14:paraId="7C61B3D9" w14:textId="571AA8D2" w:rsidR="00E522C4" w:rsidRPr="0030400A" w:rsidRDefault="00E522C4" w:rsidP="00C17F09">
      <w:pPr>
        <w:keepNext/>
        <w:keepLines/>
        <w:spacing w:after="120"/>
        <w:outlineLvl w:val="3"/>
        <w:rPr>
          <w:rFonts w:ascii="Calibri" w:eastAsiaTheme="majorEastAsia" w:hAnsi="Calibri" w:cstheme="majorBidi"/>
          <w:b/>
          <w:bCs/>
          <w:i/>
          <w:iCs/>
          <w:color w:val="auto"/>
        </w:rPr>
      </w:pPr>
      <w:r w:rsidRPr="0030400A">
        <w:rPr>
          <w:rFonts w:ascii="Calibri" w:eastAsiaTheme="majorEastAsia" w:hAnsi="Calibri" w:cstheme="majorBidi"/>
          <w:b/>
          <w:bCs/>
          <w:i/>
          <w:iCs/>
          <w:color w:val="auto"/>
        </w:rPr>
        <w:t>Other roles</w:t>
      </w:r>
    </w:p>
    <w:p w14:paraId="4B3D9600" w14:textId="72EAAD17" w:rsidR="00E522C4" w:rsidRDefault="00E522C4" w:rsidP="00975B8D">
      <w:pPr>
        <w:pStyle w:val="Bullet"/>
        <w:numPr>
          <w:ilvl w:val="0"/>
          <w:numId w:val="0"/>
        </w:numPr>
        <w:spacing w:after="0"/>
        <w:jc w:val="left"/>
        <w:rPr>
          <w:color w:val="auto"/>
        </w:rPr>
      </w:pPr>
      <w:r w:rsidRPr="00613420">
        <w:rPr>
          <w:color w:val="auto"/>
        </w:rPr>
        <w:t>Director</w:t>
      </w:r>
      <w:r w:rsidR="00065800">
        <w:rPr>
          <w:color w:val="auto"/>
        </w:rPr>
        <w:t xml:space="preserve"> – </w:t>
      </w:r>
      <w:r w:rsidRPr="00613420">
        <w:rPr>
          <w:color w:val="auto"/>
        </w:rPr>
        <w:t>Energy Qld Ltd</w:t>
      </w:r>
      <w:r w:rsidRPr="00613420">
        <w:rPr>
          <w:color w:val="auto"/>
        </w:rPr>
        <w:br/>
        <w:t>Director</w:t>
      </w:r>
      <w:r w:rsidR="00065800">
        <w:rPr>
          <w:color w:val="auto"/>
        </w:rPr>
        <w:t xml:space="preserve"> – </w:t>
      </w:r>
      <w:r>
        <w:rPr>
          <w:color w:val="auto"/>
        </w:rPr>
        <w:t>Shine Justice Ltd</w:t>
      </w:r>
      <w:r w:rsidRPr="00613420">
        <w:rPr>
          <w:color w:val="auto"/>
        </w:rPr>
        <w:t xml:space="preserve"> </w:t>
      </w:r>
    </w:p>
    <w:p w14:paraId="14B055BE" w14:textId="6DFD15F9" w:rsidR="00E522C4" w:rsidRDefault="00E522C4" w:rsidP="00975B8D">
      <w:pPr>
        <w:pStyle w:val="NoSpacing"/>
      </w:pPr>
      <w:r w:rsidRPr="00613420">
        <w:t>Director</w:t>
      </w:r>
      <w:r w:rsidR="00065800">
        <w:t xml:space="preserve"> – </w:t>
      </w:r>
      <w:r w:rsidRPr="00613420">
        <w:t>Genex Power Ltd</w:t>
      </w:r>
    </w:p>
    <w:p w14:paraId="4BD62866" w14:textId="50AC72EF" w:rsidR="00E522C4" w:rsidRDefault="00E522C4" w:rsidP="00975B8D">
      <w:pPr>
        <w:pStyle w:val="NoSpacing"/>
      </w:pPr>
      <w:r w:rsidRPr="00613420">
        <w:t>Director</w:t>
      </w:r>
      <w:r w:rsidR="00065800">
        <w:t xml:space="preserve"> – </w:t>
      </w:r>
      <w:r w:rsidRPr="00613420">
        <w:t>Seven West Media Ltd</w:t>
      </w:r>
    </w:p>
    <w:p w14:paraId="4C467C7E" w14:textId="0F6F76B2" w:rsidR="0030400A" w:rsidRPr="00613420" w:rsidRDefault="0030400A" w:rsidP="00975B8D">
      <w:pPr>
        <w:rPr>
          <w:rFonts w:ascii="Calibri" w:hAnsi="Calibri"/>
          <w:b/>
          <w:color w:val="auto"/>
          <w:sz w:val="24"/>
        </w:rPr>
      </w:pPr>
    </w:p>
    <w:p w14:paraId="419CAF17" w14:textId="422938BF" w:rsidR="0030400A" w:rsidRPr="00D6758E" w:rsidRDefault="0030400A" w:rsidP="00975B8D">
      <w:pPr>
        <w:pStyle w:val="Heading3noTOC"/>
      </w:pPr>
      <w:r w:rsidRPr="00D6758E">
        <w:rPr>
          <w:b w:val="0"/>
          <w:noProof/>
          <w:color w:val="auto"/>
          <w:szCs w:val="24"/>
        </w:rPr>
        <w:drawing>
          <wp:anchor distT="0" distB="180340" distL="180340" distR="180340" simplePos="0" relativeHeight="251660299" behindDoc="1" locked="0" layoutInCell="1" allowOverlap="1" wp14:anchorId="66204A1D" wp14:editId="55F8FE38">
            <wp:simplePos x="0" y="0"/>
            <wp:positionH relativeFrom="margin">
              <wp:posOffset>0</wp:posOffset>
            </wp:positionH>
            <wp:positionV relativeFrom="margin">
              <wp:posOffset>3583001</wp:posOffset>
            </wp:positionV>
            <wp:extent cx="1670400" cy="2268000"/>
            <wp:effectExtent l="0" t="0" r="6350" b="0"/>
            <wp:wrapSquare wrapText="bothSides"/>
            <wp:docPr id="25" name="Picture 25" descr="Photo of The Hon Nick Minchin AO" title="Photo The Hon Nick Minchin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Nick Minchin"/>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368" r="1"/>
                    <a:stretch/>
                  </pic:blipFill>
                  <pic:spPr bwMode="auto">
                    <a:xfrm>
                      <a:off x="0" y="0"/>
                      <a:ext cx="1670400" cy="226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758E">
        <w:t>The Hon Nick Minchin AO</w:t>
      </w:r>
    </w:p>
    <w:p w14:paraId="32F5CAF7" w14:textId="77777777" w:rsidR="0030400A" w:rsidRPr="00613420" w:rsidRDefault="0030400A" w:rsidP="00975B8D">
      <w:pPr>
        <w:keepNext/>
        <w:keepLines/>
        <w:spacing w:before="200" w:after="120"/>
        <w:outlineLvl w:val="3"/>
        <w:rPr>
          <w:rFonts w:ascii="Calibri" w:eastAsiaTheme="majorEastAsia" w:hAnsi="Calibri" w:cstheme="majorBidi"/>
          <w:b/>
          <w:bCs/>
          <w:i/>
          <w:iCs/>
          <w:color w:val="auto"/>
        </w:rPr>
      </w:pPr>
      <w:r w:rsidRPr="00613420">
        <w:rPr>
          <w:rFonts w:ascii="Calibri" w:eastAsiaTheme="majorEastAsia" w:hAnsi="Calibri" w:cstheme="majorBidi"/>
          <w:b/>
          <w:bCs/>
          <w:i/>
          <w:iCs/>
          <w:color w:val="auto"/>
        </w:rPr>
        <w:t>Non</w:t>
      </w:r>
      <w:r>
        <w:rPr>
          <w:rFonts w:ascii="Calibri" w:eastAsiaTheme="majorEastAsia" w:hAnsi="Calibri" w:cstheme="majorBidi"/>
          <w:b/>
          <w:bCs/>
          <w:i/>
          <w:iCs/>
          <w:color w:val="auto"/>
        </w:rPr>
        <w:t>–</w:t>
      </w:r>
      <w:r w:rsidRPr="00613420">
        <w:rPr>
          <w:rFonts w:ascii="Calibri" w:eastAsiaTheme="majorEastAsia" w:hAnsi="Calibri" w:cstheme="majorBidi"/>
          <w:b/>
          <w:bCs/>
          <w:i/>
          <w:iCs/>
          <w:color w:val="auto"/>
        </w:rPr>
        <w:t>executive member</w:t>
      </w:r>
    </w:p>
    <w:p w14:paraId="1A7835C2" w14:textId="77777777" w:rsidR="0030400A" w:rsidRPr="004159A3" w:rsidRDefault="0030400A" w:rsidP="00975B8D">
      <w:pPr>
        <w:keepNext/>
        <w:keepLines/>
        <w:spacing w:after="160"/>
        <w:rPr>
          <w:color w:val="auto"/>
        </w:rPr>
      </w:pPr>
      <w:r w:rsidRPr="004159A3">
        <w:rPr>
          <w:color w:val="auto"/>
        </w:rPr>
        <w:t>Member since 17 December 2018</w:t>
      </w:r>
    </w:p>
    <w:p w14:paraId="10B306A8" w14:textId="77777777" w:rsidR="0030400A" w:rsidRPr="004159A3" w:rsidRDefault="0030400A" w:rsidP="00975B8D">
      <w:pPr>
        <w:keepNext/>
        <w:keepLines/>
        <w:spacing w:after="160"/>
        <w:rPr>
          <w:color w:val="auto"/>
        </w:rPr>
      </w:pPr>
      <w:r w:rsidRPr="004159A3">
        <w:rPr>
          <w:color w:val="auto"/>
        </w:rPr>
        <w:t>Mr Minchin brings wide ranging senior leadership credentials, public policy, industry and international experience to the Board.</w:t>
      </w:r>
    </w:p>
    <w:p w14:paraId="3F1310D5" w14:textId="77777777" w:rsidR="0030400A" w:rsidRPr="004159A3" w:rsidRDefault="0030400A" w:rsidP="00975B8D">
      <w:pPr>
        <w:spacing w:after="160"/>
        <w:rPr>
          <w:color w:val="auto"/>
        </w:rPr>
      </w:pPr>
      <w:r w:rsidRPr="004159A3">
        <w:rPr>
          <w:color w:val="auto"/>
        </w:rPr>
        <w:t>Recently, Mr Minchin served as the Australian Consul</w:t>
      </w:r>
      <w:r>
        <w:rPr>
          <w:color w:val="auto"/>
        </w:rPr>
        <w:t>–</w:t>
      </w:r>
      <w:r w:rsidRPr="004159A3">
        <w:rPr>
          <w:color w:val="auto"/>
        </w:rPr>
        <w:t>General in New York.</w:t>
      </w:r>
    </w:p>
    <w:p w14:paraId="59797EE3" w14:textId="77777777" w:rsidR="0030400A" w:rsidRDefault="0030400A" w:rsidP="00975B8D">
      <w:pPr>
        <w:spacing w:after="160"/>
        <w:rPr>
          <w:color w:val="auto"/>
        </w:rPr>
      </w:pPr>
      <w:r w:rsidRPr="004159A3">
        <w:rPr>
          <w:color w:val="auto"/>
        </w:rPr>
        <w:t>Mr Minchin held a number of ministerial positions, including as Minister for Industry, Science and Resources from 1998 until 2001 and Minister for Finance and Administration from 2001 until 2007. While in office, he held the posts of Leader of the Government in the Senate, and Vice President of the Executive Council. Mr Minchin was elected to the Australian Senate for South Australia in July 1993 and served until June 2011.</w:t>
      </w:r>
    </w:p>
    <w:p w14:paraId="2505BD8F" w14:textId="77777777" w:rsidR="0030400A" w:rsidRPr="00C17F09" w:rsidRDefault="0030400A" w:rsidP="00C17F09">
      <w:pPr>
        <w:keepNext/>
        <w:keepLines/>
        <w:spacing w:after="120"/>
        <w:outlineLvl w:val="3"/>
        <w:rPr>
          <w:rFonts w:ascii="Calibri" w:eastAsiaTheme="majorEastAsia" w:hAnsi="Calibri" w:cstheme="majorBidi"/>
          <w:b/>
          <w:bCs/>
          <w:i/>
          <w:iCs/>
          <w:color w:val="auto"/>
        </w:rPr>
      </w:pPr>
      <w:r w:rsidRPr="00C17F09">
        <w:rPr>
          <w:rFonts w:ascii="Calibri" w:eastAsiaTheme="majorEastAsia" w:hAnsi="Calibri" w:cstheme="majorBidi"/>
          <w:b/>
          <w:bCs/>
          <w:i/>
          <w:iCs/>
          <w:color w:val="auto"/>
        </w:rPr>
        <w:t>Other roles</w:t>
      </w:r>
    </w:p>
    <w:p w14:paraId="4B62AAD9" w14:textId="1AC9AC4E" w:rsidR="0030400A" w:rsidRDefault="0030400A" w:rsidP="00975B8D">
      <w:pPr>
        <w:rPr>
          <w:color w:val="auto"/>
        </w:rPr>
      </w:pPr>
      <w:r w:rsidRPr="00613420">
        <w:rPr>
          <w:color w:val="auto"/>
        </w:rPr>
        <w:t>Director</w:t>
      </w:r>
      <w:r>
        <w:rPr>
          <w:color w:val="auto"/>
        </w:rPr>
        <w:t xml:space="preserve"> – Student Educational Travel Organisation Limited</w:t>
      </w:r>
    </w:p>
    <w:p w14:paraId="45E3DAF1" w14:textId="5BBA38CD" w:rsidR="0030400A" w:rsidRDefault="0030400A">
      <w:pPr>
        <w:spacing w:after="0" w:line="240" w:lineRule="auto"/>
        <w:jc w:val="left"/>
        <w:rPr>
          <w:color w:val="auto"/>
        </w:rPr>
      </w:pPr>
      <w:r>
        <w:rPr>
          <w:color w:val="auto"/>
        </w:rPr>
        <w:br w:type="page"/>
      </w:r>
    </w:p>
    <w:p w14:paraId="47ECFD68" w14:textId="25BEAAD0" w:rsidR="0030400A" w:rsidRPr="00613420" w:rsidRDefault="0030400A" w:rsidP="00975B8D">
      <w:pPr>
        <w:pStyle w:val="Heading3noTOC"/>
      </w:pPr>
      <w:r w:rsidRPr="00D6758E">
        <w:rPr>
          <w:b w:val="0"/>
          <w:noProof/>
          <w:color w:val="auto"/>
        </w:rPr>
        <w:lastRenderedPageBreak/>
        <w:drawing>
          <wp:anchor distT="0" distB="180340" distL="180340" distR="180340" simplePos="0" relativeHeight="251662347" behindDoc="1" locked="0" layoutInCell="1" allowOverlap="1" wp14:anchorId="27D61A40" wp14:editId="5BB2D2B2">
            <wp:simplePos x="0" y="0"/>
            <wp:positionH relativeFrom="margin">
              <wp:posOffset>26670</wp:posOffset>
            </wp:positionH>
            <wp:positionV relativeFrom="margin">
              <wp:posOffset>23191</wp:posOffset>
            </wp:positionV>
            <wp:extent cx="1612800" cy="2188800"/>
            <wp:effectExtent l="0" t="0" r="6985" b="2540"/>
            <wp:wrapSquare wrapText="bothSides"/>
            <wp:docPr id="55" name="Picture 55" descr="Photo of Margaret (Meg) McDonald" title="Photo Margaret (Meg) 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 of Margaret (Meg) McDonal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2800" cy="218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3420">
        <w:t xml:space="preserve">Ms </w:t>
      </w:r>
      <w:r w:rsidRPr="00D6758E">
        <w:t>Margaret (Meg) McDonald</w:t>
      </w:r>
    </w:p>
    <w:p w14:paraId="69C25EE9" w14:textId="642620A1" w:rsidR="0030400A" w:rsidRPr="00C17F09" w:rsidRDefault="0030400A" w:rsidP="00C17F09">
      <w:pPr>
        <w:keepNext/>
        <w:keepLines/>
        <w:spacing w:after="120"/>
        <w:outlineLvl w:val="3"/>
        <w:rPr>
          <w:b/>
          <w:bCs/>
          <w:i/>
          <w:iCs/>
          <w:color w:val="auto"/>
        </w:rPr>
      </w:pPr>
      <w:r w:rsidRPr="00C17F09">
        <w:rPr>
          <w:b/>
          <w:bCs/>
          <w:i/>
          <w:iCs/>
          <w:color w:val="auto"/>
        </w:rPr>
        <w:t>Non–executive member</w:t>
      </w:r>
    </w:p>
    <w:p w14:paraId="60C01292" w14:textId="77777777" w:rsidR="0030400A" w:rsidRPr="004159A3" w:rsidRDefault="0030400A" w:rsidP="00975B8D">
      <w:pPr>
        <w:keepNext/>
        <w:keepLines/>
        <w:spacing w:after="160" w:line="240" w:lineRule="auto"/>
        <w:rPr>
          <w:color w:val="auto"/>
        </w:rPr>
      </w:pPr>
      <w:r w:rsidRPr="004159A3">
        <w:rPr>
          <w:color w:val="auto"/>
        </w:rPr>
        <w:t>Member since 26 March 2019</w:t>
      </w:r>
    </w:p>
    <w:p w14:paraId="43954388" w14:textId="77777777" w:rsidR="0030400A" w:rsidRPr="008C0B08" w:rsidRDefault="0030400A" w:rsidP="00975B8D">
      <w:pPr>
        <w:rPr>
          <w:color w:val="auto"/>
        </w:rPr>
      </w:pPr>
      <w:r w:rsidRPr="008C0B08">
        <w:rPr>
          <w:color w:val="auto"/>
        </w:rPr>
        <w:t>Ms McDonald has extensive experience in senior public and private sector roles, in Australia and internationally.</w:t>
      </w:r>
    </w:p>
    <w:p w14:paraId="504C7FBD" w14:textId="370BC333" w:rsidR="0030400A" w:rsidRPr="008C0B08" w:rsidRDefault="0030400A" w:rsidP="00975B8D">
      <w:pPr>
        <w:rPr>
          <w:color w:val="auto"/>
        </w:rPr>
      </w:pPr>
      <w:r w:rsidRPr="008C0B08">
        <w:rPr>
          <w:color w:val="auto"/>
        </w:rPr>
        <w:t>Ms McDonald has previously held a number of executive positions including Chief Operating Officer of the Clean Energy Finance Corporation, CEO of Low Carbon Australia Limited (LCAL) and global positions with resources and metals manufacturer Alcoa. Her previous board roles include with the Australian Renewable Energy Agency and the Cooperative Research Centre for Low Carbon Living</w:t>
      </w:r>
      <w:r>
        <w:rPr>
          <w:color w:val="auto"/>
        </w:rPr>
        <w:t xml:space="preserve">. </w:t>
      </w:r>
      <w:r w:rsidRPr="008C0B08">
        <w:rPr>
          <w:color w:val="auto"/>
        </w:rPr>
        <w:t>Ms</w:t>
      </w:r>
      <w:r w:rsidR="00975B8D">
        <w:rPr>
          <w:color w:val="auto"/>
        </w:rPr>
        <w:t> </w:t>
      </w:r>
      <w:r w:rsidRPr="008C0B08">
        <w:rPr>
          <w:color w:val="auto"/>
        </w:rPr>
        <w:t>McDonald was Deputy Ambassador to the United States in Washington DC between 1998 and 2002 and was Australia</w:t>
      </w:r>
      <w:r>
        <w:rPr>
          <w:color w:val="auto"/>
        </w:rPr>
        <w:t>’</w:t>
      </w:r>
      <w:r w:rsidRPr="008C0B08">
        <w:rPr>
          <w:color w:val="auto"/>
        </w:rPr>
        <w:t>s Ambassador for the Environment between 1996 and 1998.</w:t>
      </w:r>
    </w:p>
    <w:p w14:paraId="21CD4C81" w14:textId="77777777" w:rsidR="0030400A" w:rsidRPr="004159A3" w:rsidRDefault="0030400A" w:rsidP="00975B8D">
      <w:pPr>
        <w:keepNext/>
        <w:keepLines/>
        <w:spacing w:after="160" w:line="240" w:lineRule="auto"/>
        <w:rPr>
          <w:color w:val="auto"/>
        </w:rPr>
      </w:pPr>
      <w:r w:rsidRPr="008C0B08">
        <w:rPr>
          <w:color w:val="auto"/>
        </w:rPr>
        <w:t>Ms McDonald holds an Honours Degree in Applied Science from the University of NSW.</w:t>
      </w:r>
    </w:p>
    <w:p w14:paraId="5BFCB858" w14:textId="77777777" w:rsidR="0030400A" w:rsidRPr="004159A3" w:rsidRDefault="0030400A" w:rsidP="00C17F09">
      <w:pPr>
        <w:keepNext/>
        <w:keepLines/>
        <w:spacing w:after="120"/>
        <w:outlineLvl w:val="3"/>
        <w:rPr>
          <w:b/>
          <w:bCs/>
          <w:i/>
          <w:iCs/>
          <w:color w:val="auto"/>
        </w:rPr>
      </w:pPr>
      <w:r w:rsidRPr="004159A3">
        <w:rPr>
          <w:b/>
          <w:bCs/>
          <w:i/>
          <w:iCs/>
          <w:color w:val="auto"/>
        </w:rPr>
        <w:t>Other roles</w:t>
      </w:r>
    </w:p>
    <w:p w14:paraId="0938ECC0" w14:textId="77777777" w:rsidR="0030400A" w:rsidRPr="004159A3" w:rsidRDefault="0030400A" w:rsidP="00975B8D">
      <w:pPr>
        <w:pStyle w:val="NoSpacing"/>
      </w:pPr>
      <w:r>
        <w:t>Commissioner</w:t>
      </w:r>
      <w:r w:rsidRPr="004159A3">
        <w:t xml:space="preserve"> – </w:t>
      </w:r>
      <w:r>
        <w:t>Greater Sydney Commission</w:t>
      </w:r>
    </w:p>
    <w:p w14:paraId="67DF40FD" w14:textId="77777777" w:rsidR="0030400A" w:rsidRDefault="0030400A" w:rsidP="00975B8D">
      <w:pPr>
        <w:pStyle w:val="NoSpacing"/>
      </w:pPr>
      <w:r w:rsidRPr="004159A3">
        <w:t>Trustee</w:t>
      </w:r>
      <w:r>
        <w:t xml:space="preserve"> – </w:t>
      </w:r>
      <w:r w:rsidRPr="004159A3">
        <w:t>The Nature Conservancy</w:t>
      </w:r>
    </w:p>
    <w:p w14:paraId="1221FC13" w14:textId="2E76CADF" w:rsidR="0030400A" w:rsidRDefault="0030400A" w:rsidP="0030400A"/>
    <w:p w14:paraId="27DCD3E0" w14:textId="6399C815" w:rsidR="0030400A" w:rsidRPr="00613420" w:rsidRDefault="00975B8D" w:rsidP="00975B8D">
      <w:pPr>
        <w:pStyle w:val="Heading3noTOC"/>
      </w:pPr>
      <w:bookmarkStart w:id="27" w:name="_Hlk86999755"/>
      <w:r w:rsidRPr="00613420">
        <w:rPr>
          <w:noProof/>
        </w:rPr>
        <w:drawing>
          <wp:anchor distT="0" distB="180340" distL="180340" distR="180340" simplePos="0" relativeHeight="251664395" behindDoc="1" locked="0" layoutInCell="1" allowOverlap="1" wp14:anchorId="184A8C58" wp14:editId="3B3E0CF2">
            <wp:simplePos x="0" y="0"/>
            <wp:positionH relativeFrom="margin">
              <wp:posOffset>18415</wp:posOffset>
            </wp:positionH>
            <wp:positionV relativeFrom="margin">
              <wp:posOffset>4122116</wp:posOffset>
            </wp:positionV>
            <wp:extent cx="1695450" cy="2300605"/>
            <wp:effectExtent l="0" t="0" r="0" b="4445"/>
            <wp:wrapSquare wrapText="bothSides"/>
            <wp:docPr id="27" name="Picture 27" descr="Mr Steven Sk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Steven Skala"/>
                    <pic:cNvPicPr>
                      <a:picLocks noChangeAspect="1" noChangeArrowheads="1"/>
                    </pic:cNvPicPr>
                  </pic:nvPicPr>
                  <pic:blipFill rotWithShape="1">
                    <a:blip r:embed="rId44">
                      <a:extLst>
                        <a:ext uri="{28A0092B-C50C-407E-A947-70E740481C1C}">
                          <a14:useLocalDpi xmlns:a14="http://schemas.microsoft.com/office/drawing/2010/main" val="0"/>
                        </a:ext>
                      </a:extLst>
                    </a:blip>
                    <a:srcRect l="2405" r="5496"/>
                    <a:stretch/>
                  </pic:blipFill>
                  <pic:spPr bwMode="auto">
                    <a:xfrm>
                      <a:off x="0" y="0"/>
                      <a:ext cx="1695450" cy="2300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400A" w:rsidRPr="00613420">
        <w:t>Mr Steven Skala AO</w:t>
      </w:r>
    </w:p>
    <w:p w14:paraId="5DB90A1F" w14:textId="32E057EC" w:rsidR="0030400A" w:rsidRPr="00613420" w:rsidRDefault="0030400A" w:rsidP="00975B8D">
      <w:pPr>
        <w:keepNext/>
        <w:keepLines/>
        <w:spacing w:before="200" w:after="120"/>
        <w:outlineLvl w:val="3"/>
        <w:rPr>
          <w:rFonts w:ascii="Calibri" w:eastAsiaTheme="majorEastAsia" w:hAnsi="Calibri" w:cstheme="majorBidi"/>
          <w:b/>
          <w:bCs/>
          <w:i/>
          <w:iCs/>
          <w:color w:val="auto"/>
        </w:rPr>
      </w:pPr>
      <w:r w:rsidRPr="00613420">
        <w:rPr>
          <w:rFonts w:ascii="Calibri" w:eastAsiaTheme="majorEastAsia" w:hAnsi="Calibri" w:cstheme="majorBidi"/>
          <w:b/>
          <w:bCs/>
          <w:i/>
          <w:iCs/>
          <w:color w:val="auto"/>
        </w:rPr>
        <w:t>Non</w:t>
      </w:r>
      <w:r>
        <w:rPr>
          <w:rFonts w:ascii="Calibri" w:eastAsiaTheme="majorEastAsia" w:hAnsi="Calibri" w:cstheme="majorBidi"/>
          <w:b/>
          <w:bCs/>
          <w:i/>
          <w:iCs/>
          <w:color w:val="auto"/>
        </w:rPr>
        <w:t>–</w:t>
      </w:r>
      <w:r w:rsidRPr="00613420">
        <w:rPr>
          <w:rFonts w:ascii="Calibri" w:eastAsiaTheme="majorEastAsia" w:hAnsi="Calibri" w:cstheme="majorBidi"/>
          <w:b/>
          <w:bCs/>
          <w:i/>
          <w:iCs/>
          <w:color w:val="auto"/>
        </w:rPr>
        <w:t>executive member</w:t>
      </w:r>
    </w:p>
    <w:p w14:paraId="1EC6279F" w14:textId="77777777" w:rsidR="0030400A" w:rsidRPr="004159A3" w:rsidRDefault="0030400A" w:rsidP="00975B8D">
      <w:pPr>
        <w:keepNext/>
        <w:keepLines/>
        <w:spacing w:after="160"/>
        <w:rPr>
          <w:color w:val="auto"/>
        </w:rPr>
      </w:pPr>
      <w:r w:rsidRPr="004159A3">
        <w:rPr>
          <w:color w:val="auto"/>
        </w:rPr>
        <w:t>Member since 18 September 2020</w:t>
      </w:r>
    </w:p>
    <w:p w14:paraId="32EAC8DE" w14:textId="77777777" w:rsidR="0030400A" w:rsidRPr="00D6758E" w:rsidRDefault="0030400A" w:rsidP="00975B8D">
      <w:r w:rsidRPr="00D6758E">
        <w:t>Mr Skala has a distinguished career of service including on the boards of public and private companies, and government</w:t>
      </w:r>
      <w:r>
        <w:t>–</w:t>
      </w:r>
      <w:r w:rsidRPr="00D6758E">
        <w:t>related and not</w:t>
      </w:r>
      <w:r>
        <w:t>–</w:t>
      </w:r>
      <w:r w:rsidRPr="00D6758E">
        <w:t>for</w:t>
      </w:r>
      <w:r>
        <w:t>–</w:t>
      </w:r>
      <w:r w:rsidRPr="00D6758E">
        <w:t>profit organi</w:t>
      </w:r>
      <w:r>
        <w:t>s</w:t>
      </w:r>
      <w:r w:rsidRPr="00D6758E">
        <w:t>ations. He has 40 years</w:t>
      </w:r>
      <w:r>
        <w:t>’</w:t>
      </w:r>
      <w:r w:rsidRPr="00D6758E">
        <w:t xml:space="preserve"> experience in law, business and banking.</w:t>
      </w:r>
    </w:p>
    <w:p w14:paraId="7428B8C6" w14:textId="77777777" w:rsidR="0030400A" w:rsidRPr="00D6758E" w:rsidRDefault="0030400A" w:rsidP="00975B8D">
      <w:r w:rsidRPr="00D6758E">
        <w:t>The holder of BA and LL.B (Hons) degrees from University of Queensland and a BCL from the University of Oxford, Mr Skala was appointed an Officer of the Order of Australia on 26 January 2010 for services to the arts, education, business and commerce.</w:t>
      </w:r>
    </w:p>
    <w:p w14:paraId="594572BF" w14:textId="653B8B2F" w:rsidR="0030400A" w:rsidRPr="00E70819" w:rsidRDefault="0030400A" w:rsidP="00975B8D">
      <w:r w:rsidRPr="00E70819">
        <w:t xml:space="preserve">Mr Skala has been Vice Chairman, Australia of Deutsche Bank AG since 2004, is Chairman of </w:t>
      </w:r>
      <w:r>
        <w:t xml:space="preserve">the </w:t>
      </w:r>
      <w:r w:rsidRPr="00E70819">
        <w:t>Clean Energy Finance Corporation and is an ex officio member of the Commonwealth</w:t>
      </w:r>
      <w:r>
        <w:t>’</w:t>
      </w:r>
      <w:r w:rsidRPr="00E70819">
        <w:t xml:space="preserve">s recently established Technology Investment Advisory Council. He is a former Chairman of Wilson Group Limited, </w:t>
      </w:r>
      <w:proofErr w:type="spellStart"/>
      <w:r w:rsidRPr="00E70819">
        <w:t>Hexima</w:t>
      </w:r>
      <w:proofErr w:type="spellEnd"/>
      <w:r w:rsidRPr="00E70819">
        <w:t xml:space="preserve"> Limited (of which he is currently an alternate Director) and The Island Food Company Limited, is a former Director of the Channel TEN Group of companies and Max Capital </w:t>
      </w:r>
      <w:r w:rsidRPr="00E70819">
        <w:lastRenderedPageBreak/>
        <w:t xml:space="preserve">Group Limited, and was a Founding Member of Adara Partners. Between 1982 and 2004, he was a Partner of Australian law firms, Morris Fletcher &amp; Cross (now Minter Ellison) and Arnold Bloch </w:t>
      </w:r>
      <w:proofErr w:type="spellStart"/>
      <w:r w:rsidRPr="00E70819">
        <w:t>Leibler</w:t>
      </w:r>
      <w:proofErr w:type="spellEnd"/>
      <w:r w:rsidRPr="00E70819">
        <w:t xml:space="preserve"> and was previously Chairman of Film Australia Limited and the Australian Centre for Contemporary Art, Vice President (Deputy Chairman) of The Walter &amp; Eliza Hall Institute of Medical Research, a Director of the Australian Broadcasting Corporation and a Director of the Australian Ballet.</w:t>
      </w:r>
    </w:p>
    <w:p w14:paraId="0F874ECF" w14:textId="5B3D6E59" w:rsidR="0030400A" w:rsidRPr="00C17F09" w:rsidRDefault="0030400A" w:rsidP="00C17F09">
      <w:pPr>
        <w:keepNext/>
        <w:keepLines/>
        <w:spacing w:after="120"/>
        <w:outlineLvl w:val="3"/>
        <w:rPr>
          <w:b/>
          <w:bCs/>
          <w:i/>
          <w:iCs/>
          <w:color w:val="auto"/>
        </w:rPr>
      </w:pPr>
      <w:r w:rsidRPr="00C17F09">
        <w:rPr>
          <w:b/>
          <w:bCs/>
          <w:i/>
          <w:iCs/>
          <w:color w:val="auto"/>
        </w:rPr>
        <w:t>Other roles</w:t>
      </w:r>
    </w:p>
    <w:p w14:paraId="54E71B1D" w14:textId="77777777" w:rsidR="0030400A" w:rsidRPr="00E70819" w:rsidRDefault="0030400A" w:rsidP="00975B8D">
      <w:pPr>
        <w:pStyle w:val="NoSpacing"/>
      </w:pPr>
      <w:r w:rsidRPr="00E70819">
        <w:t xml:space="preserve">Chairman </w:t>
      </w:r>
      <w:r>
        <w:t>–</w:t>
      </w:r>
      <w:r w:rsidRPr="00E70819">
        <w:t xml:space="preserve"> Heide Museum of Modern Art </w:t>
      </w:r>
    </w:p>
    <w:p w14:paraId="4107FF0D" w14:textId="56309593" w:rsidR="0030400A" w:rsidRPr="00E70819" w:rsidRDefault="0030400A" w:rsidP="00975B8D">
      <w:pPr>
        <w:pStyle w:val="NoSpacing"/>
      </w:pPr>
      <w:r w:rsidRPr="00E70819">
        <w:t xml:space="preserve">Deputy Chairman </w:t>
      </w:r>
      <w:r>
        <w:t>–</w:t>
      </w:r>
      <w:r w:rsidRPr="00E70819">
        <w:t xml:space="preserve"> General Sir John Monash Foundation </w:t>
      </w:r>
    </w:p>
    <w:p w14:paraId="6AD0758E" w14:textId="29A9A6F5" w:rsidR="0030400A" w:rsidRPr="00E70819" w:rsidRDefault="0030400A" w:rsidP="00975B8D">
      <w:pPr>
        <w:pStyle w:val="NoSpacing"/>
      </w:pPr>
      <w:r w:rsidRPr="00E70819">
        <w:t xml:space="preserve">Director </w:t>
      </w:r>
      <w:r>
        <w:t>–</w:t>
      </w:r>
      <w:r w:rsidRPr="00E70819">
        <w:t xml:space="preserve"> Centre for Independent Studies </w:t>
      </w:r>
    </w:p>
    <w:p w14:paraId="5A3AAEA3" w14:textId="6CC3E3F1" w:rsidR="0030400A" w:rsidRDefault="0030400A" w:rsidP="00975B8D">
      <w:pPr>
        <w:pStyle w:val="NoSpacing"/>
      </w:pPr>
      <w:r w:rsidRPr="00E70819">
        <w:t xml:space="preserve">Member </w:t>
      </w:r>
      <w:r>
        <w:t>–</w:t>
      </w:r>
      <w:r w:rsidRPr="00E70819">
        <w:t xml:space="preserve"> International Council of the Museum of Modern Art (MoMA) in New York. </w:t>
      </w:r>
    </w:p>
    <w:p w14:paraId="3F2D5F6A" w14:textId="75F4B541" w:rsidR="00975B8D" w:rsidRPr="00975B8D" w:rsidRDefault="00975B8D" w:rsidP="00975B8D"/>
    <w:p w14:paraId="2297EE5A" w14:textId="47DA6CE8" w:rsidR="00975B8D" w:rsidRPr="00613420" w:rsidRDefault="00975B8D" w:rsidP="00975B8D">
      <w:pPr>
        <w:pStyle w:val="Heading3noTOC"/>
      </w:pPr>
      <w:r w:rsidRPr="00D6758E">
        <w:rPr>
          <w:rFonts w:eastAsiaTheme="majorEastAsia" w:cstheme="majorBidi"/>
          <w:i/>
          <w:iCs/>
          <w:noProof/>
        </w:rPr>
        <w:drawing>
          <wp:anchor distT="0" distB="0" distL="180340" distR="180340" simplePos="0" relativeHeight="251666443" behindDoc="1" locked="0" layoutInCell="1" allowOverlap="1" wp14:anchorId="55511C19" wp14:editId="4977E608">
            <wp:simplePos x="0" y="0"/>
            <wp:positionH relativeFrom="margin">
              <wp:posOffset>19050</wp:posOffset>
            </wp:positionH>
            <wp:positionV relativeFrom="margin">
              <wp:posOffset>2366909</wp:posOffset>
            </wp:positionV>
            <wp:extent cx="1638300" cy="2221865"/>
            <wp:effectExtent l="0" t="0" r="0" b="6985"/>
            <wp:wrapSquare wrapText="bothSides"/>
            <wp:docPr id="29" name="Picture 29" descr="Photo of Mr Tom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Mr Tom Hamilton"/>
                    <pic:cNvPicPr>
                      <a:picLocks noChangeAspect="1" noChangeArrowheads="1"/>
                    </pic:cNvPicPr>
                  </pic:nvPicPr>
                  <pic:blipFill rotWithShape="1">
                    <a:blip r:embed="rId45">
                      <a:extLst>
                        <a:ext uri="{28A0092B-C50C-407E-A947-70E740481C1C}">
                          <a14:useLocalDpi xmlns:a14="http://schemas.microsoft.com/office/drawing/2010/main" val="0"/>
                        </a:ext>
                      </a:extLst>
                    </a:blip>
                    <a:srcRect r="6317"/>
                    <a:stretch/>
                  </pic:blipFill>
                  <pic:spPr bwMode="auto">
                    <a:xfrm>
                      <a:off x="0" y="0"/>
                      <a:ext cx="1638300" cy="2221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3420">
        <w:t>Mr Tom Hamilton</w:t>
      </w:r>
    </w:p>
    <w:p w14:paraId="399FACB1" w14:textId="02C70DCE" w:rsidR="00975B8D" w:rsidRPr="00C17F09" w:rsidRDefault="00975B8D" w:rsidP="00C17F09">
      <w:pPr>
        <w:keepNext/>
        <w:keepLines/>
        <w:spacing w:after="120"/>
        <w:outlineLvl w:val="3"/>
        <w:rPr>
          <w:b/>
          <w:bCs/>
          <w:i/>
          <w:iCs/>
          <w:color w:val="auto"/>
        </w:rPr>
      </w:pPr>
      <w:r w:rsidRPr="00C17F09">
        <w:rPr>
          <w:b/>
          <w:bCs/>
          <w:i/>
          <w:iCs/>
          <w:color w:val="auto"/>
        </w:rPr>
        <w:t>Executive member</w:t>
      </w:r>
    </w:p>
    <w:p w14:paraId="3DB0CC68" w14:textId="20A488F2" w:rsidR="00975B8D" w:rsidRPr="00D6758E" w:rsidRDefault="00975B8D" w:rsidP="00975B8D">
      <w:pPr>
        <w:spacing w:after="160"/>
        <w:rPr>
          <w:color w:val="auto"/>
        </w:rPr>
      </w:pPr>
      <w:r w:rsidRPr="00D6758E">
        <w:rPr>
          <w:color w:val="auto"/>
        </w:rPr>
        <w:t>Member since 19 October 2020</w:t>
      </w:r>
    </w:p>
    <w:p w14:paraId="4F9C9438" w14:textId="5C021EE5" w:rsidR="00E522C4" w:rsidRPr="00613420" w:rsidRDefault="00975B8D" w:rsidP="00975B8D">
      <w:pPr>
        <w:pStyle w:val="NoSpacing"/>
        <w:rPr>
          <w:color w:val="auto"/>
        </w:rPr>
      </w:pPr>
      <w:r w:rsidRPr="00D6758E">
        <w:rPr>
          <w:color w:val="auto"/>
        </w:rPr>
        <w:t xml:space="preserve">The position of executive member is held by the First Assistant Secretary of </w:t>
      </w:r>
      <w:r>
        <w:rPr>
          <w:color w:val="auto"/>
        </w:rPr>
        <w:t xml:space="preserve">the </w:t>
      </w:r>
      <w:r w:rsidRPr="00D6758E">
        <w:rPr>
          <w:color w:val="auto"/>
        </w:rPr>
        <w:t>Treasury</w:t>
      </w:r>
      <w:r>
        <w:rPr>
          <w:color w:val="auto"/>
        </w:rPr>
        <w:t>’</w:t>
      </w:r>
      <w:r w:rsidRPr="00D6758E">
        <w:rPr>
          <w:color w:val="auto"/>
        </w:rPr>
        <w:t>s Foreign Investment Division. The executive member provides the link between the Board and the Treasury, which provides support to the Board.</w:t>
      </w:r>
      <w:bookmarkEnd w:id="27"/>
    </w:p>
    <w:p w14:paraId="4C32865C" w14:textId="77777777" w:rsidR="00E522C4" w:rsidRPr="001946A7" w:rsidRDefault="00E522C4" w:rsidP="00E522C4">
      <w:pPr>
        <w:pStyle w:val="Heading2"/>
        <w:spacing w:after="200"/>
      </w:pPr>
      <w:r w:rsidRPr="0072749D">
        <w:br w:type="page"/>
      </w:r>
      <w:bookmarkStart w:id="28" w:name="_Toc75244051"/>
      <w:bookmarkStart w:id="29" w:name="_Toc79999654"/>
      <w:bookmarkStart w:id="30" w:name="_Toc89872877"/>
      <w:bookmarkStart w:id="31" w:name="_Toc89872924"/>
      <w:r w:rsidRPr="001946A7">
        <w:lastRenderedPageBreak/>
        <w:t>Public speeches</w:t>
      </w:r>
      <w:bookmarkEnd w:id="28"/>
      <w:bookmarkEnd w:id="29"/>
      <w:bookmarkEnd w:id="30"/>
      <w:bookmarkEnd w:id="31"/>
    </w:p>
    <w:p w14:paraId="49596258" w14:textId="57CCBF46" w:rsidR="00E522C4" w:rsidRPr="001946A7" w:rsidRDefault="00E522C4" w:rsidP="00E522C4">
      <w:pPr>
        <w:spacing w:after="200"/>
        <w:rPr>
          <w:color w:val="auto"/>
        </w:rPr>
      </w:pPr>
      <w:r w:rsidRPr="001946A7">
        <w:rPr>
          <w:color w:val="auto"/>
        </w:rPr>
        <w:t xml:space="preserve">In </w:t>
      </w:r>
      <w:r w:rsidR="00D76ED2">
        <w:rPr>
          <w:color w:val="auto"/>
        </w:rPr>
        <w:t>2020</w:t>
      </w:r>
      <w:r w:rsidR="00D76ED2">
        <w:rPr>
          <w:color w:val="auto"/>
        </w:rPr>
        <w:noBreakHyphen/>
        <w:t>21</w:t>
      </w:r>
      <w:r w:rsidRPr="001946A7">
        <w:rPr>
          <w:color w:val="auto"/>
        </w:rPr>
        <w:t>, Mr</w:t>
      </w:r>
      <w:r w:rsidR="00C20BDA">
        <w:rPr>
          <w:color w:val="auto"/>
        </w:rPr>
        <w:t> </w:t>
      </w:r>
      <w:r w:rsidRPr="001946A7">
        <w:rPr>
          <w:color w:val="auto"/>
        </w:rPr>
        <w:t>Irvine, the Chair of the Board</w:t>
      </w:r>
      <w:r w:rsidR="00830754" w:rsidRPr="00BB3189">
        <w:rPr>
          <w:color w:val="auto"/>
        </w:rPr>
        <w:t>,</w:t>
      </w:r>
      <w:r w:rsidRPr="001946A7">
        <w:rPr>
          <w:color w:val="auto"/>
        </w:rPr>
        <w:t xml:space="preserve"> delivered addresses at a number of engagements including the </w:t>
      </w:r>
      <w:proofErr w:type="spellStart"/>
      <w:r w:rsidRPr="001946A7">
        <w:rPr>
          <w:color w:val="auto"/>
        </w:rPr>
        <w:t>Mergermarket</w:t>
      </w:r>
      <w:proofErr w:type="spellEnd"/>
      <w:r w:rsidRPr="001946A7">
        <w:rPr>
          <w:color w:val="auto"/>
        </w:rPr>
        <w:t xml:space="preserve"> Australia M&amp;A Forum 2020, the National Foundation for Australia</w:t>
      </w:r>
      <w:r w:rsidR="003F0677">
        <w:rPr>
          <w:color w:val="auto"/>
        </w:rPr>
        <w:noBreakHyphen/>
      </w:r>
      <w:r w:rsidRPr="001946A7">
        <w:rPr>
          <w:color w:val="auto"/>
        </w:rPr>
        <w:t>China Relations and the Australian National University</w:t>
      </w:r>
      <w:r w:rsidR="00065800">
        <w:rPr>
          <w:color w:val="auto"/>
        </w:rPr>
        <w:t>’</w:t>
      </w:r>
      <w:r w:rsidRPr="001946A7">
        <w:rPr>
          <w:color w:val="auto"/>
        </w:rPr>
        <w:t>s National Security College. Mr</w:t>
      </w:r>
      <w:r w:rsidR="00C20BDA">
        <w:rPr>
          <w:color w:val="auto"/>
        </w:rPr>
        <w:t> </w:t>
      </w:r>
      <w:r w:rsidRPr="001946A7">
        <w:rPr>
          <w:color w:val="auto"/>
        </w:rPr>
        <w:t xml:space="preserve">Irvine and other Board members also participated in a range of meetings and outreach activities with investors, their representatives, and representatives </w:t>
      </w:r>
      <w:r w:rsidR="00A439CA" w:rsidRPr="001946A7">
        <w:rPr>
          <w:color w:val="auto"/>
        </w:rPr>
        <w:t>from</w:t>
      </w:r>
      <w:r w:rsidRPr="001946A7">
        <w:rPr>
          <w:color w:val="auto"/>
        </w:rPr>
        <w:t xml:space="preserve"> a range of sectors. These forums encouraged two</w:t>
      </w:r>
      <w:r w:rsidR="003E7C79">
        <w:rPr>
          <w:color w:val="auto"/>
        </w:rPr>
        <w:t>–</w:t>
      </w:r>
      <w:r w:rsidRPr="001946A7">
        <w:rPr>
          <w:color w:val="auto"/>
        </w:rPr>
        <w:t>way dialogue</w:t>
      </w:r>
      <w:r w:rsidR="00344A91">
        <w:rPr>
          <w:color w:val="auto"/>
        </w:rPr>
        <w:t>,</w:t>
      </w:r>
      <w:r w:rsidRPr="001946A7">
        <w:rPr>
          <w:color w:val="auto"/>
        </w:rPr>
        <w:t xml:space="preserve"> provided investors with information on </w:t>
      </w:r>
      <w:r w:rsidR="00EC422A">
        <w:t>the framework</w:t>
      </w:r>
      <w:r w:rsidRPr="00CE2FB6">
        <w:t xml:space="preserve"> </w:t>
      </w:r>
      <w:r w:rsidRPr="001946A7">
        <w:rPr>
          <w:color w:val="auto"/>
        </w:rPr>
        <w:t>and allowed the Board to gain market intelligence and insights which informed its advice to the Government.</w:t>
      </w:r>
    </w:p>
    <w:p w14:paraId="1A989824" w14:textId="77777777" w:rsidR="00E522C4" w:rsidRPr="00972CF5" w:rsidRDefault="00E522C4" w:rsidP="003F0677">
      <w:pPr>
        <w:pStyle w:val="Heading2noTOC"/>
      </w:pPr>
      <w:bookmarkStart w:id="32" w:name="_Toc89851696"/>
      <w:bookmarkStart w:id="33" w:name="_Hlk83729534"/>
      <w:r w:rsidRPr="00972CF5">
        <w:t>The Treasury</w:t>
      </w:r>
      <w:bookmarkEnd w:id="32"/>
    </w:p>
    <w:p w14:paraId="6B116B87" w14:textId="2092AC96" w:rsidR="00E522C4" w:rsidRDefault="00E522C4" w:rsidP="00E522C4">
      <w:pPr>
        <w:spacing w:after="200"/>
      </w:pPr>
      <w:r w:rsidRPr="00D379EE">
        <w:t>The Foreign Investment Division in</w:t>
      </w:r>
      <w:r>
        <w:t xml:space="preserve"> the</w:t>
      </w:r>
      <w:r w:rsidRPr="00D379EE">
        <w:t xml:space="preserve"> Treasury is responsible for advising Government on all aspects of foreign investment policy</w:t>
      </w:r>
      <w:r>
        <w:t xml:space="preserve"> as well as regulating foreign investment in Australia</w:t>
      </w:r>
      <w:r w:rsidRPr="00D379EE">
        <w:t>. It is responsible for the day</w:t>
      </w:r>
      <w:r w:rsidR="003E7C79">
        <w:t>–</w:t>
      </w:r>
      <w:r w:rsidRPr="00D379EE">
        <w:t>to</w:t>
      </w:r>
      <w:r w:rsidR="003E7C79">
        <w:t>–</w:t>
      </w:r>
      <w:r w:rsidRPr="00D379EE">
        <w:t xml:space="preserve">day administration of the framework in relation to business, agriculture and sensitive or complex commercial real estate </w:t>
      </w:r>
      <w:r w:rsidR="0026096C">
        <w:t>proposals</w:t>
      </w:r>
      <w:r w:rsidRPr="00D379EE">
        <w:t>.</w:t>
      </w:r>
      <w:r w:rsidR="001D48F1" w:rsidRPr="001D48F1">
        <w:t xml:space="preserve"> </w:t>
      </w:r>
      <w:r w:rsidR="001D48F1">
        <w:t xml:space="preserve">The </w:t>
      </w:r>
      <w:r w:rsidR="001D48F1" w:rsidRPr="004C6903">
        <w:t xml:space="preserve">Treasury is </w:t>
      </w:r>
      <w:r w:rsidR="001D48F1">
        <w:t xml:space="preserve">also </w:t>
      </w:r>
      <w:r w:rsidR="001D48F1" w:rsidRPr="004C6903">
        <w:t>responsible for compliance and enforcement activities for proposals within its areas of screening responsibility, including business, agricultural and some commercial land foreign investment proposals.</w:t>
      </w:r>
      <w:r w:rsidR="00EB138F">
        <w:t xml:space="preserve"> </w:t>
      </w:r>
      <w:r w:rsidR="0026096C">
        <w:t xml:space="preserve">The </w:t>
      </w:r>
      <w:r w:rsidR="00EB138F">
        <w:t xml:space="preserve">Treasury also provides secretariat </w:t>
      </w:r>
      <w:r w:rsidR="001A08D4">
        <w:t xml:space="preserve">services in </w:t>
      </w:r>
      <w:r w:rsidR="00EB138F">
        <w:t>support</w:t>
      </w:r>
      <w:r w:rsidR="001A08D4">
        <w:t xml:space="preserve"> of</w:t>
      </w:r>
      <w:r w:rsidR="00EB138F">
        <w:t xml:space="preserve"> the Board.</w:t>
      </w:r>
    </w:p>
    <w:p w14:paraId="1656FAB4" w14:textId="77777777" w:rsidR="00E522C4" w:rsidRPr="00A8115B" w:rsidRDefault="00E522C4" w:rsidP="003F0677">
      <w:pPr>
        <w:pStyle w:val="Heading2noTOC"/>
      </w:pPr>
      <w:bookmarkStart w:id="34" w:name="_Toc89851697"/>
      <w:r w:rsidRPr="00A8115B">
        <w:t>Australian Taxation Office</w:t>
      </w:r>
      <w:bookmarkEnd w:id="34"/>
    </w:p>
    <w:p w14:paraId="21DC8B28" w14:textId="650DA43D" w:rsidR="00E522C4" w:rsidRPr="00655FE7" w:rsidRDefault="00E522C4" w:rsidP="00E522C4">
      <w:pPr>
        <w:spacing w:after="200"/>
      </w:pPr>
      <w:r w:rsidRPr="00655FE7">
        <w:t xml:space="preserve">The ATO has administrative responsibility for foreign investment </w:t>
      </w:r>
      <w:r w:rsidR="0026096C">
        <w:t>proposals</w:t>
      </w:r>
      <w:r w:rsidRPr="00655FE7">
        <w:t xml:space="preserve"> relating to residential real estate, non</w:t>
      </w:r>
      <w:r w:rsidR="003E7C79">
        <w:t>–</w:t>
      </w:r>
      <w:r w:rsidRPr="00655FE7">
        <w:t>sensitive commercial real estate and corporate reorganisations. The ATO also has responsibility for collecting all foreign investment application and vacancy fees, and for developing and administering the registers of foreign ownership of agricultural land, water entitlements and residential land.</w:t>
      </w:r>
      <w:r w:rsidR="00655FE7" w:rsidRPr="00655FE7">
        <w:t xml:space="preserve"> The ATO is also responsible for compliance and enforcement activities for proposals within its screening responsibility, including residential real estate and some commercial land proposals.</w:t>
      </w:r>
    </w:p>
    <w:p w14:paraId="24D3471D" w14:textId="77777777" w:rsidR="00E522C4" w:rsidRPr="001946A7" w:rsidRDefault="00E522C4" w:rsidP="00E522C4">
      <w:pPr>
        <w:pStyle w:val="Heading2"/>
        <w:spacing w:after="200"/>
      </w:pPr>
      <w:bookmarkStart w:id="35" w:name="_Toc31296897"/>
      <w:bookmarkStart w:id="36" w:name="_Toc31636015"/>
      <w:bookmarkStart w:id="37" w:name="_Toc31642784"/>
      <w:bookmarkStart w:id="38" w:name="_Toc32247793"/>
      <w:bookmarkStart w:id="39" w:name="_Toc63782924"/>
      <w:bookmarkStart w:id="40" w:name="_Toc75244053"/>
      <w:bookmarkStart w:id="41" w:name="_Toc79999656"/>
      <w:bookmarkStart w:id="42" w:name="_Toc89872878"/>
      <w:bookmarkStart w:id="43" w:name="_Toc89872925"/>
      <w:bookmarkEnd w:id="33"/>
      <w:r w:rsidRPr="001946A7">
        <w:t>Stakeholder engagement</w:t>
      </w:r>
      <w:bookmarkEnd w:id="35"/>
      <w:bookmarkEnd w:id="36"/>
      <w:bookmarkEnd w:id="37"/>
      <w:bookmarkEnd w:id="38"/>
      <w:bookmarkEnd w:id="39"/>
      <w:bookmarkEnd w:id="40"/>
      <w:bookmarkEnd w:id="41"/>
      <w:bookmarkEnd w:id="42"/>
      <w:bookmarkEnd w:id="43"/>
    </w:p>
    <w:p w14:paraId="585BE53F" w14:textId="068814FB" w:rsidR="00E522C4" w:rsidRPr="00767B56" w:rsidRDefault="00E522C4" w:rsidP="003F0677">
      <w:r w:rsidRPr="00767B56">
        <w:t xml:space="preserve">The Board, the Treasury and the ATO closely engaged with stakeholders following the introduction of the temporary zero </w:t>
      </w:r>
      <w:r w:rsidR="00642FB6" w:rsidRPr="00767B56">
        <w:t>dollar thresholds</w:t>
      </w:r>
      <w:r w:rsidRPr="00767B56" w:rsidDel="00F65967">
        <w:t xml:space="preserve"> </w:t>
      </w:r>
      <w:r w:rsidRPr="00767B56">
        <w:t xml:space="preserve">on 29 March 2020 and the announcement of major reforms to the Act and associated </w:t>
      </w:r>
      <w:r w:rsidR="0026096C">
        <w:t>r</w:t>
      </w:r>
      <w:r w:rsidRPr="00767B56">
        <w:t xml:space="preserve">egulations on 5 June 2020, to convey the changes and receive feedback. This engagement continued into </w:t>
      </w:r>
      <w:r w:rsidR="00D76ED2">
        <w:t>2020</w:t>
      </w:r>
      <w:r w:rsidR="00D76ED2">
        <w:noBreakHyphen/>
        <w:t>21</w:t>
      </w:r>
      <w:r w:rsidRPr="00767B56">
        <w:t>.</w:t>
      </w:r>
    </w:p>
    <w:p w14:paraId="58768730" w14:textId="137C1A42" w:rsidR="00E522C4" w:rsidRPr="00767B56" w:rsidRDefault="00E522C4" w:rsidP="003F0677">
      <w:r w:rsidRPr="00767B56">
        <w:t>The Treasury consulted extensively throughout two major consultation periods on the reforms to the framework, engaging over 2,000 stakeholders. This included investors and their legal advisers, foreign governments, institutional investors, business councils and peak bodies, relevant government agencies and the broader community.</w:t>
      </w:r>
    </w:p>
    <w:p w14:paraId="562D2C74" w14:textId="10F008BB" w:rsidR="00E522C4" w:rsidRDefault="00E522C4" w:rsidP="003F0677">
      <w:bookmarkStart w:id="44" w:name="_Hlk88153492"/>
      <w:r w:rsidRPr="00767B56">
        <w:t>To facilitate a smooth transition to the reformed legislation, from November 2020 into early</w:t>
      </w:r>
      <w:r w:rsidR="008D5496">
        <w:t> </w:t>
      </w:r>
      <w:r w:rsidRPr="00767B56">
        <w:t xml:space="preserve">2021, the Board and the Treasury increased and revised their communication with investors. </w:t>
      </w:r>
      <w:r w:rsidR="0026096C">
        <w:t>E</w:t>
      </w:r>
      <w:r w:rsidRPr="00767B56">
        <w:t xml:space="preserve">ngagement </w:t>
      </w:r>
      <w:r w:rsidR="0026096C">
        <w:t>activities</w:t>
      </w:r>
      <w:r w:rsidRPr="00767B56">
        <w:t xml:space="preserve"> shifted away from providing general information on the </w:t>
      </w:r>
      <w:r w:rsidRPr="00767B56">
        <w:lastRenderedPageBreak/>
        <w:t xml:space="preserve">reforms and </w:t>
      </w:r>
      <w:r w:rsidR="0026096C">
        <w:t>focused on</w:t>
      </w:r>
      <w:r w:rsidRPr="00767B56">
        <w:t xml:space="preserve"> highlighting the availability of updated guidance material, the end date for the temporary zero dollar thresholds and changes to the Board</w:t>
      </w:r>
      <w:r w:rsidR="00065800">
        <w:t>’</w:t>
      </w:r>
      <w:r w:rsidRPr="00767B56">
        <w:t>s website.</w:t>
      </w:r>
    </w:p>
    <w:p w14:paraId="1E0F4D30" w14:textId="77777777" w:rsidR="00E522C4" w:rsidRPr="00A8115B" w:rsidRDefault="00E522C4" w:rsidP="003F0677">
      <w:pPr>
        <w:pStyle w:val="Heading3noTOC"/>
      </w:pPr>
      <w:bookmarkStart w:id="45" w:name="_Toc79999657"/>
      <w:bookmarkStart w:id="46" w:name="_Toc87014294"/>
      <w:bookmarkEnd w:id="44"/>
      <w:r w:rsidRPr="00A8115B">
        <w:t>Engagement with foreign investors</w:t>
      </w:r>
      <w:bookmarkEnd w:id="45"/>
      <w:bookmarkEnd w:id="46"/>
    </w:p>
    <w:p w14:paraId="4C10E541" w14:textId="75BB4227" w:rsidR="00E522C4" w:rsidRPr="00277700" w:rsidRDefault="00E522C4" w:rsidP="00E522C4">
      <w:r w:rsidRPr="00277700">
        <w:t xml:space="preserve">Engagement with investors occurred through a variety of channels over the </w:t>
      </w:r>
      <w:r w:rsidR="00D76ED2">
        <w:t>2020</w:t>
      </w:r>
      <w:r w:rsidR="00D76ED2">
        <w:noBreakHyphen/>
        <w:t>21</w:t>
      </w:r>
      <w:r w:rsidRPr="00277700">
        <w:t xml:space="preserve"> reporting period, including:</w:t>
      </w:r>
    </w:p>
    <w:p w14:paraId="3F37DF02" w14:textId="29C763A4" w:rsidR="00E522C4" w:rsidRPr="00277700" w:rsidRDefault="00E522C4" w:rsidP="00E522C4">
      <w:pPr>
        <w:pStyle w:val="Bullet"/>
      </w:pPr>
      <w:r w:rsidRPr="00277700">
        <w:t>the</w:t>
      </w:r>
      <w:r w:rsidRPr="00277700" w:rsidDel="00FF06F0">
        <w:t xml:space="preserve"> </w:t>
      </w:r>
      <w:r w:rsidRPr="00277700">
        <w:t>Board</w:t>
      </w:r>
      <w:r w:rsidR="00065800">
        <w:t>’</w:t>
      </w:r>
      <w:r w:rsidR="00FF06F0">
        <w:t>s</w:t>
      </w:r>
      <w:r w:rsidRPr="00277700">
        <w:t xml:space="preserve"> website: This is a main source of information for foreign investors and includes up</w:t>
      </w:r>
      <w:r w:rsidR="003E7C79">
        <w:t>–</w:t>
      </w:r>
      <w:r w:rsidRPr="00277700">
        <w:t>to</w:t>
      </w:r>
      <w:r w:rsidR="003E7C79">
        <w:t>–</w:t>
      </w:r>
      <w:r w:rsidRPr="00277700">
        <w:t xml:space="preserve">date guidance material. In </w:t>
      </w:r>
      <w:r w:rsidR="00D76ED2">
        <w:t>2020</w:t>
      </w:r>
      <w:r w:rsidR="00D76ED2">
        <w:noBreakHyphen/>
        <w:t>21</w:t>
      </w:r>
      <w:r w:rsidRPr="00277700">
        <w:t xml:space="preserve">, there were </w:t>
      </w:r>
      <w:r w:rsidR="002A5D17" w:rsidRPr="002A5D17">
        <w:t>1</w:t>
      </w:r>
      <w:r w:rsidRPr="002A5D17">
        <w:t>.</w:t>
      </w:r>
      <w:r w:rsidR="00F46800">
        <w:t>17</w:t>
      </w:r>
      <w:r w:rsidRPr="002A5D17">
        <w:t> million</w:t>
      </w:r>
      <w:r w:rsidRPr="00F13F1E">
        <w:t xml:space="preserve"> </w:t>
      </w:r>
      <w:r w:rsidRPr="00277700">
        <w:t>page views</w:t>
      </w:r>
    </w:p>
    <w:p w14:paraId="5D7314E2" w14:textId="625C6780" w:rsidR="00E522C4" w:rsidRPr="00F13F1E" w:rsidRDefault="00E522C4" w:rsidP="00E522C4">
      <w:pPr>
        <w:pStyle w:val="Bullet"/>
      </w:pPr>
      <w:r w:rsidRPr="00277700">
        <w:t xml:space="preserve">foreign investment email enquiries: In </w:t>
      </w:r>
      <w:r w:rsidR="00D76ED2">
        <w:t>2020</w:t>
      </w:r>
      <w:r w:rsidR="00D76ED2">
        <w:noBreakHyphen/>
        <w:t>21</w:t>
      </w:r>
      <w:r w:rsidRPr="00277700">
        <w:t xml:space="preserve">, the ATO replied </w:t>
      </w:r>
      <w:r w:rsidRPr="00302738">
        <w:t xml:space="preserve">to </w:t>
      </w:r>
      <w:r w:rsidR="00BA47FD" w:rsidRPr="00302738">
        <w:t>11</w:t>
      </w:r>
      <w:r w:rsidRPr="00302738">
        <w:t>,</w:t>
      </w:r>
      <w:r w:rsidR="00BA47FD" w:rsidRPr="00302738">
        <w:t>059</w:t>
      </w:r>
      <w:r w:rsidRPr="00F13F1E">
        <w:t xml:space="preserve"> </w:t>
      </w:r>
      <w:r w:rsidRPr="00277700">
        <w:t xml:space="preserve">email enquiries on foreign investment matters and </w:t>
      </w:r>
      <w:r>
        <w:t xml:space="preserve">the </w:t>
      </w:r>
      <w:r w:rsidRPr="00277700">
        <w:t xml:space="preserve">Treasury responded </w:t>
      </w:r>
      <w:r w:rsidRPr="002A5D17">
        <w:t xml:space="preserve">to </w:t>
      </w:r>
      <w:r w:rsidR="002A5D17" w:rsidRPr="005E4142">
        <w:t>9</w:t>
      </w:r>
      <w:r w:rsidR="00D6423E">
        <w:t>44</w:t>
      </w:r>
      <w:r w:rsidR="00354670">
        <w:t xml:space="preserve"> email enquiries</w:t>
      </w:r>
      <w:r w:rsidRPr="005E4142">
        <w:t xml:space="preserve">. </w:t>
      </w:r>
      <w:r w:rsidR="00354670">
        <w:t>These</w:t>
      </w:r>
      <w:r w:rsidRPr="005E4142">
        <w:t xml:space="preserve"> ranged from general queries about the framework or sectoral trends, to specific queries about past, prospective and current applications and developments in the framework</w:t>
      </w:r>
    </w:p>
    <w:p w14:paraId="22F5150B" w14:textId="06A9528F" w:rsidR="00E522C4" w:rsidRPr="00F13F1E" w:rsidRDefault="00E522C4" w:rsidP="00E522C4">
      <w:pPr>
        <w:pStyle w:val="Bullet"/>
      </w:pPr>
      <w:bookmarkStart w:id="47" w:name="_Hlk80189038"/>
      <w:r w:rsidRPr="007D4643">
        <w:t xml:space="preserve">the foreign investment enquiries hotline: </w:t>
      </w:r>
      <w:r w:rsidR="00F93AFB" w:rsidRPr="00F93AFB">
        <w:t xml:space="preserve">In </w:t>
      </w:r>
      <w:r w:rsidR="00D76ED2">
        <w:t>2020</w:t>
      </w:r>
      <w:r w:rsidR="00D76ED2">
        <w:noBreakHyphen/>
        <w:t>21</w:t>
      </w:r>
      <w:r w:rsidR="00F93AFB" w:rsidRPr="00F93AFB">
        <w:t xml:space="preserve">, the ATO handled 14,482 calls on its foreign investment enquiry line and 1,340 website enquiries via its ato.gov.au </w:t>
      </w:r>
      <w:r w:rsidR="00065800">
        <w:t>‘</w:t>
      </w:r>
      <w:r w:rsidR="00F93AFB" w:rsidRPr="00F93AFB">
        <w:t>Ask Alex</w:t>
      </w:r>
      <w:r w:rsidR="00065800">
        <w:t xml:space="preserve">’ – </w:t>
      </w:r>
      <w:r w:rsidR="00F93AFB" w:rsidRPr="00F93AFB">
        <w:t>ATO virtual assistant.</w:t>
      </w:r>
      <w:r w:rsidRPr="007D4643">
        <w:t xml:space="preserve"> </w:t>
      </w:r>
      <w:r>
        <w:t xml:space="preserve">The </w:t>
      </w:r>
      <w:r w:rsidRPr="007D4643">
        <w:t xml:space="preserve">Treasury </w:t>
      </w:r>
      <w:r w:rsidR="00D6423E">
        <w:t xml:space="preserve">handled </w:t>
      </w:r>
      <w:r w:rsidR="002A5D17" w:rsidRPr="005E4142">
        <w:t>3</w:t>
      </w:r>
      <w:r w:rsidRPr="005E4142">
        <w:t>,</w:t>
      </w:r>
      <w:r w:rsidR="002A5D17" w:rsidRPr="005E4142">
        <w:t>477</w:t>
      </w:r>
      <w:r w:rsidRPr="005E4142">
        <w:t> calls</w:t>
      </w:r>
    </w:p>
    <w:p w14:paraId="2F3512E6" w14:textId="10C0E6BA" w:rsidR="00E522C4" w:rsidRPr="00C51716" w:rsidRDefault="00E522C4" w:rsidP="00E522C4">
      <w:pPr>
        <w:pStyle w:val="Bullet"/>
      </w:pPr>
      <w:r w:rsidRPr="007D4643">
        <w:t xml:space="preserve">webinars, online forums and telephone conferences with stakeholders: </w:t>
      </w:r>
      <w:r w:rsidR="00344A91">
        <w:t>d</w:t>
      </w:r>
      <w:r w:rsidRPr="007D4643">
        <w:t xml:space="preserve">ue to the continued impact of </w:t>
      </w:r>
      <w:r w:rsidR="00776645">
        <w:t>COVID-19</w:t>
      </w:r>
      <w:r w:rsidRPr="007D4643">
        <w:t xml:space="preserve">, </w:t>
      </w:r>
      <w:r>
        <w:t>communication with stakeholders continued to be provided through digital forums</w:t>
      </w:r>
      <w:r w:rsidRPr="007D4643">
        <w:t>, ensuring that communication lines remained open</w:t>
      </w:r>
      <w:r w:rsidRPr="007D4643" w:rsidDel="009A4B90">
        <w:t>,</w:t>
      </w:r>
      <w:r w:rsidRPr="007D4643">
        <w:t xml:space="preserve"> even when communities were in lock</w:t>
      </w:r>
      <w:r w:rsidR="003E7C79">
        <w:t>–</w:t>
      </w:r>
      <w:r w:rsidRPr="007D4643">
        <w:t>down.</w:t>
      </w:r>
    </w:p>
    <w:p w14:paraId="2222DB79" w14:textId="3FF267A9" w:rsidR="00E522C4" w:rsidRPr="00A8115B" w:rsidRDefault="00E522C4" w:rsidP="003F0677">
      <w:pPr>
        <w:pStyle w:val="Heading3noTOC"/>
      </w:pPr>
      <w:bookmarkStart w:id="48" w:name="_Toc79999658"/>
      <w:bookmarkStart w:id="49" w:name="_Toc87014295"/>
      <w:bookmarkStart w:id="50" w:name="_Toc89851700"/>
      <w:bookmarkEnd w:id="47"/>
      <w:r w:rsidRPr="00A8115B">
        <w:t>Engagement with consultation partners and other government agencies</w:t>
      </w:r>
      <w:bookmarkEnd w:id="48"/>
      <w:bookmarkEnd w:id="49"/>
      <w:bookmarkEnd w:id="50"/>
    </w:p>
    <w:p w14:paraId="2E4A633C" w14:textId="316C10DF" w:rsidR="00E522C4" w:rsidRDefault="00E522C4" w:rsidP="00E522C4">
      <w:bookmarkStart w:id="51" w:name="_Toc31296898"/>
      <w:bookmarkStart w:id="52" w:name="_Toc31636016"/>
      <w:bookmarkStart w:id="53" w:name="_Toc31642785"/>
      <w:bookmarkStart w:id="54" w:name="_Toc32247794"/>
      <w:bookmarkStart w:id="55" w:name="_Toc63782925"/>
      <w:bookmarkStart w:id="56" w:name="_Toc75244054"/>
      <w:bookmarkStart w:id="57" w:name="_Toc79999659"/>
      <w:r w:rsidRPr="003D13F5">
        <w:t>Given the breadth of industries and transactions subject to the framework, the Treasury and the ATO rely on strong relationships with consultation partners.</w:t>
      </w:r>
      <w:r w:rsidR="00F46800" w:rsidRPr="003D13F5">
        <w:t xml:space="preserve"> These include Commonwealth</w:t>
      </w:r>
      <w:r w:rsidR="003D13F5" w:rsidRPr="003D13F5">
        <w:t xml:space="preserve"> Government agencies</w:t>
      </w:r>
      <w:r w:rsidR="0078061E" w:rsidRPr="003D13F5">
        <w:t>, their regulators</w:t>
      </w:r>
      <w:r w:rsidR="003D13F5" w:rsidRPr="003D13F5">
        <w:t xml:space="preserve"> and</w:t>
      </w:r>
      <w:r w:rsidR="0078061E" w:rsidRPr="003D13F5">
        <w:t xml:space="preserve"> </w:t>
      </w:r>
      <w:r w:rsidR="003D13F5">
        <w:t xml:space="preserve">the </w:t>
      </w:r>
      <w:r w:rsidR="008D5496">
        <w:t>s</w:t>
      </w:r>
      <w:r w:rsidR="0078061E" w:rsidRPr="003D13F5">
        <w:t xml:space="preserve">tate and </w:t>
      </w:r>
      <w:r w:rsidR="008D5496">
        <w:t>t</w:t>
      </w:r>
      <w:r w:rsidR="0078061E" w:rsidRPr="003D13F5">
        <w:t>erritor</w:t>
      </w:r>
      <w:r w:rsidR="003D13F5" w:rsidRPr="003D13F5">
        <w:t>ies</w:t>
      </w:r>
      <w:r w:rsidR="00065800">
        <w:t xml:space="preserve">. </w:t>
      </w:r>
    </w:p>
    <w:p w14:paraId="76CDCA10" w14:textId="1D365B35" w:rsidR="00E522C4" w:rsidRPr="00017BD6" w:rsidRDefault="00E522C4" w:rsidP="00E522C4">
      <w:r w:rsidRPr="00017BD6">
        <w:t>On 20</w:t>
      </w:r>
      <w:r w:rsidR="008D5496">
        <w:t> </w:t>
      </w:r>
      <w:r w:rsidRPr="00017BD6">
        <w:t>October</w:t>
      </w:r>
      <w:r w:rsidR="008D5496">
        <w:t> </w:t>
      </w:r>
      <w:r w:rsidRPr="00017BD6">
        <w:t xml:space="preserve">2020, </w:t>
      </w:r>
      <w:r>
        <w:t xml:space="preserve">the </w:t>
      </w:r>
      <w:r w:rsidRPr="00017BD6">
        <w:t xml:space="preserve">Treasury held its annual Insights Day for consultation partners over webinar, with more than 50 representatives from </w:t>
      </w:r>
      <w:r w:rsidR="00357914">
        <w:t>other Commonwealth Government agencies and the</w:t>
      </w:r>
      <w:r w:rsidRPr="00017BD6">
        <w:t xml:space="preserve"> </w:t>
      </w:r>
      <w:r w:rsidR="008D5496">
        <w:t>s</w:t>
      </w:r>
      <w:r w:rsidRPr="00017BD6">
        <w:t xml:space="preserve">tate and </w:t>
      </w:r>
      <w:r w:rsidR="008D5496">
        <w:t>t</w:t>
      </w:r>
      <w:r w:rsidRPr="00017BD6">
        <w:t xml:space="preserve">erritories attending. The Insights Day was an opportunity for </w:t>
      </w:r>
      <w:r>
        <w:t xml:space="preserve">the </w:t>
      </w:r>
      <w:r w:rsidRPr="00017BD6">
        <w:t xml:space="preserve">Treasury to provide an update on developments in the foreign investment landscape, discuss emerging issues and underline the critical role consultation partners play in assisting </w:t>
      </w:r>
      <w:r>
        <w:t xml:space="preserve">the </w:t>
      </w:r>
      <w:r w:rsidRPr="00017BD6">
        <w:t>Treasury to perform its role.</w:t>
      </w:r>
    </w:p>
    <w:p w14:paraId="4FCDBCC6" w14:textId="75AC7677" w:rsidR="00E522C4" w:rsidRPr="002630AE" w:rsidRDefault="00E522C4" w:rsidP="00E522C4">
      <w:r w:rsidRPr="00017BD6">
        <w:t xml:space="preserve">Up to and after this time, </w:t>
      </w:r>
      <w:r>
        <w:t xml:space="preserve">the </w:t>
      </w:r>
      <w:r w:rsidRPr="00017BD6">
        <w:t xml:space="preserve">Treasury actively consulted with these agencies and </w:t>
      </w:r>
      <w:r w:rsidR="002867A9">
        <w:t>s</w:t>
      </w:r>
      <w:r w:rsidRPr="00017BD6">
        <w:t xml:space="preserve">tate and </w:t>
      </w:r>
      <w:r w:rsidR="002867A9">
        <w:t>t</w:t>
      </w:r>
      <w:r w:rsidRPr="00017BD6">
        <w:t>erritory governments on the design and implementation of the reforms. Feedback received during the reporting period indicated that consultation partners were satisfied with the level of engagement provided by</w:t>
      </w:r>
      <w:r>
        <w:t xml:space="preserve"> the</w:t>
      </w:r>
      <w:r w:rsidRPr="00017BD6">
        <w:t xml:space="preserve"> Treasury.</w:t>
      </w:r>
    </w:p>
    <w:p w14:paraId="48D5648D" w14:textId="4576C815" w:rsidR="00E522C4" w:rsidRDefault="00E522C4" w:rsidP="00E522C4">
      <w:pPr>
        <w:spacing w:after="160" w:line="259" w:lineRule="auto"/>
        <w:jc w:val="left"/>
      </w:pPr>
      <w:r>
        <w:t xml:space="preserve">Throughout the reporting period, the </w:t>
      </w:r>
      <w:r w:rsidRPr="002630AE">
        <w:t xml:space="preserve">Treasury </w:t>
      </w:r>
      <w:r w:rsidRPr="002630AE" w:rsidDel="00810E8A">
        <w:t xml:space="preserve">continued </w:t>
      </w:r>
      <w:r>
        <w:t>s</w:t>
      </w:r>
      <w:r w:rsidRPr="002630AE">
        <w:t xml:space="preserve">econdment arrangements with consultation partners, including the ATO, </w:t>
      </w:r>
      <w:r>
        <w:t>the Australian Competition and Consumer Commission</w:t>
      </w:r>
      <w:r w:rsidR="004909ED">
        <w:t xml:space="preserve"> (ACCC)</w:t>
      </w:r>
      <w:r w:rsidRPr="002630AE">
        <w:t xml:space="preserve">, </w:t>
      </w:r>
      <w:r w:rsidR="00C71562">
        <w:t>the Australian Securities and Investments Commission, the Productivity Commission, the Attorney</w:t>
      </w:r>
      <w:r w:rsidR="003E7C79">
        <w:t>–</w:t>
      </w:r>
      <w:r w:rsidR="00C71562">
        <w:t>General</w:t>
      </w:r>
      <w:r w:rsidR="00065800">
        <w:t>’</w:t>
      </w:r>
      <w:r w:rsidR="00C71562">
        <w:t xml:space="preserve">s Department, </w:t>
      </w:r>
      <w:r w:rsidRPr="002630AE">
        <w:t xml:space="preserve">the </w:t>
      </w:r>
      <w:r>
        <w:t>Australian Bureau of Statistics</w:t>
      </w:r>
      <w:r w:rsidR="00C71562">
        <w:t xml:space="preserve"> (ABS)</w:t>
      </w:r>
      <w:r>
        <w:t xml:space="preserve">, </w:t>
      </w:r>
      <w:r w:rsidR="0073036A">
        <w:lastRenderedPageBreak/>
        <w:t xml:space="preserve">the </w:t>
      </w:r>
      <w:r w:rsidR="00794FE4">
        <w:t xml:space="preserve">Department of </w:t>
      </w:r>
      <w:r>
        <w:t>Home Affairs</w:t>
      </w:r>
      <w:r w:rsidR="00794FE4">
        <w:t>, the Department of Foreign Affairs and Trade</w:t>
      </w:r>
      <w:r w:rsidR="0073036A">
        <w:t>,</w:t>
      </w:r>
      <w:r w:rsidR="00794FE4">
        <w:t xml:space="preserve"> </w:t>
      </w:r>
      <w:r w:rsidRPr="002630AE">
        <w:t>and the Department of Defence</w:t>
      </w:r>
      <w:r>
        <w:t>,</w:t>
      </w:r>
      <w:r w:rsidRPr="002630AE">
        <w:t xml:space="preserve"> provid</w:t>
      </w:r>
      <w:r>
        <w:t>ing</w:t>
      </w:r>
      <w:r w:rsidRPr="002630AE">
        <w:t xml:space="preserve"> an important avenue for exchange of views and practices. </w:t>
      </w:r>
    </w:p>
    <w:p w14:paraId="57AFCE7E" w14:textId="77777777" w:rsidR="00E522C4" w:rsidRDefault="00E522C4" w:rsidP="00E522C4">
      <w:pPr>
        <w:spacing w:after="160" w:line="259" w:lineRule="auto"/>
        <w:jc w:val="left"/>
      </w:pPr>
    </w:p>
    <w:p w14:paraId="3DBFC5EF" w14:textId="77777777" w:rsidR="00E522C4" w:rsidRDefault="00E522C4">
      <w:pPr>
        <w:spacing w:after="0" w:line="240" w:lineRule="auto"/>
        <w:jc w:val="left"/>
        <w:rPr>
          <w:rFonts w:ascii="Calibri" w:hAnsi="Calibri" w:cs="Arial"/>
          <w:b/>
          <w:bCs/>
          <w:iCs/>
          <w:color w:val="477B59"/>
          <w:sz w:val="28"/>
          <w:szCs w:val="28"/>
        </w:rPr>
      </w:pPr>
      <w:r>
        <w:rPr>
          <w:color w:val="477B59"/>
        </w:rPr>
        <w:br w:type="page"/>
      </w:r>
    </w:p>
    <w:p w14:paraId="1CCE604A" w14:textId="757FAA93" w:rsidR="00E522C4" w:rsidRPr="001978A0" w:rsidRDefault="00E522C4" w:rsidP="00E522C4">
      <w:pPr>
        <w:pStyle w:val="Heading2"/>
        <w:spacing w:after="200"/>
      </w:pPr>
      <w:bookmarkStart w:id="58" w:name="_Toc89872879"/>
      <w:bookmarkStart w:id="59" w:name="_Toc89872926"/>
      <w:r w:rsidRPr="001978A0">
        <w:lastRenderedPageBreak/>
        <w:t>Operational costs</w:t>
      </w:r>
      <w:bookmarkEnd w:id="51"/>
      <w:bookmarkEnd w:id="52"/>
      <w:bookmarkEnd w:id="53"/>
      <w:bookmarkEnd w:id="54"/>
      <w:bookmarkEnd w:id="55"/>
      <w:bookmarkEnd w:id="56"/>
      <w:bookmarkEnd w:id="57"/>
      <w:bookmarkEnd w:id="58"/>
      <w:bookmarkEnd w:id="59"/>
    </w:p>
    <w:p w14:paraId="3450AF28" w14:textId="77777777" w:rsidR="00E522C4" w:rsidRPr="002630AE" w:rsidRDefault="00E522C4" w:rsidP="00E522C4">
      <w:r w:rsidRPr="002630AE">
        <w:t xml:space="preserve">The operational costs reported here represent a proportion of the costs associated with the operation of the foreign investment system. Broader operational costs not reported here include the costs associated with the operations of consultation partners assisting </w:t>
      </w:r>
      <w:r>
        <w:t xml:space="preserve">the </w:t>
      </w:r>
      <w:r w:rsidRPr="002630AE">
        <w:t xml:space="preserve">Treasury and the ATO in providing advice to decision makers. </w:t>
      </w:r>
    </w:p>
    <w:p w14:paraId="165C54D2" w14:textId="77777777" w:rsidR="00E522C4" w:rsidRPr="003F0677" w:rsidRDefault="00E522C4" w:rsidP="00E522C4">
      <w:pPr>
        <w:keepNext/>
        <w:tabs>
          <w:tab w:val="right" w:pos="7513"/>
        </w:tabs>
        <w:rPr>
          <w:b/>
          <w:color w:val="4F6772"/>
        </w:rPr>
      </w:pPr>
      <w:r w:rsidRPr="003F0677">
        <w:rPr>
          <w:b/>
          <w:color w:val="4F6772"/>
        </w:rPr>
        <w:t>The Board</w:t>
      </w:r>
      <w:r w:rsidRPr="003F0677">
        <w:rPr>
          <w:b/>
          <w:color w:val="4F6772"/>
        </w:rPr>
        <w:tab/>
        <w:t>$0.5 million</w:t>
      </w:r>
    </w:p>
    <w:p w14:paraId="6F2EB41C" w14:textId="73E70F1E" w:rsidR="00E522C4" w:rsidRPr="005660DA" w:rsidRDefault="00E522C4" w:rsidP="00E522C4">
      <w:r w:rsidRPr="005660DA">
        <w:t xml:space="preserve">Remuneration of Board members in </w:t>
      </w:r>
      <w:r w:rsidR="00D76ED2">
        <w:t>2020</w:t>
      </w:r>
      <w:r w:rsidR="00D76ED2">
        <w:noBreakHyphen/>
        <w:t>21</w:t>
      </w:r>
      <w:r w:rsidRPr="005660DA">
        <w:t xml:space="preserve"> was around 89 per cent of total Board expenses, with the remainder expended on travel, car hire and incidentals. Board members</w:t>
      </w:r>
      <w:r w:rsidR="00065800">
        <w:t>’</w:t>
      </w:r>
      <w:r w:rsidRPr="005660DA">
        <w:t xml:space="preserve"> fees are determined by the Remuneration Tribunal.</w:t>
      </w:r>
    </w:p>
    <w:p w14:paraId="6DC07C5F" w14:textId="2DB2B579" w:rsidR="00E522C4" w:rsidRPr="003F0677" w:rsidRDefault="00E522C4" w:rsidP="00E522C4">
      <w:pPr>
        <w:keepNext/>
        <w:tabs>
          <w:tab w:val="right" w:pos="7513"/>
        </w:tabs>
        <w:rPr>
          <w:b/>
          <w:color w:val="4F6772"/>
        </w:rPr>
      </w:pPr>
      <w:r w:rsidRPr="003F0677">
        <w:rPr>
          <w:b/>
          <w:color w:val="4F6772"/>
        </w:rPr>
        <w:t>The Treasury</w:t>
      </w:r>
      <w:r w:rsidRPr="003F0677">
        <w:rPr>
          <w:b/>
          <w:color w:val="4F6772"/>
        </w:rPr>
        <w:tab/>
        <w:t>$27 million</w:t>
      </w:r>
    </w:p>
    <w:p w14:paraId="0C703F6D" w14:textId="2F17CC97" w:rsidR="00E522C4" w:rsidRPr="002E32FF" w:rsidRDefault="00E522C4" w:rsidP="00E522C4">
      <w:pPr>
        <w:rPr>
          <w:highlight w:val="yellow"/>
        </w:rPr>
      </w:pPr>
      <w:r w:rsidRPr="00B23680">
        <w:t xml:space="preserve">Expenses for </w:t>
      </w:r>
      <w:r>
        <w:t xml:space="preserve">the </w:t>
      </w:r>
      <w:r w:rsidRPr="00B23680">
        <w:t>Treasury</w:t>
      </w:r>
      <w:r w:rsidR="00065800">
        <w:t>’</w:t>
      </w:r>
      <w:r w:rsidRPr="00B23680">
        <w:t>s Foreign Inves</w:t>
      </w:r>
      <w:r w:rsidRPr="00A54C48">
        <w:t xml:space="preserve">tment Division </w:t>
      </w:r>
      <w:r w:rsidR="00DE7D8B" w:rsidRPr="00A54C48">
        <w:t xml:space="preserve">(the Division) </w:t>
      </w:r>
      <w:r w:rsidRPr="00A54C48">
        <w:t xml:space="preserve">mainly reflect employee salary and administrative costs. Over the course of </w:t>
      </w:r>
      <w:r w:rsidR="00D76ED2">
        <w:t>2020</w:t>
      </w:r>
      <w:r w:rsidR="00D76ED2">
        <w:noBreakHyphen/>
        <w:t>21</w:t>
      </w:r>
      <w:r w:rsidRPr="00A54C48">
        <w:t xml:space="preserve">, the Division </w:t>
      </w:r>
      <w:r w:rsidR="00E315B6" w:rsidRPr="00A54C48">
        <w:t>employed</w:t>
      </w:r>
      <w:r w:rsidR="008F0D46" w:rsidRPr="00A54C48">
        <w:t xml:space="preserve"> </w:t>
      </w:r>
      <w:r w:rsidRPr="00A54C48">
        <w:t>an average of 103.4 </w:t>
      </w:r>
      <w:r w:rsidR="004C2507" w:rsidRPr="00A54C48">
        <w:t xml:space="preserve"> </w:t>
      </w:r>
      <w:r w:rsidRPr="00A54C48">
        <w:t>full</w:t>
      </w:r>
      <w:r w:rsidR="003E7C79">
        <w:t>–</w:t>
      </w:r>
      <w:r w:rsidRPr="00A54C48">
        <w:t>time equivalent staff, and a number of external contractors and consultants</w:t>
      </w:r>
      <w:r w:rsidR="00A94569" w:rsidRPr="00A54C48">
        <w:t>. This</w:t>
      </w:r>
      <w:r w:rsidRPr="00A54C48">
        <w:t xml:space="preserve"> includ</w:t>
      </w:r>
      <w:r w:rsidR="00A94569" w:rsidRPr="00A54C48">
        <w:t>ed</w:t>
      </w:r>
      <w:r w:rsidRPr="00A54C48">
        <w:t xml:space="preserve"> lawyers from the Australian Government Solicitor, and seconded staff from its consultation partners. In </w:t>
      </w:r>
      <w:r w:rsidR="00D76ED2">
        <w:t>2020</w:t>
      </w:r>
      <w:r w:rsidR="00D76ED2">
        <w:noBreakHyphen/>
        <w:t>21</w:t>
      </w:r>
      <w:r w:rsidRPr="00A54C48">
        <w:t xml:space="preserve">, the Foreign Investment Division had a presence in Canberra, Melbourne, Perth, Brisbane, </w:t>
      </w:r>
      <w:r w:rsidR="00AA20F8" w:rsidRPr="00A54C48">
        <w:t>Newcastle</w:t>
      </w:r>
      <w:r w:rsidRPr="00A54C48">
        <w:t xml:space="preserve"> and Sydney.</w:t>
      </w:r>
      <w:r w:rsidR="00DE7D8B" w:rsidRPr="00A54C48">
        <w:t xml:space="preserve"> During </w:t>
      </w:r>
      <w:r w:rsidR="00D76ED2">
        <w:t>2020</w:t>
      </w:r>
      <w:r w:rsidR="00D76ED2">
        <w:noBreakHyphen/>
        <w:t>21</w:t>
      </w:r>
      <w:r w:rsidR="00DE7D8B" w:rsidRPr="00A54C48">
        <w:t>, the Division continued to regulate businesses</w:t>
      </w:r>
      <w:r w:rsidR="0045012C" w:rsidRPr="00A54C48">
        <w:t xml:space="preserve"> and </w:t>
      </w:r>
      <w:r w:rsidR="00205C62">
        <w:t>i</w:t>
      </w:r>
      <w:r w:rsidR="00CD6D98" w:rsidRPr="00A54C48">
        <w:t xml:space="preserve">t also </w:t>
      </w:r>
      <w:r w:rsidR="0045012C" w:rsidRPr="00A54C48">
        <w:t xml:space="preserve">supported </w:t>
      </w:r>
      <w:r w:rsidR="00CD6D98" w:rsidRPr="00A54C48">
        <w:t xml:space="preserve">the </w:t>
      </w:r>
      <w:r w:rsidR="00A54C48" w:rsidRPr="00A54C48">
        <w:t xml:space="preserve">Government </w:t>
      </w:r>
      <w:r w:rsidR="00512AAD" w:rsidRPr="00A54C48">
        <w:t>Reforms and</w:t>
      </w:r>
      <w:r w:rsidR="00CD6D98" w:rsidRPr="00A54C48">
        <w:t xml:space="preserve"> built new national security and </w:t>
      </w:r>
      <w:r w:rsidR="0045012C" w:rsidRPr="00A54C48">
        <w:t xml:space="preserve">compliance </w:t>
      </w:r>
      <w:r w:rsidR="00CD6D98" w:rsidRPr="00A54C48">
        <w:t>capabilities.</w:t>
      </w:r>
      <w:r w:rsidR="00CD6D98">
        <w:t xml:space="preserve"> </w:t>
      </w:r>
    </w:p>
    <w:p w14:paraId="493DF643" w14:textId="379CF1F7" w:rsidR="00E522C4" w:rsidRPr="003F0677" w:rsidRDefault="00E522C4" w:rsidP="00E522C4">
      <w:pPr>
        <w:keepNext/>
        <w:tabs>
          <w:tab w:val="right" w:pos="7513"/>
        </w:tabs>
        <w:rPr>
          <w:b/>
          <w:color w:val="4F6772"/>
        </w:rPr>
      </w:pPr>
      <w:r w:rsidRPr="003F0677">
        <w:rPr>
          <w:b/>
          <w:color w:val="4F6772"/>
        </w:rPr>
        <w:t>The Australian Taxation Office</w:t>
      </w:r>
      <w:r w:rsidRPr="003F0677">
        <w:rPr>
          <w:b/>
          <w:color w:val="4F6772"/>
        </w:rPr>
        <w:tab/>
        <w:t>$</w:t>
      </w:r>
      <w:r w:rsidR="002813CC" w:rsidRPr="003F0677">
        <w:rPr>
          <w:b/>
          <w:color w:val="4F6772"/>
        </w:rPr>
        <w:t>8</w:t>
      </w:r>
      <w:r w:rsidRPr="003F0677">
        <w:rPr>
          <w:b/>
          <w:color w:val="4F6772"/>
        </w:rPr>
        <w:t>.</w:t>
      </w:r>
      <w:r w:rsidR="002813CC" w:rsidRPr="003F0677">
        <w:rPr>
          <w:b/>
          <w:color w:val="4F6772"/>
        </w:rPr>
        <w:t>6</w:t>
      </w:r>
      <w:r w:rsidRPr="003F0677">
        <w:rPr>
          <w:b/>
          <w:color w:val="4F6772"/>
        </w:rPr>
        <w:t xml:space="preserve"> million </w:t>
      </w:r>
    </w:p>
    <w:p w14:paraId="7098ACB1" w14:textId="56BAAB49" w:rsidR="00863191" w:rsidRPr="000D6BE1" w:rsidRDefault="00053C6F" w:rsidP="007F749A">
      <w:pPr>
        <w:rPr>
          <w:rFonts w:eastAsiaTheme="minorEastAsia"/>
          <w:lang w:val="en-GB" w:eastAsia="en-GB"/>
        </w:rPr>
      </w:pPr>
      <w:r w:rsidRPr="00053C6F">
        <w:t xml:space="preserve">In </w:t>
      </w:r>
      <w:r w:rsidR="00D76ED2">
        <w:t>2020</w:t>
      </w:r>
      <w:r w:rsidR="00D76ED2">
        <w:noBreakHyphen/>
        <w:t>21</w:t>
      </w:r>
      <w:r w:rsidRPr="00053C6F">
        <w:t>, the ATO employed 72.1 full</w:t>
      </w:r>
      <w:r w:rsidR="003E7C79">
        <w:t>–</w:t>
      </w:r>
      <w:r w:rsidRPr="00053C6F">
        <w:t xml:space="preserve">time equivalent staff, employed across the </w:t>
      </w:r>
      <w:r w:rsidRPr="00D55343">
        <w:t>residential real estate application screening process, data matching and compliance activities, application screening of non</w:t>
      </w:r>
      <w:r w:rsidR="003E7C79">
        <w:t>–</w:t>
      </w:r>
      <w:r w:rsidRPr="00D55343">
        <w:t>sensitive commercial land (vacant and non</w:t>
      </w:r>
      <w:r w:rsidR="003E7C79">
        <w:t>–</w:t>
      </w:r>
      <w:r w:rsidRPr="00D55343">
        <w:t>vacant) and corporate reorganisations, the development and maintenance of foreign ownership registers, and the development of systems and administration of the annual vacancy fee measure.</w:t>
      </w:r>
      <w:r w:rsidRPr="00053C6F">
        <w:t xml:space="preserve"> In addition, the </w:t>
      </w:r>
      <w:r w:rsidR="00165111">
        <w:t>ATO</w:t>
      </w:r>
      <w:r w:rsidRPr="00053C6F">
        <w:t xml:space="preserve"> also engaged a number of contractors and other suppliers. The ATO</w:t>
      </w:r>
      <w:r w:rsidR="00065800">
        <w:t>’</w:t>
      </w:r>
      <w:r w:rsidRPr="00053C6F">
        <w:t>s teams are located across several sites including Sydney, Canberra, Newcastle, Brisbane and Melbourne.</w:t>
      </w:r>
    </w:p>
    <w:p w14:paraId="28F9F42C" w14:textId="77777777" w:rsidR="00CB7A07" w:rsidRDefault="00CB7A07">
      <w:pPr>
        <w:spacing w:after="0" w:line="240" w:lineRule="auto"/>
        <w:jc w:val="left"/>
        <w:sectPr w:rsidR="00CB7A07" w:rsidSect="00BE2B45">
          <w:headerReference w:type="even" r:id="rId46"/>
          <w:headerReference w:type="default" r:id="rId47"/>
          <w:footerReference w:type="first" r:id="rId48"/>
          <w:pgSz w:w="11906" w:h="16838" w:code="9"/>
          <w:pgMar w:top="2466" w:right="2098" w:bottom="2466" w:left="2098" w:header="1899" w:footer="1899" w:gutter="0"/>
          <w:pgNumType w:start="1"/>
          <w:cols w:space="708"/>
          <w:titlePg/>
          <w:docGrid w:linePitch="360"/>
        </w:sectPr>
      </w:pPr>
    </w:p>
    <w:p w14:paraId="2A5FA5BF" w14:textId="42B6FC3E" w:rsidR="00C54DEB" w:rsidRPr="00D60D30" w:rsidRDefault="00C54DEB" w:rsidP="00C54DEB">
      <w:pPr>
        <w:pStyle w:val="Heading1"/>
        <w:rPr>
          <w:noProof/>
        </w:rPr>
      </w:pPr>
      <w:bookmarkStart w:id="60" w:name="_Toc31296899"/>
      <w:bookmarkStart w:id="61" w:name="_Toc31636017"/>
      <w:bookmarkStart w:id="62" w:name="_Toc31642786"/>
      <w:bookmarkStart w:id="63" w:name="_Toc32247795"/>
      <w:bookmarkStart w:id="64" w:name="_Toc63782926"/>
      <w:bookmarkStart w:id="65" w:name="_Toc75244055"/>
      <w:bookmarkStart w:id="66" w:name="_Toc89872880"/>
      <w:bookmarkStart w:id="67" w:name="_Toc89872927"/>
      <w:bookmarkStart w:id="68" w:name="_Toc63782927"/>
      <w:bookmarkStart w:id="69" w:name="_Toc75244056"/>
      <w:bookmarkStart w:id="70" w:name="_Hlk80186805"/>
      <w:r w:rsidRPr="00D60D30">
        <w:rPr>
          <w:noProof/>
        </w:rPr>
        <w:lastRenderedPageBreak/>
        <w:t>The Foreign Investment Framework</w:t>
      </w:r>
      <w:bookmarkEnd w:id="60"/>
      <w:bookmarkEnd w:id="61"/>
      <w:bookmarkEnd w:id="62"/>
      <w:bookmarkEnd w:id="63"/>
      <w:bookmarkEnd w:id="64"/>
      <w:bookmarkEnd w:id="65"/>
      <w:bookmarkEnd w:id="66"/>
      <w:bookmarkEnd w:id="67"/>
    </w:p>
    <w:p w14:paraId="022EC330" w14:textId="79A9B328" w:rsidR="00C82124" w:rsidRDefault="00C82124" w:rsidP="00C82124">
      <w:bookmarkStart w:id="71" w:name="_Toc79999661"/>
      <w:bookmarkEnd w:id="68"/>
      <w:bookmarkEnd w:id="69"/>
      <w:bookmarkEnd w:id="70"/>
      <w:r>
        <w:t>This chapter provides an overview of the main changes to Australia</w:t>
      </w:r>
      <w:r w:rsidR="00065800">
        <w:t>’</w:t>
      </w:r>
      <w:r>
        <w:t xml:space="preserve">s foreign investment policy during </w:t>
      </w:r>
      <w:r w:rsidR="00D76ED2">
        <w:t>2020</w:t>
      </w:r>
      <w:r w:rsidR="00D76ED2">
        <w:noBreakHyphen/>
        <w:t>21</w:t>
      </w:r>
      <w:r>
        <w:t xml:space="preserve">, including the domestic and global backdrop for these developments. </w:t>
      </w:r>
    </w:p>
    <w:p w14:paraId="5702C25B" w14:textId="77777777" w:rsidR="00C82124" w:rsidRPr="001978A0" w:rsidRDefault="00C82124" w:rsidP="00C82124">
      <w:pPr>
        <w:pStyle w:val="Heading2"/>
        <w:spacing w:after="200"/>
      </w:pPr>
      <w:bookmarkStart w:id="72" w:name="_Toc89872881"/>
      <w:bookmarkStart w:id="73" w:name="_Toc89872928"/>
      <w:r w:rsidRPr="001978A0">
        <w:t>Foreign investment policies and priorities</w:t>
      </w:r>
      <w:bookmarkEnd w:id="71"/>
      <w:bookmarkEnd w:id="72"/>
      <w:bookmarkEnd w:id="73"/>
    </w:p>
    <w:p w14:paraId="1FE70690" w14:textId="2091FEC0" w:rsidR="00C82124" w:rsidRPr="001978A0" w:rsidRDefault="00687AEC" w:rsidP="00C82124">
      <w:pPr>
        <w:rPr>
          <w:color w:val="auto"/>
        </w:rPr>
      </w:pPr>
      <w:r>
        <w:rPr>
          <w:color w:val="auto"/>
        </w:rPr>
        <w:t xml:space="preserve">The </w:t>
      </w:r>
      <w:r w:rsidR="00D5044F">
        <w:t>framework</w:t>
      </w:r>
      <w:r w:rsidR="004776B5">
        <w:t xml:space="preserve"> </w:t>
      </w:r>
      <w:r w:rsidR="00C82124" w:rsidRPr="001978A0">
        <w:rPr>
          <w:color w:val="auto"/>
        </w:rPr>
        <w:t xml:space="preserve">underwent profound changes in </w:t>
      </w:r>
      <w:r w:rsidR="00D76ED2">
        <w:rPr>
          <w:color w:val="auto"/>
        </w:rPr>
        <w:t>2020</w:t>
      </w:r>
      <w:r w:rsidR="00D76ED2">
        <w:rPr>
          <w:color w:val="auto"/>
        </w:rPr>
        <w:noBreakHyphen/>
        <w:t>21</w:t>
      </w:r>
      <w:r w:rsidR="00C82124" w:rsidRPr="001978A0">
        <w:rPr>
          <w:color w:val="auto"/>
        </w:rPr>
        <w:t xml:space="preserve">. Foreign investment proposals continued to be screened at the temporary </w:t>
      </w:r>
      <w:r w:rsidR="00C82124" w:rsidRPr="001978A0">
        <w:rPr>
          <w:rFonts w:cstheme="minorHAnsi"/>
          <w:color w:val="auto"/>
        </w:rPr>
        <w:t xml:space="preserve">zero dollar threshold until </w:t>
      </w:r>
      <w:r w:rsidR="00C82124" w:rsidRPr="001978A0">
        <w:rPr>
          <w:color w:val="auto"/>
        </w:rPr>
        <w:t xml:space="preserve">major reforms to the framework commenced </w:t>
      </w:r>
      <w:r w:rsidR="00344A91">
        <w:rPr>
          <w:color w:val="auto"/>
        </w:rPr>
        <w:t xml:space="preserve">on </w:t>
      </w:r>
      <w:r w:rsidR="00C82124" w:rsidRPr="001978A0">
        <w:rPr>
          <w:color w:val="auto"/>
        </w:rPr>
        <w:t>1</w:t>
      </w:r>
      <w:r w:rsidR="00165111">
        <w:rPr>
          <w:color w:val="auto"/>
        </w:rPr>
        <w:t> </w:t>
      </w:r>
      <w:r w:rsidR="00C82124" w:rsidRPr="001978A0">
        <w:rPr>
          <w:color w:val="auto"/>
        </w:rPr>
        <w:t>January</w:t>
      </w:r>
      <w:r w:rsidR="00165111">
        <w:rPr>
          <w:color w:val="auto"/>
        </w:rPr>
        <w:t> </w:t>
      </w:r>
      <w:r w:rsidR="00C82124" w:rsidRPr="001978A0">
        <w:rPr>
          <w:color w:val="auto"/>
        </w:rPr>
        <w:t>2021.</w:t>
      </w:r>
    </w:p>
    <w:p w14:paraId="7CF38332" w14:textId="77777777" w:rsidR="00C82124" w:rsidRPr="009E2D99" w:rsidRDefault="00C82124" w:rsidP="003F0677">
      <w:pPr>
        <w:pStyle w:val="Heading3"/>
      </w:pPr>
      <w:bookmarkStart w:id="74" w:name="_Toc79999662"/>
      <w:bookmarkStart w:id="75" w:name="_Toc87014299"/>
      <w:r w:rsidRPr="009E2D99">
        <w:t>Policy background</w:t>
      </w:r>
      <w:bookmarkEnd w:id="74"/>
      <w:bookmarkEnd w:id="75"/>
    </w:p>
    <w:p w14:paraId="24FD20E8" w14:textId="3C8CC16A" w:rsidR="00C82124" w:rsidRPr="001978A0" w:rsidRDefault="00C82124" w:rsidP="00C82124">
      <w:pPr>
        <w:rPr>
          <w:color w:val="auto"/>
        </w:rPr>
      </w:pPr>
      <w:r w:rsidRPr="001978A0">
        <w:rPr>
          <w:color w:val="auto"/>
        </w:rPr>
        <w:t xml:space="preserve">Foreign investment contributes to the prosperity of businesses, communities and the overall economy. </w:t>
      </w:r>
      <w:r w:rsidR="0032605D">
        <w:t xml:space="preserve">Australia is an attractive destination for foreign investment due to </w:t>
      </w:r>
      <w:r w:rsidR="00344A91">
        <w:t xml:space="preserve">its </w:t>
      </w:r>
      <w:r w:rsidR="00533879">
        <w:t xml:space="preserve">open economy and stable policy settings. </w:t>
      </w:r>
      <w:r w:rsidRPr="00CE2FB6">
        <w:t xml:space="preserve">As a </w:t>
      </w:r>
      <w:r w:rsidR="00533879">
        <w:t>medium</w:t>
      </w:r>
      <w:r w:rsidR="003E7C79">
        <w:t>–</w:t>
      </w:r>
      <w:r w:rsidR="005C707B">
        <w:t>sized</w:t>
      </w:r>
      <w:r w:rsidRPr="001978A0">
        <w:rPr>
          <w:color w:val="auto"/>
        </w:rPr>
        <w:t xml:space="preserve"> economy, Australia has relied on foreign investment as an additional source of capital for much of its history. By supplementing Australia</w:t>
      </w:r>
      <w:r w:rsidR="00065800">
        <w:rPr>
          <w:color w:val="auto"/>
        </w:rPr>
        <w:t>’</w:t>
      </w:r>
      <w:r w:rsidRPr="001978A0">
        <w:rPr>
          <w:color w:val="auto"/>
        </w:rPr>
        <w:t xml:space="preserve">s domestic savings, foreign investment facilitates greater economic investment in Australia than would otherwise be sustainable. </w:t>
      </w:r>
      <w:r w:rsidR="00AF6A2D">
        <w:t>I</w:t>
      </w:r>
      <w:r w:rsidRPr="001978A0">
        <w:rPr>
          <w:color w:val="auto"/>
        </w:rPr>
        <w:t>t promotes healthy competition among Australia</w:t>
      </w:r>
      <w:r w:rsidR="00065800">
        <w:rPr>
          <w:color w:val="auto"/>
        </w:rPr>
        <w:t>’</w:t>
      </w:r>
      <w:r w:rsidRPr="001978A0">
        <w:rPr>
          <w:color w:val="auto"/>
        </w:rPr>
        <w:t xml:space="preserve">s industries, thereby supporting greater innovation and productivity. It also creates skilled jobs, improves access to overseas markets, enhances </w:t>
      </w:r>
      <w:r w:rsidR="004776B5">
        <w:t>overall export performance</w:t>
      </w:r>
      <w:r w:rsidRPr="001978A0">
        <w:rPr>
          <w:color w:val="auto"/>
        </w:rPr>
        <w:t xml:space="preserve"> and increases income. </w:t>
      </w:r>
    </w:p>
    <w:p w14:paraId="1DE434FB" w14:textId="2ADACF5F" w:rsidR="00C82124" w:rsidRPr="001978A0" w:rsidRDefault="00C82124" w:rsidP="00C82124">
      <w:pPr>
        <w:rPr>
          <w:color w:val="auto"/>
        </w:rPr>
      </w:pPr>
      <w:r w:rsidRPr="001978A0">
        <w:rPr>
          <w:color w:val="auto"/>
        </w:rPr>
        <w:t xml:space="preserve">Australia remains an attractive destination for foreign investment. This is reflected in foreign direct investment (FDI) inflows, which in the three years to 2020 averaged </w:t>
      </w:r>
      <w:r w:rsidR="00595868">
        <w:rPr>
          <w:color w:val="auto"/>
        </w:rPr>
        <w:t>2</w:t>
      </w:r>
      <w:r w:rsidRPr="001978A0">
        <w:rPr>
          <w:color w:val="auto"/>
        </w:rPr>
        <w:t>.</w:t>
      </w:r>
      <w:r w:rsidR="00595868">
        <w:rPr>
          <w:color w:val="auto"/>
        </w:rPr>
        <w:t>9</w:t>
      </w:r>
      <w:r w:rsidRPr="001978A0">
        <w:rPr>
          <w:color w:val="auto"/>
        </w:rPr>
        <w:t> per cent of gross domestic product (GDP)</w:t>
      </w:r>
      <w:r w:rsidR="00065800">
        <w:rPr>
          <w:color w:val="auto"/>
        </w:rPr>
        <w:t xml:space="preserve"> – </w:t>
      </w:r>
      <w:r w:rsidRPr="001978A0">
        <w:rPr>
          <w:color w:val="auto"/>
        </w:rPr>
        <w:t>compared with 1.</w:t>
      </w:r>
      <w:r w:rsidR="00830754">
        <w:rPr>
          <w:color w:val="auto"/>
        </w:rPr>
        <w:t>2</w:t>
      </w:r>
      <w:r w:rsidRPr="001978A0">
        <w:rPr>
          <w:color w:val="auto"/>
        </w:rPr>
        <w:t> per cent of GDP for the OECD and 1.3 per cent of GDP for the G20. Australia</w:t>
      </w:r>
      <w:r w:rsidR="00065800">
        <w:rPr>
          <w:color w:val="auto"/>
        </w:rPr>
        <w:t>’</w:t>
      </w:r>
      <w:r w:rsidRPr="001978A0">
        <w:rPr>
          <w:color w:val="auto"/>
        </w:rPr>
        <w:t xml:space="preserve">s inward stock of FDI totalled $1,026.6 billion as </w:t>
      </w:r>
      <w:proofErr w:type="gramStart"/>
      <w:r w:rsidRPr="001978A0">
        <w:rPr>
          <w:color w:val="auto"/>
        </w:rPr>
        <w:t>at</w:t>
      </w:r>
      <w:proofErr w:type="gramEnd"/>
      <w:r w:rsidRPr="001978A0">
        <w:rPr>
          <w:color w:val="auto"/>
        </w:rPr>
        <w:t xml:space="preserve"> 31 December 2020, a 2.5 per cent increase from 12 months earlier. </w:t>
      </w:r>
    </w:p>
    <w:p w14:paraId="56D14CB6" w14:textId="01EE3020" w:rsidR="00C82124" w:rsidRPr="001978A0" w:rsidRDefault="00C82124" w:rsidP="00C82124">
      <w:pPr>
        <w:rPr>
          <w:color w:val="auto"/>
        </w:rPr>
      </w:pPr>
      <w:r w:rsidRPr="001978A0">
        <w:rPr>
          <w:color w:val="auto"/>
        </w:rPr>
        <w:t>While foreign investment delivers significant economic benefits to Australia, successive governments have recognised that foreign investments must be in the national interest. The framework has aimed to balance these objectives since its introduction in the early 1970s.</w:t>
      </w:r>
    </w:p>
    <w:p w14:paraId="3678BF8E" w14:textId="75F664EC" w:rsidR="00C82124" w:rsidRPr="009E2D99" w:rsidRDefault="004B3EEA" w:rsidP="003F0677">
      <w:pPr>
        <w:pStyle w:val="Heading3"/>
      </w:pPr>
      <w:bookmarkStart w:id="76" w:name="_Toc87014300"/>
      <w:r w:rsidRPr="009E2D99">
        <w:t>The foreign investment framework</w:t>
      </w:r>
      <w:bookmarkEnd w:id="76"/>
    </w:p>
    <w:p w14:paraId="0B4AB657" w14:textId="119B6BB0" w:rsidR="004776B5" w:rsidRPr="00CE2FB6" w:rsidRDefault="004776B5" w:rsidP="004776B5">
      <w:r>
        <w:t>T</w:t>
      </w:r>
      <w:r w:rsidR="00C82124" w:rsidRPr="00CE2FB6">
        <w:t xml:space="preserve">he framework allows the Government to consider the national interest while ensuring Australia remains an attractive </w:t>
      </w:r>
      <w:r w:rsidR="00BA6960">
        <w:t xml:space="preserve">investment </w:t>
      </w:r>
      <w:r>
        <w:t>destination</w:t>
      </w:r>
      <w:r w:rsidR="00C82124" w:rsidRPr="00CE2FB6">
        <w:t xml:space="preserve"> to</w:t>
      </w:r>
      <w:r w:rsidR="001943AB">
        <w:t xml:space="preserve"> </w:t>
      </w:r>
      <w:r w:rsidR="00B562B8">
        <w:t>support Australia</w:t>
      </w:r>
      <w:r w:rsidR="00065800">
        <w:t>’</w:t>
      </w:r>
      <w:r w:rsidR="00B562B8">
        <w:t>s economic development</w:t>
      </w:r>
      <w:r w:rsidR="00C82124" w:rsidRPr="00CE2FB6">
        <w:t xml:space="preserve">. </w:t>
      </w:r>
      <w:r w:rsidRPr="00CE2FB6" w:rsidDel="00B562B8">
        <w:t xml:space="preserve">The </w:t>
      </w:r>
      <w:r w:rsidR="00BA6960">
        <w:t>f</w:t>
      </w:r>
      <w:r w:rsidR="00B562B8">
        <w:t>ramework</w:t>
      </w:r>
      <w:r w:rsidRPr="00CE2FB6">
        <w:t xml:space="preserve"> helps to instil public confidence </w:t>
      </w:r>
      <w:r w:rsidR="00B562B8">
        <w:t xml:space="preserve">in foreign investment </w:t>
      </w:r>
      <w:r w:rsidR="00BA6960">
        <w:t>that is required to maintain</w:t>
      </w:r>
      <w:r w:rsidRPr="00CE2FB6">
        <w:t xml:space="preserve"> Australia</w:t>
      </w:r>
      <w:r w:rsidR="00065800">
        <w:t>’</w:t>
      </w:r>
      <w:r w:rsidRPr="00CE2FB6">
        <w:t>s open policy settings</w:t>
      </w:r>
      <w:r w:rsidRPr="00CE2FB6" w:rsidDel="00B562B8">
        <w:t>.</w:t>
      </w:r>
    </w:p>
    <w:p w14:paraId="51597178" w14:textId="4B90E1A0" w:rsidR="00C82124" w:rsidRPr="00CE2FB6" w:rsidRDefault="00C82124" w:rsidP="00C82124">
      <w:r w:rsidRPr="00CE2FB6">
        <w:t xml:space="preserve">Since its introduction, the framework has operated as a </w:t>
      </w:r>
      <w:r w:rsidR="00065800">
        <w:t>‘</w:t>
      </w:r>
      <w:r w:rsidRPr="00CE2FB6">
        <w:t>negative test</w:t>
      </w:r>
      <w:r w:rsidR="00065800">
        <w:t>’</w:t>
      </w:r>
      <w:r w:rsidRPr="00CE2FB6">
        <w:t xml:space="preserve">, </w:t>
      </w:r>
      <w:r w:rsidR="004776B5">
        <w:t>allowing</w:t>
      </w:r>
      <w:r w:rsidRPr="00CE2FB6">
        <w:t xml:space="preserve"> proposed investments to proceed unless found to be contrary to the national interest. National interest considerations are assessed on a case</w:t>
      </w:r>
      <w:r w:rsidR="003E7C79">
        <w:t>–</w:t>
      </w:r>
      <w:r w:rsidRPr="00CE2FB6">
        <w:t>by</w:t>
      </w:r>
      <w:r w:rsidR="003E7C79">
        <w:t>–</w:t>
      </w:r>
      <w:r w:rsidRPr="00CE2FB6">
        <w:t>case basis. From 1 January</w:t>
      </w:r>
      <w:r w:rsidR="00165111">
        <w:t> </w:t>
      </w:r>
      <w:r w:rsidRPr="00CE2FB6">
        <w:t>2021, this system was supplemented by a new test which enables the assessment on national security grounds of certain proposed investments that give rise to national security concerns.</w:t>
      </w:r>
    </w:p>
    <w:p w14:paraId="3E9E591E" w14:textId="77777777" w:rsidR="00C82124" w:rsidRPr="009E2D99" w:rsidRDefault="00C82124" w:rsidP="003F0677">
      <w:pPr>
        <w:pStyle w:val="Heading3"/>
      </w:pPr>
      <w:bookmarkStart w:id="77" w:name="_Toc79999663"/>
      <w:bookmarkStart w:id="78" w:name="_Toc87014301"/>
      <w:r w:rsidRPr="009E2D99">
        <w:lastRenderedPageBreak/>
        <w:t>The changing foreign investment landscape</w:t>
      </w:r>
      <w:bookmarkEnd w:id="77"/>
      <w:bookmarkEnd w:id="78"/>
    </w:p>
    <w:p w14:paraId="5BCDB66E" w14:textId="41FF3C42" w:rsidR="00C82124" w:rsidRDefault="00C82124" w:rsidP="00C82124">
      <w:pPr>
        <w:rPr>
          <w:color w:val="auto"/>
        </w:rPr>
      </w:pPr>
      <w:r w:rsidRPr="004503F1">
        <w:rPr>
          <w:color w:val="auto"/>
        </w:rPr>
        <w:t>As noted in last year</w:t>
      </w:r>
      <w:r w:rsidR="00065800">
        <w:rPr>
          <w:color w:val="auto"/>
        </w:rPr>
        <w:t>’</w:t>
      </w:r>
      <w:r w:rsidRPr="004503F1">
        <w:rPr>
          <w:color w:val="auto"/>
        </w:rPr>
        <w:t>s report, risks to Australia</w:t>
      </w:r>
      <w:r w:rsidR="00065800">
        <w:rPr>
          <w:color w:val="auto"/>
        </w:rPr>
        <w:t>’</w:t>
      </w:r>
      <w:r w:rsidRPr="004503F1">
        <w:rPr>
          <w:color w:val="auto"/>
        </w:rPr>
        <w:t xml:space="preserve">s national interest, particularly national security, have increased in recent years due to global developments, including rapid technological advances and changes in the international security environment. Across the world, there has been growing recognition of the evolving risks associated with foreign investment. In </w:t>
      </w:r>
      <w:r w:rsidR="00890183">
        <w:rPr>
          <w:color w:val="auto"/>
        </w:rPr>
        <w:t>response</w:t>
      </w:r>
      <w:r w:rsidRPr="004503F1">
        <w:rPr>
          <w:color w:val="auto"/>
        </w:rPr>
        <w:t xml:space="preserve">, </w:t>
      </w:r>
      <w:proofErr w:type="gramStart"/>
      <w:r w:rsidRPr="004503F1">
        <w:rPr>
          <w:color w:val="auto"/>
        </w:rPr>
        <w:t>a number of</w:t>
      </w:r>
      <w:proofErr w:type="gramEnd"/>
      <w:r w:rsidRPr="004503F1">
        <w:rPr>
          <w:color w:val="auto"/>
        </w:rPr>
        <w:t xml:space="preserve"> countries have enhanced their foreign investment screening frameworks, including Canada, France, Germany, Japan, China, Russia, India, New</w:t>
      </w:r>
      <w:r w:rsidR="00165111">
        <w:rPr>
          <w:color w:val="auto"/>
        </w:rPr>
        <w:t> </w:t>
      </w:r>
      <w:r w:rsidRPr="004503F1">
        <w:rPr>
          <w:color w:val="auto"/>
        </w:rPr>
        <w:t>Zealand, the United</w:t>
      </w:r>
      <w:r w:rsidR="00165111">
        <w:rPr>
          <w:color w:val="auto"/>
        </w:rPr>
        <w:t> </w:t>
      </w:r>
      <w:r w:rsidRPr="004503F1">
        <w:rPr>
          <w:color w:val="auto"/>
        </w:rPr>
        <w:t>Kingdom and the United</w:t>
      </w:r>
      <w:r w:rsidR="00165111">
        <w:rPr>
          <w:color w:val="auto"/>
        </w:rPr>
        <w:t> </w:t>
      </w:r>
      <w:r w:rsidRPr="004503F1">
        <w:rPr>
          <w:color w:val="auto"/>
        </w:rPr>
        <w:t xml:space="preserve">States. </w:t>
      </w:r>
      <w:r w:rsidR="00A1519F" w:rsidRPr="004503F1">
        <w:rPr>
          <w:color w:val="auto"/>
        </w:rPr>
        <w:t>As a result, 87</w:t>
      </w:r>
      <w:r w:rsidR="00165111">
        <w:rPr>
          <w:color w:val="auto"/>
        </w:rPr>
        <w:t> </w:t>
      </w:r>
      <w:r w:rsidR="00A1519F" w:rsidRPr="004503F1">
        <w:rPr>
          <w:color w:val="auto"/>
        </w:rPr>
        <w:t>per</w:t>
      </w:r>
      <w:r w:rsidR="00165111">
        <w:rPr>
          <w:color w:val="auto"/>
        </w:rPr>
        <w:t> </w:t>
      </w:r>
      <w:r w:rsidR="00A1519F" w:rsidRPr="004503F1">
        <w:rPr>
          <w:color w:val="auto"/>
        </w:rPr>
        <w:t>cent of OECD Member countries had foreign investment screening mechanisms in place by the end of the reporting period, compared to 79</w:t>
      </w:r>
      <w:r w:rsidR="00165111">
        <w:rPr>
          <w:color w:val="auto"/>
        </w:rPr>
        <w:t> </w:t>
      </w:r>
      <w:r w:rsidR="00A1519F" w:rsidRPr="004503F1">
        <w:rPr>
          <w:color w:val="auto"/>
        </w:rPr>
        <w:t>per</w:t>
      </w:r>
      <w:r w:rsidR="00165111">
        <w:rPr>
          <w:color w:val="auto"/>
        </w:rPr>
        <w:t> </w:t>
      </w:r>
      <w:r w:rsidR="00A1519F" w:rsidRPr="004503F1">
        <w:rPr>
          <w:color w:val="auto"/>
        </w:rPr>
        <w:t>cent of Member countries at the end of 2020 and just over 60</w:t>
      </w:r>
      <w:r w:rsidR="00165111">
        <w:rPr>
          <w:color w:val="auto"/>
        </w:rPr>
        <w:t> </w:t>
      </w:r>
      <w:r w:rsidR="00A1519F" w:rsidRPr="004503F1">
        <w:rPr>
          <w:color w:val="auto"/>
        </w:rPr>
        <w:t>per</w:t>
      </w:r>
      <w:r w:rsidR="00165111">
        <w:rPr>
          <w:color w:val="auto"/>
        </w:rPr>
        <w:t> </w:t>
      </w:r>
      <w:r w:rsidR="00A1519F" w:rsidRPr="004503F1">
        <w:rPr>
          <w:color w:val="auto"/>
        </w:rPr>
        <w:t>cent a decade ago.</w:t>
      </w:r>
    </w:p>
    <w:p w14:paraId="1E8AA378" w14:textId="77777777" w:rsidR="00FB6956" w:rsidRPr="009E2D99" w:rsidRDefault="00FB6956" w:rsidP="003F0677">
      <w:pPr>
        <w:pStyle w:val="Heading3"/>
      </w:pPr>
      <w:bookmarkStart w:id="79" w:name="_Toc79999664"/>
      <w:bookmarkStart w:id="80" w:name="_Toc87014302"/>
      <w:bookmarkStart w:id="81" w:name="_Toc89872882"/>
      <w:bookmarkStart w:id="82" w:name="_Toc89872929"/>
      <w:r>
        <w:t>The screening process for n</w:t>
      </w:r>
      <w:r w:rsidRPr="009E2D99">
        <w:t>ational security actions</w:t>
      </w:r>
    </w:p>
    <w:p w14:paraId="47ADF581" w14:textId="196542EC" w:rsidR="00FB6956" w:rsidRPr="00CE2FB6" w:rsidRDefault="00FB6956" w:rsidP="00FB6956">
      <w:r w:rsidRPr="00CE2FB6">
        <w:t>The foreign investment reforms introduced two new types of actions: notifiable national security actions (NNSA) and reviewable national security actions (RNSA). Of the 730</w:t>
      </w:r>
      <w:r>
        <w:t> non</w:t>
      </w:r>
      <w:r w:rsidR="00065800">
        <w:noBreakHyphen/>
      </w:r>
      <w:r>
        <w:t>residential</w:t>
      </w:r>
      <w:r w:rsidRPr="00CE2FB6">
        <w:t xml:space="preserve"> foreign investment applications received while the reforms were in effect during the reporting period (1</w:t>
      </w:r>
      <w:r>
        <w:t> </w:t>
      </w:r>
      <w:r w:rsidRPr="00CE2FB6">
        <w:t>January</w:t>
      </w:r>
      <w:r>
        <w:t> </w:t>
      </w:r>
      <w:r w:rsidRPr="00CE2FB6">
        <w:t>2021 to 30</w:t>
      </w:r>
      <w:r>
        <w:t> </w:t>
      </w:r>
      <w:r w:rsidRPr="00CE2FB6">
        <w:t>June</w:t>
      </w:r>
      <w:r>
        <w:t> </w:t>
      </w:r>
      <w:r w:rsidRPr="00CE2FB6">
        <w:t xml:space="preserve">2021), </w:t>
      </w:r>
      <w:r>
        <w:t>almost</w:t>
      </w:r>
      <w:r w:rsidRPr="00CE2FB6">
        <w:t xml:space="preserve"> 60</w:t>
      </w:r>
      <w:r>
        <w:t xml:space="preserve"> were</w:t>
      </w:r>
      <w:r w:rsidRPr="00CE2FB6">
        <w:t xml:space="preserve"> NNSA</w:t>
      </w:r>
      <w:r>
        <w:t>s</w:t>
      </w:r>
      <w:r w:rsidRPr="00CE2FB6">
        <w:t xml:space="preserve"> or RNSA</w:t>
      </w:r>
      <w:r>
        <w:t>s</w:t>
      </w:r>
      <w:r w:rsidRPr="00CE2FB6">
        <w:t xml:space="preserve"> </w:t>
      </w:r>
      <w:r>
        <w:t>that otherwise would not have been subject to government scrutiny</w:t>
      </w:r>
      <w:r w:rsidRPr="00CE2FB6">
        <w:t xml:space="preserve">. </w:t>
      </w:r>
    </w:p>
    <w:p w14:paraId="77B03791" w14:textId="612D8305" w:rsidR="00FB6956" w:rsidRPr="00CE2FB6" w:rsidRDefault="00FB6956" w:rsidP="00FB6956">
      <w:r>
        <w:t>While this is relatively small in the context of the total number of applications received during this period, it is still a material improvement in the Government</w:t>
      </w:r>
      <w:r w:rsidR="00065800">
        <w:t>’</w:t>
      </w:r>
      <w:r>
        <w:t>s ability to scrutinise potential national security risks to Australia. In this regard, 13 of these proposed investments had conditions applied to safeguard Australia</w:t>
      </w:r>
      <w:r w:rsidR="00065800">
        <w:t>’</w:t>
      </w:r>
      <w:r>
        <w:t>s national security.</w:t>
      </w:r>
      <w:r w:rsidRPr="00CE2FB6" w:rsidDel="008A4CE3">
        <w:t xml:space="preserve"> </w:t>
      </w:r>
    </w:p>
    <w:p w14:paraId="7DDC6E54" w14:textId="01EBFB96" w:rsidR="00C82124" w:rsidRPr="00717B61" w:rsidRDefault="00C82124" w:rsidP="003F0677">
      <w:pPr>
        <w:pStyle w:val="Heading2"/>
      </w:pPr>
      <w:r w:rsidRPr="00717B61">
        <w:t xml:space="preserve">Key developments in </w:t>
      </w:r>
      <w:r w:rsidR="00D76ED2">
        <w:t>2020</w:t>
      </w:r>
      <w:r w:rsidR="00D76ED2">
        <w:noBreakHyphen/>
        <w:t>21</w:t>
      </w:r>
      <w:bookmarkEnd w:id="79"/>
      <w:bookmarkEnd w:id="80"/>
      <w:bookmarkEnd w:id="81"/>
      <w:bookmarkEnd w:id="82"/>
    </w:p>
    <w:p w14:paraId="0C817A97" w14:textId="3409409A" w:rsidR="00C82124" w:rsidRPr="004503F1" w:rsidRDefault="00C82124" w:rsidP="003F0677">
      <w:pPr>
        <w:pStyle w:val="Heading3"/>
      </w:pPr>
      <w:r w:rsidRPr="004503F1">
        <w:t xml:space="preserve">The continued impact of </w:t>
      </w:r>
      <w:r w:rsidR="00776645">
        <w:t>COVID-19</w:t>
      </w:r>
    </w:p>
    <w:p w14:paraId="5E489FE3" w14:textId="39B0234C" w:rsidR="00C82124" w:rsidRPr="00CE2FB6" w:rsidRDefault="00C82124" w:rsidP="00C82124">
      <w:r w:rsidRPr="00CE2FB6">
        <w:t xml:space="preserve">At the beginning of the </w:t>
      </w:r>
      <w:r>
        <w:t>re</w:t>
      </w:r>
      <w:r w:rsidR="00890183">
        <w:t>porting</w:t>
      </w:r>
      <w:r>
        <w:t xml:space="preserve"> period</w:t>
      </w:r>
      <w:r w:rsidRPr="00CE2FB6">
        <w:t xml:space="preserve">, </w:t>
      </w:r>
      <w:r>
        <w:t>temporary a</w:t>
      </w:r>
      <w:r w:rsidRPr="00CE2FB6">
        <w:t>rrangements had been in place for three months</w:t>
      </w:r>
      <w:r>
        <w:t xml:space="preserve"> that</w:t>
      </w:r>
      <w:r w:rsidRPr="00CE2FB6">
        <w:t xml:space="preserve"> reduce</w:t>
      </w:r>
      <w:r>
        <w:t>d</w:t>
      </w:r>
      <w:r w:rsidRPr="00CE2FB6">
        <w:t xml:space="preserve"> all screening thresholds under the framework to zero dollars. </w:t>
      </w:r>
      <w:r w:rsidRPr="00CE2FB6" w:rsidDel="000C0AE2">
        <w:t>They were put in place to protect Australia</w:t>
      </w:r>
      <w:r w:rsidR="00065800">
        <w:t>’</w:t>
      </w:r>
      <w:r w:rsidRPr="00CE2FB6" w:rsidDel="000C0AE2">
        <w:t xml:space="preserve">s national interest while the Government managed the economic challenges arising from </w:t>
      </w:r>
      <w:r w:rsidR="00776645">
        <w:t>COVID-19</w:t>
      </w:r>
      <w:r w:rsidRPr="00CE2FB6">
        <w:t xml:space="preserve">. </w:t>
      </w:r>
    </w:p>
    <w:p w14:paraId="56241825" w14:textId="06323525" w:rsidR="00E97BBA" w:rsidRDefault="00C82124" w:rsidP="00C82124">
      <w:r w:rsidRPr="00CE2FB6">
        <w:t xml:space="preserve">To ensure awareness of the temporary </w:t>
      </w:r>
      <w:r w:rsidR="00890183">
        <w:t>arrangements</w:t>
      </w:r>
      <w:r w:rsidRPr="00CE2FB6">
        <w:t xml:space="preserve">, </w:t>
      </w:r>
      <w:r w:rsidR="00E97BBA">
        <w:t xml:space="preserve">the </w:t>
      </w:r>
      <w:r w:rsidRPr="00CE2FB6">
        <w:t xml:space="preserve">Board </w:t>
      </w:r>
      <w:r w:rsidR="00E97BBA">
        <w:t xml:space="preserve">and the Treasury </w:t>
      </w:r>
      <w:r w:rsidRPr="00CE2FB6">
        <w:t xml:space="preserve">engaged extensively with stakeholders, including foreign investors that may not have been previously exposed to </w:t>
      </w:r>
      <w:r w:rsidR="00687AEC">
        <w:t xml:space="preserve">the </w:t>
      </w:r>
      <w:r w:rsidRPr="00CE2FB6">
        <w:t>framework. Insights gained through these engagements led to a number of changes to the temporary arrangements prior to their removal on 1</w:t>
      </w:r>
      <w:r w:rsidR="003246F8">
        <w:t> </w:t>
      </w:r>
      <w:r w:rsidRPr="00CE2FB6">
        <w:t>January</w:t>
      </w:r>
      <w:r w:rsidR="003246F8">
        <w:t> </w:t>
      </w:r>
      <w:r w:rsidRPr="00CE2FB6">
        <w:t>2021.</w:t>
      </w:r>
    </w:p>
    <w:p w14:paraId="48764F08" w14:textId="6E750B9A" w:rsidR="00C82124" w:rsidRPr="00CE2FB6" w:rsidRDefault="00687AEC" w:rsidP="00C82124">
      <w:r>
        <w:t xml:space="preserve">During the temporary arrangements, </w:t>
      </w:r>
      <w:r w:rsidR="0037082F">
        <w:t xml:space="preserve">the Government provided </w:t>
      </w:r>
      <w:r>
        <w:t>additional support to investors proposing low</w:t>
      </w:r>
      <w:r w:rsidR="003E7C79">
        <w:t>–</w:t>
      </w:r>
      <w:r>
        <w:t>risk investments</w:t>
      </w:r>
      <w:r w:rsidR="008E351D">
        <w:t xml:space="preserve"> by expediting the approval process and allowing capital to be deployed quickly to Australian businesses and jobs in response to </w:t>
      </w:r>
      <w:r w:rsidR="00776645">
        <w:t>COVID-19</w:t>
      </w:r>
      <w:r w:rsidR="0037082F">
        <w:t xml:space="preserve">. </w:t>
      </w:r>
      <w:r w:rsidR="008E351D">
        <w:t>In July</w:t>
      </w:r>
      <w:r w:rsidR="003246F8">
        <w:t> </w:t>
      </w:r>
      <w:r w:rsidR="008E351D">
        <w:t>2020, the Government</w:t>
      </w:r>
      <w:r w:rsidR="0037082F">
        <w:t xml:space="preserve"> </w:t>
      </w:r>
      <w:r w:rsidR="008E351D">
        <w:t xml:space="preserve">introduced </w:t>
      </w:r>
      <w:r w:rsidR="0037082F">
        <w:t>three new types of streamlined exemption certificates (ECs)</w:t>
      </w:r>
      <w:r w:rsidR="00082AAF">
        <w:t>. This included</w:t>
      </w:r>
      <w:r w:rsidR="00C82124" w:rsidRPr="00CE2FB6">
        <w:t xml:space="preserve"> low</w:t>
      </w:r>
      <w:r w:rsidR="003E7C79">
        <w:t>–</w:t>
      </w:r>
      <w:r w:rsidR="00C82124" w:rsidRPr="00CE2FB6">
        <w:t xml:space="preserve">risk business </w:t>
      </w:r>
      <w:r w:rsidR="00CB1F62">
        <w:t xml:space="preserve">ECs </w:t>
      </w:r>
      <w:r w:rsidR="00C82124" w:rsidRPr="00CE2FB6">
        <w:t>(for investors acquiring small entities in non</w:t>
      </w:r>
      <w:r w:rsidR="003E7C79">
        <w:t>–</w:t>
      </w:r>
      <w:r w:rsidR="00C82124" w:rsidRPr="00CE2FB6">
        <w:t>sensitive sectors), low</w:t>
      </w:r>
      <w:r w:rsidR="003E7C79">
        <w:t>–</w:t>
      </w:r>
      <w:r w:rsidR="00C82124" w:rsidRPr="00CE2FB6">
        <w:t xml:space="preserve">risk commercial land </w:t>
      </w:r>
      <w:r w:rsidR="00CB1F62">
        <w:t>ECs</w:t>
      </w:r>
      <w:r w:rsidR="00BF51F4">
        <w:t xml:space="preserve"> </w:t>
      </w:r>
      <w:r w:rsidR="00C82124" w:rsidRPr="00CE2FB6">
        <w:t xml:space="preserve">(for investors acquiring small interests in developed commercial land or businesses renewing commercial leases) and restoration variations to existing </w:t>
      </w:r>
      <w:r w:rsidR="00CB1F62">
        <w:t xml:space="preserve">ECs </w:t>
      </w:r>
      <w:r w:rsidR="00C82124" w:rsidRPr="00CE2FB6">
        <w:t xml:space="preserve">(for investors to pursue their original, approved, investment strategies in light of the threshold </w:t>
      </w:r>
      <w:r w:rsidR="00C82124" w:rsidRPr="00CE2FB6">
        <w:lastRenderedPageBreak/>
        <w:t>changes).</w:t>
      </w:r>
      <w:r w:rsidR="00741505">
        <w:t xml:space="preserve"> </w:t>
      </w:r>
      <w:r w:rsidR="002172C3">
        <w:t>These ECs were issued to large retailers including those with national operations in restaurants, clothing retail and suppliers</w:t>
      </w:r>
      <w:r w:rsidR="00DB23BB">
        <w:t xml:space="preserve"> for </w:t>
      </w:r>
      <w:r w:rsidR="002172C3">
        <w:t>the construction industry.</w:t>
      </w:r>
    </w:p>
    <w:p w14:paraId="6B3E7878" w14:textId="61AC34AF" w:rsidR="00634C6F" w:rsidRPr="00634C6F" w:rsidRDefault="00634C6F" w:rsidP="00C82124">
      <w:r>
        <w:t xml:space="preserve">To reduce the regulatory burden for lease extensions, amendments were introduced to the </w:t>
      </w:r>
      <w:r>
        <w:rPr>
          <w:i/>
          <w:iCs/>
        </w:rPr>
        <w:t>Foreign Acquisitions and Takeovers Regulation 2015</w:t>
      </w:r>
      <w:r>
        <w:t xml:space="preserve"> in September 2020. This included reinstating normal monetary thresholds for the renewal or material variation of existing non</w:t>
      </w:r>
      <w:r w:rsidR="003F0677">
        <w:noBreakHyphen/>
      </w:r>
      <w:r>
        <w:t>sensitive leasehold interests in developed commercial land if the same investor held a substantially similar interest prior to the temporary arrangements.</w:t>
      </w:r>
      <w:r w:rsidRPr="00CE2FB6">
        <w:t xml:space="preserve"> </w:t>
      </w:r>
      <w:r>
        <w:t xml:space="preserve">This change aimed to help commercial landlords and their tenants maintain a mutually beneficial arrangement in the response to </w:t>
      </w:r>
      <w:r w:rsidR="00776645">
        <w:t>COVID-19</w:t>
      </w:r>
      <w:r>
        <w:t xml:space="preserve"> by not subjecting these types of commercial land interests at zero dollars.</w:t>
      </w:r>
    </w:p>
    <w:p w14:paraId="0B3A6DE5" w14:textId="67BBA102" w:rsidR="00A1519F" w:rsidRPr="00CE2FB6" w:rsidRDefault="00C82124" w:rsidP="00A1519F">
      <w:r w:rsidRPr="00CE2FB6">
        <w:t>The temporary zero dollar thresholds were removed on 1</w:t>
      </w:r>
      <w:r w:rsidR="003246F8">
        <w:t> </w:t>
      </w:r>
      <w:r w:rsidRPr="00CE2FB6">
        <w:t>January</w:t>
      </w:r>
      <w:r w:rsidR="003246F8">
        <w:t> </w:t>
      </w:r>
      <w:r w:rsidRPr="00CE2FB6">
        <w:t>2021. Whil</w:t>
      </w:r>
      <w:r>
        <w:t>e</w:t>
      </w:r>
      <w:r w:rsidRPr="00CE2FB6">
        <w:t xml:space="preserve"> the temporary arrangements enabled greater scrutiny of investments, </w:t>
      </w:r>
      <w:r>
        <w:t>i</w:t>
      </w:r>
      <w:r w:rsidRPr="00CE2FB6">
        <w:t>nflows into Australia remained robust, declining less than in other developed economies and supporting the country</w:t>
      </w:r>
      <w:r w:rsidR="00065800">
        <w:t>’</w:t>
      </w:r>
      <w:r w:rsidRPr="00CE2FB6">
        <w:t>s</w:t>
      </w:r>
      <w:r w:rsidR="00A1519F">
        <w:t xml:space="preserve"> </w:t>
      </w:r>
      <w:r w:rsidR="00A1519F" w:rsidRPr="00CE2FB6">
        <w:t>economic recovery.</w:t>
      </w:r>
      <w:r w:rsidR="00A1519F">
        <w:t xml:space="preserve"> D</w:t>
      </w:r>
      <w:r w:rsidR="00A1519F" w:rsidRPr="00E70CBE">
        <w:t xml:space="preserve">espite the significant health and economic challenges from </w:t>
      </w:r>
      <w:r w:rsidR="00776645">
        <w:t>COVID-19</w:t>
      </w:r>
      <w:r w:rsidR="00A1519F">
        <w:t xml:space="preserve">, the broader </w:t>
      </w:r>
      <w:r w:rsidR="00A91999">
        <w:t xml:space="preserve">Australian </w:t>
      </w:r>
      <w:r w:rsidR="00A1519F">
        <w:t>economy and budget position continued to be</w:t>
      </w:r>
      <w:r w:rsidR="00A1519F" w:rsidRPr="00E70CBE">
        <w:t xml:space="preserve"> </w:t>
      </w:r>
      <w:r w:rsidR="00BA6960">
        <w:t>strong</w:t>
      </w:r>
      <w:r w:rsidR="00A1519F">
        <w:t>. There were</w:t>
      </w:r>
      <w:r w:rsidR="00A1519F" w:rsidDel="00BA6960">
        <w:t xml:space="preserve"> </w:t>
      </w:r>
      <w:r w:rsidR="00A1519F">
        <w:t>no discernible</w:t>
      </w:r>
      <w:r w:rsidR="00A1519F" w:rsidRPr="00F056DC">
        <w:t xml:space="preserve"> proposed </w:t>
      </w:r>
      <w:r w:rsidR="00A1519F">
        <w:t>investments during the reporting period considered to be opportunistic and</w:t>
      </w:r>
      <w:r w:rsidR="00A1519F" w:rsidRPr="00F056DC">
        <w:t xml:space="preserve"> designed to take advantage of a</w:t>
      </w:r>
      <w:r w:rsidR="00A1519F">
        <w:t>n Australian</w:t>
      </w:r>
      <w:r w:rsidR="00A1519F" w:rsidRPr="00F056DC">
        <w:t xml:space="preserve"> business in financial distress.</w:t>
      </w:r>
      <w:r w:rsidR="00A1519F">
        <w:t xml:space="preserve"> </w:t>
      </w:r>
    </w:p>
    <w:p w14:paraId="512FE3BE" w14:textId="2417A4AF" w:rsidR="00C82124" w:rsidRPr="003F0677" w:rsidRDefault="00C82124" w:rsidP="003F0677">
      <w:pPr>
        <w:pStyle w:val="Heading3"/>
      </w:pPr>
      <w:bookmarkStart w:id="83" w:name="_Toc79999665"/>
      <w:bookmarkStart w:id="84" w:name="_Toc87014303"/>
      <w:bookmarkStart w:id="85" w:name="_Hlk88673066"/>
      <w:r w:rsidRPr="003F0677">
        <w:t xml:space="preserve">Development </w:t>
      </w:r>
      <w:r w:rsidR="003E0D43" w:rsidRPr="003F0677">
        <w:t xml:space="preserve">and implementation </w:t>
      </w:r>
      <w:r w:rsidRPr="003F0677">
        <w:t xml:space="preserve">of </w:t>
      </w:r>
      <w:r w:rsidR="003E0D43" w:rsidRPr="003F0677">
        <w:t xml:space="preserve">the </w:t>
      </w:r>
      <w:r w:rsidRPr="003F0677">
        <w:t>foreign investment framework</w:t>
      </w:r>
      <w:bookmarkEnd w:id="83"/>
      <w:bookmarkEnd w:id="84"/>
      <w:r w:rsidRPr="003F0677">
        <w:t xml:space="preserve"> </w:t>
      </w:r>
      <w:r w:rsidR="003E0D43" w:rsidRPr="003F0677">
        <w:t>reforms</w:t>
      </w:r>
    </w:p>
    <w:p w14:paraId="5218C31A" w14:textId="74370425" w:rsidR="000A4C1A" w:rsidRPr="00CE2FB6" w:rsidRDefault="000A4C1A" w:rsidP="000A4C1A">
      <w:r w:rsidRPr="00CE2FB6">
        <w:t>On</w:t>
      </w:r>
      <w:r w:rsidR="003246F8">
        <w:t xml:space="preserve"> </w:t>
      </w:r>
      <w:r w:rsidRPr="00CE2FB6">
        <w:t>5</w:t>
      </w:r>
      <w:r w:rsidR="003246F8">
        <w:t> </w:t>
      </w:r>
      <w:r w:rsidRPr="00CE2FB6">
        <w:t>June</w:t>
      </w:r>
      <w:r w:rsidR="003246F8">
        <w:t> </w:t>
      </w:r>
      <w:r w:rsidRPr="00CE2FB6">
        <w:t>2020, the Treasurer announced comprehensive reforms to the</w:t>
      </w:r>
      <w:r w:rsidRPr="00CE2FB6" w:rsidDel="00CE7250">
        <w:t xml:space="preserve"> </w:t>
      </w:r>
      <w:r w:rsidRPr="00CE2FB6">
        <w:t>framework to ensure Australia</w:t>
      </w:r>
      <w:r w:rsidR="00065800">
        <w:t>’</w:t>
      </w:r>
      <w:r w:rsidRPr="00CE2FB6">
        <w:t xml:space="preserve">s screening </w:t>
      </w:r>
      <w:r>
        <w:t>mechanisms</w:t>
      </w:r>
      <w:r w:rsidRPr="00CE2FB6">
        <w:t xml:space="preserve"> kept pace with </w:t>
      </w:r>
      <w:r>
        <w:t>the geo</w:t>
      </w:r>
      <w:r w:rsidR="003E7C79">
        <w:t>–</w:t>
      </w:r>
      <w:r>
        <w:t>strategic environment and rapid technological advancement</w:t>
      </w:r>
      <w:r w:rsidRPr="00CE2FB6">
        <w:t>. The reforms contained measures to update the framework across national security; compliance, monitoring and enforcement; integrity; fees; and investment in non</w:t>
      </w:r>
      <w:r w:rsidR="003E7C79">
        <w:t>–</w:t>
      </w:r>
      <w:r w:rsidRPr="00CE2FB6">
        <w:t>sensitive businesses. Accompanied by a new Register of Foreign Ownership of Australian Assets</w:t>
      </w:r>
      <w:r>
        <w:t xml:space="preserve"> (to consolidate the </w:t>
      </w:r>
      <w:r w:rsidRPr="00267341">
        <w:t>existing water entitlement, agricultural land and residential land registers</w:t>
      </w:r>
      <w:r>
        <w:t>)</w:t>
      </w:r>
      <w:r w:rsidRPr="00CE2FB6">
        <w:t>, the intent of the reforms was to improve the operation of the framework overall</w:t>
      </w:r>
      <w:r>
        <w:t xml:space="preserve"> and ensure it was effectively targeting foreign investments that could pose national interest and national security concerns</w:t>
      </w:r>
      <w:r w:rsidRPr="00CE2FB6">
        <w:t>.</w:t>
      </w:r>
    </w:p>
    <w:p w14:paraId="588A4C2C" w14:textId="0651C0AB" w:rsidR="000A4C1A" w:rsidRPr="00CE2FB6" w:rsidRDefault="000A4C1A" w:rsidP="000A4C1A">
      <w:r w:rsidRPr="00CE2FB6">
        <w:t xml:space="preserve">Feedback </w:t>
      </w:r>
      <w:r>
        <w:t xml:space="preserve">was </w:t>
      </w:r>
      <w:r w:rsidRPr="00CE2FB6">
        <w:t xml:space="preserve">collected </w:t>
      </w:r>
      <w:r>
        <w:t>via multiple forums, including online public information sessions and individual engagements with investor and industry groups,</w:t>
      </w:r>
      <w:r w:rsidRPr="00CE2FB6">
        <w:t xml:space="preserve"> le</w:t>
      </w:r>
      <w:r>
        <w:t>a</w:t>
      </w:r>
      <w:r w:rsidRPr="00CE2FB6">
        <w:t>d</w:t>
      </w:r>
      <w:r>
        <w:t>ing</w:t>
      </w:r>
      <w:r w:rsidRPr="00CE2FB6">
        <w:t xml:space="preserve"> to a number of adjustments to the </w:t>
      </w:r>
      <w:r w:rsidRPr="00D14588">
        <w:rPr>
          <w:i/>
        </w:rPr>
        <w:t>Foreign</w:t>
      </w:r>
      <w:r w:rsidR="003246F8">
        <w:rPr>
          <w:i/>
        </w:rPr>
        <w:t> </w:t>
      </w:r>
      <w:r w:rsidRPr="00D14588">
        <w:rPr>
          <w:i/>
        </w:rPr>
        <w:t>Investment</w:t>
      </w:r>
      <w:r w:rsidR="003246F8">
        <w:rPr>
          <w:i/>
        </w:rPr>
        <w:t> </w:t>
      </w:r>
      <w:r w:rsidRPr="00D14588">
        <w:rPr>
          <w:i/>
        </w:rPr>
        <w:t>Reform</w:t>
      </w:r>
      <w:r w:rsidR="003246F8">
        <w:rPr>
          <w:i/>
        </w:rPr>
        <w:t> </w:t>
      </w:r>
      <w:r w:rsidRPr="00D14588">
        <w:rPr>
          <w:i/>
        </w:rPr>
        <w:t>(Protecting</w:t>
      </w:r>
      <w:r w:rsidR="003246F8">
        <w:rPr>
          <w:i/>
        </w:rPr>
        <w:t> </w:t>
      </w:r>
      <w:r w:rsidRPr="00D14588">
        <w:rPr>
          <w:i/>
        </w:rPr>
        <w:t>Australia</w:t>
      </w:r>
      <w:r w:rsidR="00065800">
        <w:rPr>
          <w:i/>
        </w:rPr>
        <w:t>’</w:t>
      </w:r>
      <w:r w:rsidRPr="00D14588">
        <w:rPr>
          <w:i/>
        </w:rPr>
        <w:t>s</w:t>
      </w:r>
      <w:r w:rsidR="003246F8">
        <w:rPr>
          <w:i/>
        </w:rPr>
        <w:t> </w:t>
      </w:r>
      <w:r w:rsidRPr="00D14588">
        <w:rPr>
          <w:i/>
        </w:rPr>
        <w:t>National</w:t>
      </w:r>
      <w:r w:rsidR="003246F8">
        <w:rPr>
          <w:i/>
        </w:rPr>
        <w:t> </w:t>
      </w:r>
      <w:r w:rsidRPr="00D14588">
        <w:rPr>
          <w:i/>
        </w:rPr>
        <w:t>Security)</w:t>
      </w:r>
      <w:r w:rsidR="003246F8">
        <w:rPr>
          <w:i/>
        </w:rPr>
        <w:t> </w:t>
      </w:r>
      <w:r w:rsidRPr="00D14588">
        <w:rPr>
          <w:i/>
        </w:rPr>
        <w:t>Bill</w:t>
      </w:r>
      <w:r w:rsidR="003246F8">
        <w:rPr>
          <w:i/>
        </w:rPr>
        <w:t> </w:t>
      </w:r>
      <w:r w:rsidRPr="00D14588">
        <w:rPr>
          <w:i/>
        </w:rPr>
        <w:t>2020</w:t>
      </w:r>
      <w:r w:rsidRPr="00CE2FB6">
        <w:t xml:space="preserve"> and the </w:t>
      </w:r>
      <w:r w:rsidRPr="00D14588">
        <w:rPr>
          <w:i/>
        </w:rPr>
        <w:t>Foreign</w:t>
      </w:r>
      <w:r w:rsidR="003246F8">
        <w:rPr>
          <w:i/>
        </w:rPr>
        <w:t> </w:t>
      </w:r>
      <w:r w:rsidRPr="00D14588">
        <w:rPr>
          <w:i/>
        </w:rPr>
        <w:t>Acquisitions</w:t>
      </w:r>
      <w:r w:rsidR="003246F8">
        <w:rPr>
          <w:i/>
        </w:rPr>
        <w:t> </w:t>
      </w:r>
      <w:r w:rsidRPr="00D14588">
        <w:rPr>
          <w:i/>
        </w:rPr>
        <w:t>and</w:t>
      </w:r>
      <w:r w:rsidR="003246F8">
        <w:rPr>
          <w:i/>
        </w:rPr>
        <w:t> </w:t>
      </w:r>
      <w:r w:rsidRPr="00D14588">
        <w:rPr>
          <w:i/>
        </w:rPr>
        <w:t>Takeovers</w:t>
      </w:r>
      <w:r w:rsidR="003246F8">
        <w:rPr>
          <w:i/>
        </w:rPr>
        <w:t> </w:t>
      </w:r>
      <w:r w:rsidRPr="00D14588">
        <w:rPr>
          <w:i/>
        </w:rPr>
        <w:t>Fees</w:t>
      </w:r>
      <w:r w:rsidR="003246F8">
        <w:rPr>
          <w:i/>
        </w:rPr>
        <w:t> </w:t>
      </w:r>
      <w:r w:rsidRPr="00D14588">
        <w:rPr>
          <w:i/>
        </w:rPr>
        <w:t>Imposition</w:t>
      </w:r>
      <w:r w:rsidR="003246F8">
        <w:rPr>
          <w:i/>
        </w:rPr>
        <w:t> </w:t>
      </w:r>
      <w:r w:rsidRPr="00D14588">
        <w:rPr>
          <w:i/>
        </w:rPr>
        <w:t>Amendment</w:t>
      </w:r>
      <w:r w:rsidR="003246F8">
        <w:rPr>
          <w:i/>
        </w:rPr>
        <w:t> </w:t>
      </w:r>
      <w:r w:rsidRPr="00D14588">
        <w:rPr>
          <w:i/>
        </w:rPr>
        <w:t>Bill</w:t>
      </w:r>
      <w:r w:rsidR="003246F8">
        <w:rPr>
          <w:i/>
        </w:rPr>
        <w:t> </w:t>
      </w:r>
      <w:r w:rsidRPr="00D14588">
        <w:rPr>
          <w:i/>
        </w:rPr>
        <w:t>2020</w:t>
      </w:r>
      <w:r w:rsidRPr="00CE2FB6">
        <w:t xml:space="preserve"> ahead of their introduction into Parliament on 28</w:t>
      </w:r>
      <w:r w:rsidR="003246F8">
        <w:t> </w:t>
      </w:r>
      <w:r w:rsidRPr="00CE2FB6">
        <w:t>October</w:t>
      </w:r>
      <w:r w:rsidR="003246F8">
        <w:t> </w:t>
      </w:r>
      <w:r w:rsidRPr="00CE2FB6">
        <w:t>2020. The legislation incorporating these changes was referred to the Senate Economics Legislation Committee for inquiry and report by 26</w:t>
      </w:r>
      <w:r w:rsidR="003246F8">
        <w:t> </w:t>
      </w:r>
      <w:r w:rsidRPr="00CE2FB6">
        <w:t>November</w:t>
      </w:r>
      <w:r w:rsidR="003246F8">
        <w:t> </w:t>
      </w:r>
      <w:r w:rsidRPr="00CE2FB6">
        <w:t>2020.</w:t>
      </w:r>
    </w:p>
    <w:p w14:paraId="26554D98" w14:textId="0F814180" w:rsidR="000A4C1A" w:rsidRPr="00CE2FB6" w:rsidRDefault="000A4C1A" w:rsidP="000A4C1A">
      <w:r w:rsidRPr="00CE2FB6">
        <w:t>To support the</w:t>
      </w:r>
      <w:r w:rsidRPr="00CE2FB6" w:rsidDel="0000393A">
        <w:t xml:space="preserve"> </w:t>
      </w:r>
      <w:r w:rsidRPr="00CE2FB6">
        <w:t xml:space="preserve">reforms, the </w:t>
      </w:r>
      <w:r w:rsidR="00D76ED2">
        <w:t>2020</w:t>
      </w:r>
      <w:r w:rsidR="00D76ED2">
        <w:noBreakHyphen/>
        <w:t>21</w:t>
      </w:r>
      <w:r w:rsidRPr="00CE2FB6">
        <w:t xml:space="preserve"> Budget measure </w:t>
      </w:r>
      <w:r w:rsidRPr="00CE2FB6">
        <w:rPr>
          <w:i/>
          <w:iCs/>
        </w:rPr>
        <w:t>Strengthening Australia</w:t>
      </w:r>
      <w:r w:rsidR="00065800">
        <w:rPr>
          <w:i/>
          <w:iCs/>
        </w:rPr>
        <w:t>’</w:t>
      </w:r>
      <w:r w:rsidRPr="00CE2FB6">
        <w:rPr>
          <w:i/>
          <w:iCs/>
        </w:rPr>
        <w:t>s Foreign Investment Framework</w:t>
      </w:r>
      <w:r w:rsidRPr="00CE2FB6">
        <w:t xml:space="preserve"> provided $86.3</w:t>
      </w:r>
      <w:r w:rsidR="000F3649">
        <w:t> </w:t>
      </w:r>
      <w:r w:rsidRPr="00CE2FB6">
        <w:t xml:space="preserve">million over four years </w:t>
      </w:r>
      <w:r>
        <w:t>(starting</w:t>
      </w:r>
      <w:r w:rsidRPr="00CE2FB6">
        <w:t xml:space="preserve"> </w:t>
      </w:r>
      <w:r w:rsidR="00D76ED2">
        <w:t>2020</w:t>
      </w:r>
      <w:r w:rsidR="00D76ED2">
        <w:noBreakHyphen/>
        <w:t>21</w:t>
      </w:r>
      <w:r>
        <w:t>)</w:t>
      </w:r>
      <w:r w:rsidRPr="00CE2FB6">
        <w:t xml:space="preserve"> to implement the new </w:t>
      </w:r>
      <w:r>
        <w:t>foreign ownership</w:t>
      </w:r>
      <w:r w:rsidRPr="00CE2FB6">
        <w:t xml:space="preserve"> register and upgrade </w:t>
      </w:r>
      <w:r>
        <w:t xml:space="preserve">the </w:t>
      </w:r>
      <w:r w:rsidRPr="00CE2FB6">
        <w:t>Treasury</w:t>
      </w:r>
      <w:r w:rsidR="00065800">
        <w:t>’</w:t>
      </w:r>
      <w:r w:rsidRPr="00CE2FB6">
        <w:t>s foreign investment case management system. This was in addition to the $62.8</w:t>
      </w:r>
      <w:r w:rsidR="000F3649">
        <w:t> </w:t>
      </w:r>
      <w:r w:rsidRPr="00CE2FB6">
        <w:t>million provided over four years from 2020</w:t>
      </w:r>
      <w:r w:rsidR="00065800">
        <w:noBreakHyphen/>
      </w:r>
      <w:r w:rsidRPr="00CE2FB6">
        <w:t xml:space="preserve">21 for the July 2020 Economic and Fiscal Update measure </w:t>
      </w:r>
      <w:r w:rsidRPr="00CE2FB6">
        <w:rPr>
          <w:i/>
          <w:iCs/>
        </w:rPr>
        <w:t>Reforming Australia</w:t>
      </w:r>
      <w:r w:rsidR="00065800">
        <w:rPr>
          <w:i/>
          <w:iCs/>
        </w:rPr>
        <w:t>’</w:t>
      </w:r>
      <w:r w:rsidRPr="00CE2FB6">
        <w:rPr>
          <w:i/>
          <w:iCs/>
        </w:rPr>
        <w:t>s Foreign Investment Framework</w:t>
      </w:r>
      <w:r w:rsidRPr="00CE2FB6">
        <w:t>.</w:t>
      </w:r>
    </w:p>
    <w:p w14:paraId="440A0208" w14:textId="53C7C1F4" w:rsidR="00C82124" w:rsidRPr="00CE2FB6" w:rsidRDefault="000A4C1A" w:rsidP="00C82124">
      <w:r w:rsidRPr="00CE2FB6">
        <w:lastRenderedPageBreak/>
        <w:t>The reforms were passed by the Parliament on 9</w:t>
      </w:r>
      <w:r w:rsidR="000F3649">
        <w:t> </w:t>
      </w:r>
      <w:r w:rsidRPr="00CE2FB6">
        <w:t>December</w:t>
      </w:r>
      <w:r w:rsidR="000F3649">
        <w:t> </w:t>
      </w:r>
      <w:r w:rsidRPr="00CE2FB6">
        <w:t>2020 and commenced on 1 January 2021.</w:t>
      </w:r>
      <w:bookmarkEnd w:id="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8EB"/>
        <w:tblCellMar>
          <w:top w:w="284" w:type="dxa"/>
          <w:left w:w="284" w:type="dxa"/>
          <w:bottom w:w="284" w:type="dxa"/>
          <w:right w:w="284" w:type="dxa"/>
        </w:tblCellMar>
        <w:tblLook w:val="04A0" w:firstRow="1" w:lastRow="0" w:firstColumn="1" w:lastColumn="0" w:noHBand="0" w:noVBand="1"/>
      </w:tblPr>
      <w:tblGrid>
        <w:gridCol w:w="7664"/>
      </w:tblGrid>
      <w:tr w:rsidR="003F0677" w:rsidRPr="003F0677" w14:paraId="653D2240" w14:textId="77777777" w:rsidTr="003F0677">
        <w:trPr>
          <w:trHeight w:val="721"/>
        </w:trPr>
        <w:tc>
          <w:tcPr>
            <w:tcW w:w="7664" w:type="dxa"/>
            <w:shd w:val="clear" w:color="auto" w:fill="E1E8EB"/>
            <w:tcMar>
              <w:top w:w="284" w:type="dxa"/>
              <w:left w:w="284" w:type="dxa"/>
              <w:bottom w:w="284" w:type="dxa"/>
              <w:right w:w="284" w:type="dxa"/>
            </w:tcMar>
          </w:tcPr>
          <w:p w14:paraId="4EFCB9C8" w14:textId="7F662742" w:rsidR="00C82124" w:rsidRPr="003F0677" w:rsidRDefault="00C82124" w:rsidP="003F0677">
            <w:pPr>
              <w:pStyle w:val="BoxHeading"/>
            </w:pPr>
            <w:bookmarkStart w:id="86" w:name="_Toc78898811"/>
            <w:bookmarkStart w:id="87" w:name="_Toc33521371"/>
            <w:r w:rsidRPr="003F0677">
              <w:t xml:space="preserve">Box </w:t>
            </w:r>
            <w:r w:rsidR="00207AD1" w:rsidRPr="003F0677">
              <w:t>1</w:t>
            </w:r>
            <w:r w:rsidRPr="003F0677">
              <w:t>: Preparation for the commencement of the reforms</w:t>
            </w:r>
            <w:bookmarkEnd w:id="86"/>
          </w:p>
          <w:p w14:paraId="5070156E" w14:textId="211025A5" w:rsidR="00C82124" w:rsidRPr="003F0677" w:rsidRDefault="00C82124" w:rsidP="003314BA">
            <w:pPr>
              <w:rPr>
                <w:color w:val="auto"/>
              </w:rPr>
            </w:pPr>
            <w:r w:rsidRPr="003F0677">
              <w:rPr>
                <w:color w:val="auto"/>
              </w:rPr>
              <w:t>As part of implementing the reforms to the framework, the Treasury updated public guidance on the Board</w:t>
            </w:r>
            <w:r w:rsidR="00065800" w:rsidRPr="003F0677">
              <w:rPr>
                <w:color w:val="auto"/>
              </w:rPr>
              <w:t>’</w:t>
            </w:r>
            <w:r w:rsidRPr="003F0677">
              <w:rPr>
                <w:color w:val="auto"/>
              </w:rPr>
              <w:t>s website prior to 1</w:t>
            </w:r>
            <w:r w:rsidR="000F3649" w:rsidRPr="003F0677">
              <w:rPr>
                <w:color w:val="auto"/>
              </w:rPr>
              <w:t> </w:t>
            </w:r>
            <w:r w:rsidRPr="003F0677">
              <w:rPr>
                <w:color w:val="auto"/>
              </w:rPr>
              <w:t>January</w:t>
            </w:r>
            <w:r w:rsidR="000F3649" w:rsidRPr="003F0677">
              <w:rPr>
                <w:color w:val="auto"/>
              </w:rPr>
              <w:t> </w:t>
            </w:r>
            <w:r w:rsidRPr="003F0677">
              <w:rPr>
                <w:color w:val="auto"/>
              </w:rPr>
              <w:t xml:space="preserve">2021 to help investors navigate the new changes and understand the processing arrangements for new and existing </w:t>
            </w:r>
            <w:r w:rsidR="000F3649" w:rsidRPr="003F0677">
              <w:rPr>
                <w:color w:val="auto"/>
              </w:rPr>
              <w:t>proposals</w:t>
            </w:r>
            <w:r w:rsidRPr="003F0677">
              <w:rPr>
                <w:color w:val="auto"/>
              </w:rPr>
              <w:t>.</w:t>
            </w:r>
          </w:p>
          <w:p w14:paraId="76F30CC0" w14:textId="3F99F58F" w:rsidR="00C82124" w:rsidRPr="003F0677" w:rsidRDefault="00C82124" w:rsidP="003314BA">
            <w:pPr>
              <w:rPr>
                <w:color w:val="auto"/>
              </w:rPr>
            </w:pPr>
            <w:r w:rsidRPr="003F0677">
              <w:rPr>
                <w:color w:val="auto"/>
              </w:rPr>
              <w:t>As well as adding reform</w:t>
            </w:r>
            <w:r w:rsidR="003E7C79" w:rsidRPr="003F0677">
              <w:rPr>
                <w:color w:val="auto"/>
              </w:rPr>
              <w:t>–</w:t>
            </w:r>
            <w:r w:rsidRPr="003F0677">
              <w:rPr>
                <w:color w:val="auto"/>
              </w:rPr>
              <w:t>related content, the guidance material was consolidated into a more user</w:t>
            </w:r>
            <w:r w:rsidR="003E7C79" w:rsidRPr="003F0677">
              <w:rPr>
                <w:color w:val="auto"/>
              </w:rPr>
              <w:t>–</w:t>
            </w:r>
            <w:r w:rsidRPr="003F0677">
              <w:rPr>
                <w:color w:val="auto"/>
              </w:rPr>
              <w:t xml:space="preserve">friendly format, including by reducing the total number of Guidance Notes from 53 to 15. Among the 15 Guidance Notes was a new National Security Guidance Note. Developed in close consultation with national security agencies, it outlined the mandatory national security notification requirements and areas where voluntary notification is encouraged. A standalone </w:t>
            </w:r>
            <w:r w:rsidRPr="003F0677">
              <w:rPr>
                <w:i/>
                <w:iCs/>
                <w:color w:val="auto"/>
              </w:rPr>
              <w:t>Transition</w:t>
            </w:r>
            <w:r w:rsidRPr="003F0677">
              <w:rPr>
                <w:color w:val="auto"/>
              </w:rPr>
              <w:t xml:space="preserve"> </w:t>
            </w:r>
            <w:r w:rsidRPr="003F0677">
              <w:rPr>
                <w:i/>
                <w:color w:val="auto"/>
              </w:rPr>
              <w:t>Guidance Note</w:t>
            </w:r>
            <w:r w:rsidRPr="003F0677">
              <w:rPr>
                <w:color w:val="auto"/>
              </w:rPr>
              <w:t xml:space="preserve"> was also released to address investor questions about the transition from the pre</w:t>
            </w:r>
            <w:r w:rsidR="003E7C79" w:rsidRPr="003F0677">
              <w:rPr>
                <w:color w:val="auto"/>
              </w:rPr>
              <w:t>–</w:t>
            </w:r>
            <w:r w:rsidRPr="003F0677">
              <w:rPr>
                <w:color w:val="auto"/>
              </w:rPr>
              <w:t>reform system to the new</w:t>
            </w:r>
            <w:r w:rsidR="003F0677" w:rsidRPr="003F0677">
              <w:rPr>
                <w:color w:val="auto"/>
              </w:rPr>
              <w:t> </w:t>
            </w:r>
            <w:r w:rsidRPr="003F0677">
              <w:rPr>
                <w:color w:val="auto"/>
              </w:rPr>
              <w:t>regime.</w:t>
            </w:r>
          </w:p>
        </w:tc>
      </w:tr>
      <w:bookmarkEnd w:id="87"/>
    </w:tbl>
    <w:p w14:paraId="249038CA" w14:textId="1DCBB1FE" w:rsidR="00C82124" w:rsidRDefault="00C82124" w:rsidP="00D37764">
      <w:pPr>
        <w:pStyle w:val="Bullet"/>
        <w:numPr>
          <w:ilvl w:val="0"/>
          <w:numId w:val="0"/>
        </w:numPr>
        <w:spacing w:after="0" w:line="240" w:lineRule="auto"/>
        <w:jc w:val="left"/>
      </w:pPr>
    </w:p>
    <w:p w14:paraId="2A7829A1" w14:textId="77777777" w:rsidR="005B3FE3" w:rsidRPr="00CE2FB6" w:rsidRDefault="005B3FE3" w:rsidP="00D37764">
      <w:pPr>
        <w:pStyle w:val="Bullet"/>
        <w:numPr>
          <w:ilvl w:val="0"/>
          <w:numId w:val="0"/>
        </w:numPr>
        <w:spacing w:after="0" w:line="240" w:lineRule="auto"/>
        <w:jc w:val="left"/>
      </w:pPr>
    </w:p>
    <w:p w14:paraId="54D40F90" w14:textId="79A30319" w:rsidR="00C82124" w:rsidRPr="002F4C81" w:rsidRDefault="00C82124" w:rsidP="002F4C81">
      <w:pPr>
        <w:spacing w:after="0" w:line="240" w:lineRule="auto"/>
        <w:jc w:val="left"/>
      </w:pPr>
      <w:r w:rsidRPr="00CE2FB6">
        <w:rPr>
          <w:rFonts w:eastAsia="Calibri"/>
          <w:noProof/>
        </w:rPr>
        <w:lastRenderedPageBreak/>
        <mc:AlternateContent>
          <mc:Choice Requires="wps">
            <w:drawing>
              <wp:inline distT="0" distB="0" distL="0" distR="0" wp14:anchorId="2EECB96D" wp14:editId="602ACF94">
                <wp:extent cx="4895850" cy="4245996"/>
                <wp:effectExtent l="0" t="0" r="0" b="2540"/>
                <wp:docPr id="20" name="Snip and Round Single Corner Rectangle 1"/>
                <wp:cNvGraphicFramePr/>
                <a:graphic xmlns:a="http://schemas.openxmlformats.org/drawingml/2006/main">
                  <a:graphicData uri="http://schemas.microsoft.com/office/word/2010/wordprocessingShape">
                    <wps:wsp>
                      <wps:cNvSpPr/>
                      <wps:spPr>
                        <a:xfrm>
                          <a:off x="0" y="0"/>
                          <a:ext cx="4895850" cy="4245996"/>
                        </a:xfrm>
                        <a:prstGeom prst="snipRoundRect">
                          <a:avLst>
                            <a:gd name="adj1" fmla="val 5531"/>
                            <a:gd name="adj2" fmla="val 10817"/>
                          </a:avLst>
                        </a:prstGeom>
                        <a:solidFill>
                          <a:srgbClr val="4F6772"/>
                        </a:solidFill>
                        <a:ln w="25400" cap="flat" cmpd="sng" algn="ctr">
                          <a:noFill/>
                          <a:prstDash val="solid"/>
                        </a:ln>
                        <a:effectLst/>
                      </wps:spPr>
                      <wps:txbx>
                        <w:txbxContent>
                          <w:p w14:paraId="26AFD7B3" w14:textId="5B0F1979" w:rsidR="005671CF" w:rsidRPr="00820C89" w:rsidRDefault="005671CF" w:rsidP="00C82124">
                            <w:pPr>
                              <w:pStyle w:val="CaseStudyHeading"/>
                            </w:pPr>
                            <w:bookmarkStart w:id="88" w:name="_Toc78898813"/>
                            <w:r>
                              <w:t xml:space="preserve">Foreign government investors and a streamlined process </w:t>
                            </w:r>
                            <w:r w:rsidR="00257433">
                              <w:br/>
                            </w:r>
                            <w:r>
                              <w:t>for certain passive investments</w:t>
                            </w:r>
                            <w:bookmarkEnd w:id="88"/>
                          </w:p>
                          <w:p w14:paraId="42F2A4F3" w14:textId="721FF70C" w:rsidR="005671CF" w:rsidRDefault="005671CF" w:rsidP="00C82124">
                            <w:pPr>
                              <w:pStyle w:val="CaseStudyText"/>
                            </w:pPr>
                            <w:r>
                              <w:t>The reform package included a streamlining measure aimed at investment funds in which foreign government investors hold an aggregate interest of 40</w:t>
                            </w:r>
                            <w:r w:rsidR="000F3649">
                              <w:t> </w:t>
                            </w:r>
                            <w:r>
                              <w:t>per</w:t>
                            </w:r>
                            <w:r w:rsidR="000F3649">
                              <w:t> </w:t>
                            </w:r>
                            <w:r>
                              <w:t>cent or more, but no single foreign government investor holds an interest of 20</w:t>
                            </w:r>
                            <w:r w:rsidR="000F3649">
                              <w:t> </w:t>
                            </w:r>
                            <w:r>
                              <w:t>per</w:t>
                            </w:r>
                            <w:r w:rsidR="00257433">
                              <w:t> </w:t>
                            </w:r>
                            <w:r w:rsidR="000F3649">
                              <w:t>c</w:t>
                            </w:r>
                            <w:r>
                              <w:t xml:space="preserve">ent or more. </w:t>
                            </w:r>
                          </w:p>
                          <w:p w14:paraId="71AEDD95" w14:textId="77777777" w:rsidR="005671CF" w:rsidRDefault="005671CF" w:rsidP="00C82124">
                            <w:pPr>
                              <w:pStyle w:val="CaseStudyText"/>
                            </w:pPr>
                            <w:r>
                              <w:t>Prior to the commencement of the reforms, such an investment fund would itself be treated as a foreign government investor under the framework, meaning it would be subject to the lower monetary and control thresholds.</w:t>
                            </w:r>
                          </w:p>
                          <w:p w14:paraId="5C779F21" w14:textId="521C2085" w:rsidR="005671CF" w:rsidRDefault="005671CF" w:rsidP="00C82124">
                            <w:pPr>
                              <w:pStyle w:val="CaseStudyText"/>
                            </w:pPr>
                            <w:r>
                              <w:t>As a result of the streamlining reform, the same investment fund is no longer</w:t>
                            </w:r>
                            <w:r w:rsidDel="00ED1147">
                              <w:t xml:space="preserve"> </w:t>
                            </w:r>
                            <w:r>
                              <w:t>treated as a foreign government investor and is therefore subject to the higher monetary and control thresholds that apply to foreign private investors, provided all its foreign government investors were passive –</w:t>
                            </w:r>
                            <w:r w:rsidR="003E7C79">
                              <w:t>–</w:t>
                            </w:r>
                            <w:r>
                              <w:t>meaning they do not influence or control the fund</w:t>
                            </w:r>
                            <w:r w:rsidR="00065800">
                              <w:t>’</w:t>
                            </w:r>
                            <w:r>
                              <w:t>s investment decisions.</w:t>
                            </w:r>
                          </w:p>
                          <w:p w14:paraId="7DEAA52A" w14:textId="264DE159" w:rsidR="005671CF" w:rsidRDefault="005671CF" w:rsidP="00257433">
                            <w:pPr>
                              <w:pStyle w:val="CaseStudyText"/>
                            </w:pPr>
                            <w:r>
                              <w:t>This change recognises that some privately controlled and managed institutional investors were regularly screened under the framework as foreign government investors, even though operational and strategic control over fund investments and fund investment decisions are generally undertaken entirely by the general partners of the funds.</w:t>
                            </w:r>
                            <w:r w:rsidRPr="00E20B29">
                              <w:t xml:space="preserve"> </w:t>
                            </w:r>
                            <w:r>
                              <w:t>Broadly speaking, this measure streamlines the handling of non</w:t>
                            </w:r>
                            <w:r w:rsidR="003E7C79">
                              <w:t>–</w:t>
                            </w:r>
                            <w:r>
                              <w:t>sensitive cases and reduces red tape for affected investors.</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inline>
            </w:drawing>
          </mc:Choice>
          <mc:Fallback>
            <w:pict>
              <v:shape w14:anchorId="2EECB96D" id="Snip and Round Single Corner Rectangle 1" o:spid="_x0000_s1026" style="width:385.5pt;height:334.35pt;visibility:visible;mso-wrap-style:square;mso-left-percent:-10001;mso-top-percent:-10001;mso-position-horizontal:absolute;mso-position-horizontal-relative:char;mso-position-vertical:absolute;mso-position-vertical-relative:line;mso-left-percent:-10001;mso-top-percent:-10001;v-text-anchor:middle" coordsize="4895850,4245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" adj="-11796480,,5400" path="m234846,l4436561,r459289,459289l4895850,4245996,,4245996,,234846c,105144,105144,,234846,xe" fillcolor="#4f6772" stroked="f" strokeweight="2pt">
                <v:stroke joinstyle="miter"/>
                <v:formulas/>
                <v:path arrowok="t" o:connecttype="custom" o:connectlocs="234846,0;4436561,0;4895850,459289;4895850,4245996;0,4245996;0,234846;234846,0" o:connectangles="0,0,0,0,0,0,0" textboxrect="0,0,4895850,4245996"/>
                <v:textbox inset=".5mm,0,.5mm,0">
                  <w:txbxContent>
                    <w:p w14:paraId="26AFD7B3" w14:textId="5B0F1979" w:rsidR="005671CF" w:rsidRPr="00820C89" w:rsidRDefault="005671CF" w:rsidP="00C82124">
                      <w:pPr>
                        <w:pStyle w:val="CaseStudyHeading"/>
                      </w:pPr>
                      <w:bookmarkStart w:id="89" w:name="_Toc78898813"/>
                      <w:r>
                        <w:t xml:space="preserve">Foreign government investors and a streamlined process </w:t>
                      </w:r>
                      <w:r w:rsidR="00257433">
                        <w:br/>
                      </w:r>
                      <w:r>
                        <w:t>for certain passive investments</w:t>
                      </w:r>
                      <w:bookmarkEnd w:id="89"/>
                    </w:p>
                    <w:p w14:paraId="42F2A4F3" w14:textId="721FF70C" w:rsidR="005671CF" w:rsidRDefault="005671CF" w:rsidP="00C82124">
                      <w:pPr>
                        <w:pStyle w:val="CaseStudyText"/>
                      </w:pPr>
                      <w:r>
                        <w:t>The reform package included a streamlining measure aimed at investment funds in which foreign government investors hold an aggregate interest of 40</w:t>
                      </w:r>
                      <w:r w:rsidR="000F3649">
                        <w:t> </w:t>
                      </w:r>
                      <w:r>
                        <w:t>per</w:t>
                      </w:r>
                      <w:r w:rsidR="000F3649">
                        <w:t> </w:t>
                      </w:r>
                      <w:r>
                        <w:t>cent or more, but no single foreign government investor holds an interest of 20</w:t>
                      </w:r>
                      <w:r w:rsidR="000F3649">
                        <w:t> </w:t>
                      </w:r>
                      <w:r>
                        <w:t>per</w:t>
                      </w:r>
                      <w:r w:rsidR="00257433">
                        <w:t> </w:t>
                      </w:r>
                      <w:r w:rsidR="000F3649">
                        <w:t>c</w:t>
                      </w:r>
                      <w:r>
                        <w:t xml:space="preserve">ent or more. </w:t>
                      </w:r>
                    </w:p>
                    <w:p w14:paraId="71AEDD95" w14:textId="77777777" w:rsidR="005671CF" w:rsidRDefault="005671CF" w:rsidP="00C82124">
                      <w:pPr>
                        <w:pStyle w:val="CaseStudyText"/>
                      </w:pPr>
                      <w:r>
                        <w:t>Prior to the commencement of the reforms, such an investment fund would itself be treated as a foreign government investor under the framework, meaning it would be subject to the lower monetary and control thresholds.</w:t>
                      </w:r>
                    </w:p>
                    <w:p w14:paraId="5C779F21" w14:textId="521C2085" w:rsidR="005671CF" w:rsidRDefault="005671CF" w:rsidP="00C82124">
                      <w:pPr>
                        <w:pStyle w:val="CaseStudyText"/>
                      </w:pPr>
                      <w:r>
                        <w:t>As a result of the streamlining reform, the same investment fund is no longer</w:t>
                      </w:r>
                      <w:r w:rsidDel="00ED1147">
                        <w:t xml:space="preserve"> </w:t>
                      </w:r>
                      <w:r>
                        <w:t>treated as a foreign government investor and is therefore subject to the higher monetary and control thresholds that apply to foreign private investors, provided all its foreign government investors were passive –</w:t>
                      </w:r>
                      <w:r w:rsidR="003E7C79">
                        <w:t>–</w:t>
                      </w:r>
                      <w:r>
                        <w:t>meaning they do not influence or control the fund</w:t>
                      </w:r>
                      <w:r w:rsidR="00065800">
                        <w:t>’</w:t>
                      </w:r>
                      <w:r>
                        <w:t>s investment decisions.</w:t>
                      </w:r>
                    </w:p>
                    <w:p w14:paraId="7DEAA52A" w14:textId="264DE159" w:rsidR="005671CF" w:rsidRDefault="005671CF" w:rsidP="00257433">
                      <w:pPr>
                        <w:pStyle w:val="CaseStudyText"/>
                      </w:pPr>
                      <w:r>
                        <w:t>This change recognises that some privately controlled and managed institutional investors were regularly screened under the framework as foreign government investors, even though operational and strategic control over fund investments and fund investment decisions are generally undertaken entirely by the general partners of the funds.</w:t>
                      </w:r>
                      <w:r w:rsidRPr="00E20B29">
                        <w:t xml:space="preserve"> </w:t>
                      </w:r>
                      <w:r>
                        <w:t>Broadly speaking, this measure streamlines the handling of non</w:t>
                      </w:r>
                      <w:r w:rsidR="003E7C79">
                        <w:t>–</w:t>
                      </w:r>
                      <w:r>
                        <w:t>sensitive cases and reduces red tape for affected investors.</w:t>
                      </w:r>
                    </w:p>
                  </w:txbxContent>
                </v:textbox>
                <w10:anchorlock/>
              </v:shape>
            </w:pict>
          </mc:Fallback>
        </mc:AlternateContent>
      </w:r>
      <w:bookmarkStart w:id="89" w:name="_Toc63782928"/>
      <w:bookmarkStart w:id="90" w:name="_Toc75244057"/>
    </w:p>
    <w:p w14:paraId="6C16AE25" w14:textId="77777777" w:rsidR="00CB7A07" w:rsidRDefault="00CB7A07" w:rsidP="00CB7A07">
      <w:pPr>
        <w:sectPr w:rsidR="00CB7A07" w:rsidSect="00CB7A07">
          <w:footerReference w:type="first" r:id="rId49"/>
          <w:type w:val="oddPage"/>
          <w:pgSz w:w="11906" w:h="16838" w:code="9"/>
          <w:pgMar w:top="2466" w:right="2098" w:bottom="2466" w:left="2098" w:header="1899" w:footer="1899" w:gutter="0"/>
          <w:cols w:space="708"/>
          <w:titlePg/>
          <w:docGrid w:linePitch="360"/>
        </w:sectPr>
      </w:pPr>
      <w:bookmarkStart w:id="91" w:name="_Toc89872883"/>
      <w:bookmarkStart w:id="92" w:name="_Toc89872930"/>
      <w:bookmarkEnd w:id="89"/>
      <w:bookmarkEnd w:id="90"/>
    </w:p>
    <w:p w14:paraId="2B317370" w14:textId="05BE417A" w:rsidR="001B2047" w:rsidRPr="009955B8" w:rsidRDefault="00305828" w:rsidP="00CB7A07">
      <w:pPr>
        <w:pStyle w:val="Heading1"/>
      </w:pPr>
      <w:r w:rsidRPr="009955B8">
        <w:lastRenderedPageBreak/>
        <w:t>Proposal</w:t>
      </w:r>
      <w:r w:rsidR="009955B8">
        <w:t>s</w:t>
      </w:r>
      <w:r w:rsidR="00C06FCF" w:rsidRPr="009955B8">
        <w:t xml:space="preserve"> </w:t>
      </w:r>
      <w:bookmarkEnd w:id="91"/>
      <w:bookmarkEnd w:id="92"/>
      <w:r w:rsidR="009955B8">
        <w:t>Overview</w:t>
      </w:r>
    </w:p>
    <w:p w14:paraId="7484DD7B" w14:textId="1B176BFE" w:rsidR="00EF26FE" w:rsidRDefault="00EF26FE" w:rsidP="00EF26FE">
      <w:pPr>
        <w:rPr>
          <w:color w:val="auto"/>
        </w:rPr>
      </w:pPr>
      <w:bookmarkStart w:id="93" w:name="_Hlk82696462"/>
      <w:r w:rsidRPr="002C48D7">
        <w:rPr>
          <w:color w:val="auto"/>
        </w:rPr>
        <w:t xml:space="preserve">This chapter provides an overview of all </w:t>
      </w:r>
      <w:r w:rsidR="00305828">
        <w:rPr>
          <w:color w:val="auto"/>
        </w:rPr>
        <w:t>proposals</w:t>
      </w:r>
      <w:r w:rsidRPr="002C48D7">
        <w:rPr>
          <w:color w:val="auto"/>
        </w:rPr>
        <w:t xml:space="preserve"> finalised during </w:t>
      </w:r>
      <w:r>
        <w:rPr>
          <w:color w:val="auto"/>
        </w:rPr>
        <w:t>the reporting period</w:t>
      </w:r>
      <w:r w:rsidRPr="002C48D7">
        <w:rPr>
          <w:color w:val="auto"/>
        </w:rPr>
        <w:t xml:space="preserve">, irrespective of </w:t>
      </w:r>
      <w:r>
        <w:rPr>
          <w:color w:val="auto"/>
        </w:rPr>
        <w:t>when</w:t>
      </w:r>
      <w:r w:rsidRPr="002C48D7">
        <w:rPr>
          <w:color w:val="auto"/>
        </w:rPr>
        <w:t xml:space="preserve"> the </w:t>
      </w:r>
      <w:r w:rsidR="00305828">
        <w:rPr>
          <w:color w:val="auto"/>
        </w:rPr>
        <w:t>proposal</w:t>
      </w:r>
      <w:r w:rsidRPr="002C48D7">
        <w:rPr>
          <w:color w:val="auto"/>
        </w:rPr>
        <w:t xml:space="preserve"> was submitted. </w:t>
      </w:r>
    </w:p>
    <w:p w14:paraId="4D4B1BA4" w14:textId="05C115FC" w:rsidR="00EF26FE" w:rsidRDefault="00EF26FE" w:rsidP="00EF26FE">
      <w:pPr>
        <w:rPr>
          <w:b/>
          <w:bCs/>
          <w:color w:val="auto"/>
        </w:rPr>
      </w:pPr>
      <w:r>
        <w:rPr>
          <w:color w:val="auto"/>
        </w:rPr>
        <w:t>T</w:t>
      </w:r>
      <w:r w:rsidRPr="002C48D7">
        <w:rPr>
          <w:color w:val="auto"/>
        </w:rPr>
        <w:t>h</w:t>
      </w:r>
      <w:r w:rsidR="00016B99">
        <w:t>is</w:t>
      </w:r>
      <w:r w:rsidR="00782E87">
        <w:t xml:space="preserve"> </w:t>
      </w:r>
      <w:r w:rsidR="00016B99">
        <w:rPr>
          <w:color w:val="auto"/>
        </w:rPr>
        <w:t>r</w:t>
      </w:r>
      <w:r w:rsidRPr="002C48D7">
        <w:rPr>
          <w:color w:val="auto"/>
        </w:rPr>
        <w:t>eport</w:t>
      </w:r>
      <w:r w:rsidRPr="002C48D7" w:rsidDel="009C770C">
        <w:rPr>
          <w:color w:val="auto"/>
        </w:rPr>
        <w:t xml:space="preserve"> </w:t>
      </w:r>
      <w:r w:rsidRPr="002C48D7">
        <w:rPr>
          <w:color w:val="auto"/>
        </w:rPr>
        <w:t xml:space="preserve">provides a useful source of data on </w:t>
      </w:r>
      <w:r>
        <w:rPr>
          <w:color w:val="auto"/>
        </w:rPr>
        <w:t xml:space="preserve">FDI </w:t>
      </w:r>
      <w:r w:rsidRPr="002C48D7">
        <w:rPr>
          <w:color w:val="auto"/>
        </w:rPr>
        <w:t>in Australia</w:t>
      </w:r>
      <w:r>
        <w:rPr>
          <w:color w:val="auto"/>
        </w:rPr>
        <w:t xml:space="preserve"> and </w:t>
      </w:r>
      <w:r w:rsidRPr="002C48D7">
        <w:rPr>
          <w:color w:val="auto"/>
        </w:rPr>
        <w:t>information on proposed investments that fall within the scope of the</w:t>
      </w:r>
      <w:r>
        <w:rPr>
          <w:color w:val="auto"/>
        </w:rPr>
        <w:t xml:space="preserve"> Act</w:t>
      </w:r>
      <w:r w:rsidR="00305828">
        <w:rPr>
          <w:color w:val="auto"/>
        </w:rPr>
        <w:t>.</w:t>
      </w:r>
      <w:r>
        <w:rPr>
          <w:color w:val="auto"/>
        </w:rPr>
        <w:t xml:space="preserve"> </w:t>
      </w:r>
      <w:r w:rsidR="00305828">
        <w:rPr>
          <w:color w:val="auto"/>
        </w:rPr>
        <w:t>H</w:t>
      </w:r>
      <w:r>
        <w:rPr>
          <w:color w:val="auto"/>
        </w:rPr>
        <w:t>owever, there are a number of caveats to be applied when interpreting the data</w:t>
      </w:r>
      <w:r w:rsidRPr="002C48D7">
        <w:rPr>
          <w:color w:val="auto"/>
        </w:rPr>
        <w:t>.</w:t>
      </w:r>
      <w:r>
        <w:rPr>
          <w:b/>
          <w:bCs/>
          <w:color w:val="auto"/>
        </w:rPr>
        <w:t xml:space="preserve"> </w:t>
      </w:r>
    </w:p>
    <w:p w14:paraId="41B37CC1" w14:textId="72038B5E" w:rsidR="00EF26FE" w:rsidRDefault="00EF26FE" w:rsidP="00EF26FE">
      <w:pPr>
        <w:rPr>
          <w:color w:val="auto"/>
        </w:rPr>
      </w:pPr>
      <w:r w:rsidRPr="002C48D7">
        <w:rPr>
          <w:color w:val="auto"/>
        </w:rPr>
        <w:t xml:space="preserve">This report refers to </w:t>
      </w:r>
      <w:r w:rsidR="00065800">
        <w:rPr>
          <w:color w:val="auto"/>
        </w:rPr>
        <w:t>‘</w:t>
      </w:r>
      <w:r w:rsidRPr="002C48D7">
        <w:rPr>
          <w:color w:val="auto"/>
        </w:rPr>
        <w:t>proposed investment</w:t>
      </w:r>
      <w:r w:rsidR="00065800">
        <w:rPr>
          <w:color w:val="auto"/>
        </w:rPr>
        <w:t>’</w:t>
      </w:r>
      <w:r w:rsidRPr="002C48D7">
        <w:rPr>
          <w:color w:val="auto"/>
        </w:rPr>
        <w:t xml:space="preserve">, </w:t>
      </w:r>
      <w:r>
        <w:rPr>
          <w:color w:val="auto"/>
        </w:rPr>
        <w:t>where the value of</w:t>
      </w:r>
      <w:r w:rsidRPr="002C48D7">
        <w:rPr>
          <w:color w:val="auto"/>
        </w:rPr>
        <w:t xml:space="preserve"> acquisitions (including securities, real estate or other assets) is the </w:t>
      </w:r>
      <w:r>
        <w:rPr>
          <w:color w:val="auto"/>
        </w:rPr>
        <w:t>value</w:t>
      </w:r>
      <w:r w:rsidRPr="002C48D7">
        <w:rPr>
          <w:color w:val="auto"/>
        </w:rPr>
        <w:t xml:space="preserve"> agreed between the</w:t>
      </w:r>
      <w:r>
        <w:rPr>
          <w:color w:val="auto"/>
        </w:rPr>
        <w:t xml:space="preserve"> transaction</w:t>
      </w:r>
      <w:r w:rsidRPr="002C48D7">
        <w:rPr>
          <w:color w:val="auto"/>
        </w:rPr>
        <w:t xml:space="preserve"> parties or, if not yet agreed, a reasonable estimate at the time the application</w:t>
      </w:r>
      <w:r>
        <w:rPr>
          <w:color w:val="auto"/>
        </w:rPr>
        <w:t xml:space="preserve"> is submitted</w:t>
      </w:r>
      <w:r w:rsidRPr="002C48D7">
        <w:rPr>
          <w:color w:val="auto"/>
        </w:rPr>
        <w:t xml:space="preserve">. </w:t>
      </w:r>
      <w:r w:rsidR="00584611" w:rsidRPr="002C48D7">
        <w:rPr>
          <w:color w:val="auto"/>
        </w:rPr>
        <w:t>The</w:t>
      </w:r>
      <w:r w:rsidR="006D2BBE">
        <w:rPr>
          <w:color w:val="auto"/>
        </w:rPr>
        <w:t xml:space="preserve"> data also</w:t>
      </w:r>
      <w:r w:rsidR="00584611" w:rsidRPr="002C48D7">
        <w:rPr>
          <w:color w:val="auto"/>
        </w:rPr>
        <w:t xml:space="preserve"> reflect</w:t>
      </w:r>
      <w:r w:rsidR="006D2BBE">
        <w:rPr>
          <w:color w:val="auto"/>
        </w:rPr>
        <w:t>s</w:t>
      </w:r>
      <w:r w:rsidR="00584611" w:rsidRPr="002C48D7">
        <w:rPr>
          <w:color w:val="auto"/>
        </w:rPr>
        <w:t xml:space="preserve"> investor intentions (not actual purchases) to acquire Australian assets</w:t>
      </w:r>
      <w:r w:rsidR="006D2BBE">
        <w:rPr>
          <w:color w:val="auto"/>
        </w:rPr>
        <w:t xml:space="preserve"> as</w:t>
      </w:r>
      <w:r w:rsidR="00584611" w:rsidRPr="002C48D7">
        <w:rPr>
          <w:color w:val="auto"/>
        </w:rPr>
        <w:t xml:space="preserve"> a foreign person may be approved to make an acquisition </w:t>
      </w:r>
      <w:r w:rsidR="006D2BBE">
        <w:rPr>
          <w:color w:val="auto"/>
        </w:rPr>
        <w:t>and decide</w:t>
      </w:r>
      <w:r w:rsidR="00584611" w:rsidRPr="002C48D7">
        <w:rPr>
          <w:color w:val="auto"/>
        </w:rPr>
        <w:t xml:space="preserve"> not</w:t>
      </w:r>
      <w:r w:rsidR="006D2BBE">
        <w:rPr>
          <w:color w:val="auto"/>
        </w:rPr>
        <w:t xml:space="preserve"> to</w:t>
      </w:r>
      <w:r w:rsidR="00584611" w:rsidRPr="002C48D7">
        <w:rPr>
          <w:color w:val="auto"/>
        </w:rPr>
        <w:t xml:space="preserve"> proceed.</w:t>
      </w:r>
      <w:r w:rsidR="00647D3E">
        <w:rPr>
          <w:color w:val="auto"/>
        </w:rPr>
        <w:t xml:space="preserve"> </w:t>
      </w:r>
      <w:r w:rsidR="00647D3E" w:rsidRPr="002C48D7">
        <w:rPr>
          <w:color w:val="auto"/>
        </w:rPr>
        <w:t>Further, notification requirements by investors are subject to screening thresholds, and therefore not all potential investments are captured. The outputs in this report can also be skewed by very large proposals and multiple competing proposals for the same target.</w:t>
      </w:r>
    </w:p>
    <w:p w14:paraId="67B038C7" w14:textId="7DED22AD" w:rsidR="00B55CBC" w:rsidRPr="00203CE5" w:rsidRDefault="00D77A72" w:rsidP="0075226C">
      <w:pPr>
        <w:pStyle w:val="Bullet"/>
        <w:numPr>
          <w:ilvl w:val="0"/>
          <w:numId w:val="0"/>
        </w:numPr>
        <w:rPr>
          <w:color w:val="auto"/>
        </w:rPr>
      </w:pPr>
      <w:r>
        <w:rPr>
          <w:color w:val="auto"/>
        </w:rPr>
        <w:t>C</w:t>
      </w:r>
      <w:r w:rsidRPr="002C48D7">
        <w:rPr>
          <w:color w:val="auto"/>
        </w:rPr>
        <w:t xml:space="preserve">hanges in net foreign ownership levels in Australia </w:t>
      </w:r>
      <w:r>
        <w:rPr>
          <w:color w:val="auto"/>
        </w:rPr>
        <w:t xml:space="preserve">and </w:t>
      </w:r>
      <w:r w:rsidRPr="002C48D7">
        <w:rPr>
          <w:color w:val="auto"/>
        </w:rPr>
        <w:t>total foreign investment made in any year</w:t>
      </w:r>
      <w:r w:rsidR="001C4560">
        <w:rPr>
          <w:color w:val="auto"/>
        </w:rPr>
        <w:t xml:space="preserve"> are not measured in this report.</w:t>
      </w:r>
      <w:r>
        <w:rPr>
          <w:color w:val="auto"/>
        </w:rPr>
        <w:t xml:space="preserve"> </w:t>
      </w:r>
      <w:r w:rsidRPr="002C48D7">
        <w:rPr>
          <w:color w:val="auto"/>
        </w:rPr>
        <w:t>Trends in actual investment are measured by the</w:t>
      </w:r>
      <w:r w:rsidRPr="002C48D7" w:rsidDel="00C71562">
        <w:rPr>
          <w:color w:val="auto"/>
        </w:rPr>
        <w:t xml:space="preserve"> ABS</w:t>
      </w:r>
      <w:r w:rsidRPr="00782E87">
        <w:rPr>
          <w:color w:val="auto"/>
        </w:rPr>
        <w:t>.</w:t>
      </w:r>
      <w:r w:rsidRPr="002C48D7">
        <w:rPr>
          <w:rStyle w:val="FootnoteReference"/>
          <w:color w:val="auto"/>
        </w:rPr>
        <w:footnoteReference w:id="3"/>
      </w:r>
      <w:r w:rsidRPr="002C48D7">
        <w:rPr>
          <w:color w:val="auto"/>
        </w:rPr>
        <w:t xml:space="preserve"> ABS data provides an overview of the stock of </w:t>
      </w:r>
      <w:r>
        <w:rPr>
          <w:color w:val="auto"/>
        </w:rPr>
        <w:t>FDI</w:t>
      </w:r>
      <w:r w:rsidRPr="002C48D7">
        <w:rPr>
          <w:color w:val="auto"/>
        </w:rPr>
        <w:t xml:space="preserve"> in Australia. However, unlike </w:t>
      </w:r>
      <w:r w:rsidR="00C71562">
        <w:t xml:space="preserve">data included in </w:t>
      </w:r>
      <w:r w:rsidR="00016B99">
        <w:t>this report</w:t>
      </w:r>
      <w:r w:rsidRPr="002C48D7">
        <w:rPr>
          <w:color w:val="auto"/>
        </w:rPr>
        <w:t>, ABS statistics are based on the immediate origin of investment. The ultimate investor is not identified where investments pass through third</w:t>
      </w:r>
      <w:r w:rsidR="003E7C79">
        <w:rPr>
          <w:color w:val="auto"/>
        </w:rPr>
        <w:t>–</w:t>
      </w:r>
      <w:r w:rsidRPr="002C48D7">
        <w:rPr>
          <w:color w:val="auto"/>
        </w:rPr>
        <w:t xml:space="preserve">party countries used as international investment hubs, because it does not trace the investment back to its original source. </w:t>
      </w:r>
    </w:p>
    <w:p w14:paraId="0F5C7B3B" w14:textId="6E09CA20" w:rsidR="00EF26FE" w:rsidRDefault="00575919" w:rsidP="006E4A8E">
      <w:pPr>
        <w:pStyle w:val="Bullet"/>
        <w:numPr>
          <w:ilvl w:val="0"/>
          <w:numId w:val="0"/>
        </w:numPr>
      </w:pPr>
      <w:r w:rsidRPr="00820C89">
        <w:t>Further details on the methodology and caveats applied in interpreting the data in this report are set out in Appendix</w:t>
      </w:r>
      <w:r>
        <w:t> </w:t>
      </w:r>
      <w:r w:rsidRPr="00820C89">
        <w:t>B</w:t>
      </w:r>
      <w:r w:rsidRPr="00737A7F">
        <w:t>.</w:t>
      </w:r>
    </w:p>
    <w:p w14:paraId="5CD643C7" w14:textId="0256B0BA" w:rsidR="004B3412" w:rsidRPr="00676C85" w:rsidRDefault="004B3412" w:rsidP="004B3412">
      <w:pPr>
        <w:pStyle w:val="Heading2"/>
      </w:pPr>
      <w:bookmarkStart w:id="94" w:name="_Toc89872884"/>
      <w:bookmarkStart w:id="95" w:name="_Toc89872931"/>
      <w:bookmarkEnd w:id="93"/>
      <w:r>
        <w:t>Approvals Overview</w:t>
      </w:r>
      <w:bookmarkEnd w:id="94"/>
      <w:bookmarkEnd w:id="95"/>
    </w:p>
    <w:p w14:paraId="61262616" w14:textId="7D67B90E" w:rsidR="00A314A4" w:rsidRDefault="00A314A4" w:rsidP="00601373">
      <w:r>
        <w:t xml:space="preserve">FDI </w:t>
      </w:r>
      <w:r w:rsidR="0027056F">
        <w:t>inflows</w:t>
      </w:r>
      <w:r w:rsidR="0018488A">
        <w:t xml:space="preserve"> </w:t>
      </w:r>
      <w:r>
        <w:t xml:space="preserve">to OECD countries </w:t>
      </w:r>
      <w:r w:rsidR="00712679">
        <w:t>decreased</w:t>
      </w:r>
      <w:r>
        <w:t xml:space="preserve"> in the second half of 2020 as investor confidence declined from the economic uncertainties surrounding </w:t>
      </w:r>
      <w:r w:rsidR="00776645">
        <w:t>COVID-19</w:t>
      </w:r>
      <w:r>
        <w:t xml:space="preserve">. Consistent with this trend, there was a decline in the number of proposals </w:t>
      </w:r>
      <w:r w:rsidR="004B5EAA">
        <w:t xml:space="preserve">the </w:t>
      </w:r>
      <w:r>
        <w:t xml:space="preserve">Treasury considered in this period. However, this did not present a decrease in the total value of investment. </w:t>
      </w:r>
    </w:p>
    <w:p w14:paraId="627593C1" w14:textId="17638ECD" w:rsidR="00601373" w:rsidRDefault="00601373" w:rsidP="00601373">
      <w:r w:rsidRPr="00C734DF">
        <w:t xml:space="preserve">In </w:t>
      </w:r>
      <w:r w:rsidR="00D76ED2">
        <w:t>2020</w:t>
      </w:r>
      <w:r w:rsidR="00D76ED2">
        <w:noBreakHyphen/>
        <w:t>21</w:t>
      </w:r>
      <w:r w:rsidRPr="00C734DF">
        <w:t xml:space="preserve">, excluding variations, the total number of </w:t>
      </w:r>
      <w:r w:rsidR="00DF7A71">
        <w:t>proposals</w:t>
      </w:r>
      <w:r w:rsidRPr="00C734DF">
        <w:t xml:space="preserve"> considered was </w:t>
      </w:r>
      <w:r w:rsidR="00340D92" w:rsidRPr="00C734DF">
        <w:t>7</w:t>
      </w:r>
      <w:r w:rsidRPr="00C734DF">
        <w:t>,</w:t>
      </w:r>
      <w:r w:rsidR="00C734DF" w:rsidRPr="00C734DF">
        <w:t>614</w:t>
      </w:r>
      <w:r w:rsidRPr="00C734DF">
        <w:t>.</w:t>
      </w:r>
      <w:r w:rsidRPr="002C48D7">
        <w:t xml:space="preserve"> Of </w:t>
      </w:r>
      <w:r w:rsidRPr="00C734DF">
        <w:t>the</w:t>
      </w:r>
      <w:r w:rsidR="00DE20CE">
        <w:t xml:space="preserve"> </w:t>
      </w:r>
      <w:r w:rsidR="00771160" w:rsidRPr="00C734DF">
        <w:t>6</w:t>
      </w:r>
      <w:r w:rsidRPr="00C734DF">
        <w:t>,</w:t>
      </w:r>
      <w:r w:rsidR="00C734DF" w:rsidRPr="00C734DF">
        <w:t xml:space="preserve">651 </w:t>
      </w:r>
      <w:r w:rsidR="001B01E7">
        <w:t>proposals</w:t>
      </w:r>
      <w:r w:rsidR="00C734DF" w:rsidRPr="00C734DF">
        <w:t xml:space="preserve"> </w:t>
      </w:r>
      <w:r w:rsidRPr="00C734DF">
        <w:t xml:space="preserve">on which a decision was made (not withdrawn or exempt), </w:t>
      </w:r>
      <w:r w:rsidR="00771160" w:rsidRPr="00C734DF">
        <w:t>6</w:t>
      </w:r>
      <w:r w:rsidRPr="00C734DF">
        <w:t>,</w:t>
      </w:r>
      <w:r w:rsidR="00C734DF" w:rsidRPr="00C734DF">
        <w:t>650</w:t>
      </w:r>
      <w:r>
        <w:t xml:space="preserve"> were approved with a value o</w:t>
      </w:r>
      <w:r w:rsidRPr="0033016B">
        <w:t>f $</w:t>
      </w:r>
      <w:r w:rsidR="002A2FB6" w:rsidRPr="0033016B">
        <w:t>23</w:t>
      </w:r>
      <w:r w:rsidR="0033016B" w:rsidRPr="0033016B">
        <w:t>3</w:t>
      </w:r>
      <w:r w:rsidR="001B01E7">
        <w:t>.0</w:t>
      </w:r>
      <w:r w:rsidRPr="0033016B">
        <w:t> billion</w:t>
      </w:r>
      <w:r w:rsidR="00B424F6">
        <w:t>, and one was rejected</w:t>
      </w:r>
      <w:r w:rsidRPr="002C48D7">
        <w:t xml:space="preserve">. This presents a </w:t>
      </w:r>
      <w:r w:rsidRPr="00625011">
        <w:t>decline</w:t>
      </w:r>
      <w:r w:rsidRPr="002C48D7">
        <w:t xml:space="preserve"> of </w:t>
      </w:r>
      <w:r w:rsidR="00D77A72" w:rsidRPr="00625011">
        <w:lastRenderedPageBreak/>
        <w:t>1,</w:t>
      </w:r>
      <w:r w:rsidR="00D77A72" w:rsidRPr="0033016B">
        <w:t>57</w:t>
      </w:r>
      <w:r w:rsidR="00625011" w:rsidRPr="0033016B">
        <w:t>1</w:t>
      </w:r>
      <w:r w:rsidR="00D77A72" w:rsidRPr="0033016B">
        <w:t> </w:t>
      </w:r>
      <w:r w:rsidRPr="0033016B">
        <w:t>approv</w:t>
      </w:r>
      <w:r w:rsidR="001B01E7">
        <w:t>als</w:t>
      </w:r>
      <w:r w:rsidRPr="0033016B">
        <w:t xml:space="preserve"> compared to </w:t>
      </w:r>
      <w:r w:rsidR="00D77A72" w:rsidRPr="0033016B">
        <w:t>8</w:t>
      </w:r>
      <w:r w:rsidRPr="0033016B">
        <w:t>,</w:t>
      </w:r>
      <w:r w:rsidR="00D77A72" w:rsidRPr="0033016B">
        <w:t>221</w:t>
      </w:r>
      <w:r w:rsidRPr="0033016B">
        <w:t xml:space="preserve"> approvals in </w:t>
      </w:r>
      <w:r w:rsidR="00D76ED2">
        <w:t>2019</w:t>
      </w:r>
      <w:r w:rsidR="00D76ED2">
        <w:noBreakHyphen/>
        <w:t>20</w:t>
      </w:r>
      <w:r w:rsidRPr="0033016B">
        <w:rPr>
          <w:rStyle w:val="CommentReference"/>
          <w:rFonts w:eastAsiaTheme="majorEastAsia"/>
        </w:rPr>
        <w:t>.</w:t>
      </w:r>
      <w:r w:rsidRPr="0033016B">
        <w:t xml:space="preserve"> The value of proposed investment approvals </w:t>
      </w:r>
      <w:r w:rsidR="007A5071" w:rsidRPr="0033016B">
        <w:t>increase</w:t>
      </w:r>
      <w:r w:rsidR="0033016B" w:rsidRPr="0033016B">
        <w:t>d</w:t>
      </w:r>
      <w:r w:rsidRPr="0033016B">
        <w:t xml:space="preserve"> by $3</w:t>
      </w:r>
      <w:r w:rsidR="0033016B" w:rsidRPr="0033016B">
        <w:t>7</w:t>
      </w:r>
      <w:r w:rsidRPr="0033016B">
        <w:t xml:space="preserve">.5 billion, </w:t>
      </w:r>
      <w:r w:rsidR="0033016B" w:rsidRPr="0033016B">
        <w:t xml:space="preserve">up </w:t>
      </w:r>
      <w:r w:rsidRPr="0033016B">
        <w:t>from $</w:t>
      </w:r>
      <w:r w:rsidR="0033016B" w:rsidRPr="0033016B">
        <w:t>195</w:t>
      </w:r>
      <w:r w:rsidRPr="0033016B">
        <w:t>.</w:t>
      </w:r>
      <w:r w:rsidR="0033016B" w:rsidRPr="0033016B">
        <w:t>5</w:t>
      </w:r>
      <w:r w:rsidRPr="0033016B">
        <w:t xml:space="preserve"> billion in </w:t>
      </w:r>
      <w:r w:rsidR="00D76ED2">
        <w:t>2019</w:t>
      </w:r>
      <w:r w:rsidR="00D76ED2">
        <w:noBreakHyphen/>
        <w:t>20</w:t>
      </w:r>
      <w:r w:rsidRPr="0033016B">
        <w:t xml:space="preserve"> (see</w:t>
      </w:r>
      <w:r w:rsidR="00DE20CE">
        <w:t> T</w:t>
      </w:r>
      <w:r w:rsidRPr="0033016B">
        <w:t>ables 3.1</w:t>
      </w:r>
      <w:r w:rsidR="00DE20CE">
        <w:t> </w:t>
      </w:r>
      <w:r w:rsidRPr="0033016B">
        <w:t>and 3.3).</w:t>
      </w:r>
      <w:r w:rsidRPr="002C48D7">
        <w:t xml:space="preserve"> </w:t>
      </w:r>
    </w:p>
    <w:p w14:paraId="41CC7D0C" w14:textId="68F43F8E" w:rsidR="00A314A4" w:rsidRDefault="0060459E" w:rsidP="00257433">
      <w:r>
        <w:t>From 29</w:t>
      </w:r>
      <w:r w:rsidR="00DE20CE">
        <w:t> </w:t>
      </w:r>
      <w:r>
        <w:t>March</w:t>
      </w:r>
      <w:r w:rsidR="00DE20CE">
        <w:t> </w:t>
      </w:r>
      <w:r>
        <w:t>to</w:t>
      </w:r>
      <w:r w:rsidR="00DE20CE">
        <w:t> </w:t>
      </w:r>
      <w:r>
        <w:t>31</w:t>
      </w:r>
      <w:r w:rsidR="00DE20CE">
        <w:t> </w:t>
      </w:r>
      <w:r>
        <w:t>December</w:t>
      </w:r>
      <w:r w:rsidR="00DE20CE">
        <w:t> </w:t>
      </w:r>
      <w:r>
        <w:t>2020, the Government temporarily reduced the monetary screening thresholds under the Act to zero dollars to reduce potential disruptions on business and the economy during COVID</w:t>
      </w:r>
      <w:r w:rsidR="00065800">
        <w:noBreakHyphen/>
      </w:r>
      <w:r>
        <w:t>19. During this period, proposed investments were considered zero dollar threshold proposals if they were below the normal monetary thresholds and only required notification because of the temporary arrangements. Proposals valued above the normal monetary thresholds, which would have required notification in the absence of the temporary arrangements, were considered non</w:t>
      </w:r>
      <w:r w:rsidR="003E7C79">
        <w:t>–</w:t>
      </w:r>
      <w:r>
        <w:t>zero dollar threshold proposals. The number and value of proposed investments that required approval from the Treasurer because of the temporary arrangements are identified in this report.</w:t>
      </w:r>
    </w:p>
    <w:p w14:paraId="2D131AD7" w14:textId="3E9C8DA0" w:rsidR="001E266F" w:rsidDel="001E266F" w:rsidRDefault="00C24233" w:rsidP="001E266F">
      <w:r>
        <w:t xml:space="preserve">The overall decline in the number of </w:t>
      </w:r>
      <w:r w:rsidR="001B01E7">
        <w:t>proposals</w:t>
      </w:r>
      <w:r>
        <w:t xml:space="preserve"> considered masks the significant increase in the </w:t>
      </w:r>
      <w:r w:rsidR="00D17B28">
        <w:t xml:space="preserve">overall </w:t>
      </w:r>
      <w:r>
        <w:t xml:space="preserve">value of proposed investment. </w:t>
      </w:r>
      <w:r w:rsidR="00601373">
        <w:t xml:space="preserve">Of </w:t>
      </w:r>
      <w:r w:rsidR="00601373" w:rsidRPr="0033016B">
        <w:t xml:space="preserve">the </w:t>
      </w:r>
      <w:r w:rsidR="00C601AE">
        <w:t>6,</w:t>
      </w:r>
      <w:r w:rsidR="0033016B" w:rsidRPr="0033016B" w:rsidDel="00E27CFB">
        <w:t>650</w:t>
      </w:r>
      <w:r w:rsidR="00601373" w:rsidRPr="0033016B">
        <w:t> </w:t>
      </w:r>
      <w:r w:rsidR="00D17B28">
        <w:t>proposals</w:t>
      </w:r>
      <w:r w:rsidR="00601373" w:rsidRPr="00383F30">
        <w:t xml:space="preserve"> approved</w:t>
      </w:r>
      <w:r w:rsidR="00601373" w:rsidRPr="008B2129">
        <w:t>,</w:t>
      </w:r>
      <w:r w:rsidR="00C601AE">
        <w:t xml:space="preserve"> 5,625</w:t>
      </w:r>
      <w:r w:rsidR="00601373" w:rsidRPr="008B2129" w:rsidDel="00C601AE">
        <w:t xml:space="preserve"> </w:t>
      </w:r>
      <w:r w:rsidR="00601373">
        <w:t xml:space="preserve">were </w:t>
      </w:r>
      <w:r w:rsidR="00601373" w:rsidRPr="00383F30">
        <w:t>non</w:t>
      </w:r>
      <w:r w:rsidR="003E7C79">
        <w:t>–</w:t>
      </w:r>
      <w:r w:rsidR="00601373" w:rsidRPr="00383F30">
        <w:t xml:space="preserve">zero dollar threshold proposals </w:t>
      </w:r>
      <w:r w:rsidR="00D17B28">
        <w:t>with</w:t>
      </w:r>
      <w:r w:rsidR="00601373">
        <w:t xml:space="preserve"> a total </w:t>
      </w:r>
      <w:r w:rsidR="00601373" w:rsidRPr="00A1581F">
        <w:t>value of $</w:t>
      </w:r>
      <w:r w:rsidR="00A1581F" w:rsidRPr="00A1581F">
        <w:t>2</w:t>
      </w:r>
      <w:r w:rsidR="00AB7FBE">
        <w:t>18.5</w:t>
      </w:r>
      <w:r w:rsidR="00DE20CE">
        <w:t> </w:t>
      </w:r>
      <w:r w:rsidR="00601373" w:rsidRPr="00A1581F">
        <w:t>billion (see Tables</w:t>
      </w:r>
      <w:r w:rsidR="00DE20CE">
        <w:t> </w:t>
      </w:r>
      <w:r w:rsidR="00601373" w:rsidRPr="00A1581F">
        <w:t>3.2</w:t>
      </w:r>
      <w:r w:rsidR="00DE20CE">
        <w:t> </w:t>
      </w:r>
      <w:r w:rsidR="00601373" w:rsidRPr="00A1581F">
        <w:t>and 3.4).</w:t>
      </w:r>
      <w:r w:rsidR="00601373" w:rsidRPr="002C48D7">
        <w:t xml:space="preserve"> </w:t>
      </w:r>
      <w:r w:rsidR="00ED04B5">
        <w:t xml:space="preserve">Compared to </w:t>
      </w:r>
      <w:r w:rsidR="00D76ED2">
        <w:t>2019</w:t>
      </w:r>
      <w:r w:rsidR="00D76ED2">
        <w:noBreakHyphen/>
        <w:t>20</w:t>
      </w:r>
      <w:r w:rsidR="00ED04B5">
        <w:t>, t</w:t>
      </w:r>
      <w:r w:rsidR="00A0276C">
        <w:t>his is a 19.</w:t>
      </w:r>
      <w:r w:rsidR="00DE20CE">
        <w:t>1 </w:t>
      </w:r>
      <w:r w:rsidR="00A0276C">
        <w:t>per</w:t>
      </w:r>
      <w:r w:rsidR="00DE20CE">
        <w:t> </w:t>
      </w:r>
      <w:r w:rsidR="00A0276C">
        <w:t xml:space="preserve">cent </w:t>
      </w:r>
      <w:r>
        <w:t>decrease</w:t>
      </w:r>
      <w:r w:rsidR="00A0276C">
        <w:t xml:space="preserve"> in the number of non</w:t>
      </w:r>
      <w:r w:rsidR="003E7C79">
        <w:t>–</w:t>
      </w:r>
      <w:r w:rsidR="00A0276C">
        <w:t>zero dollar threshold proposals approved and a 19.5 per</w:t>
      </w:r>
      <w:r>
        <w:t xml:space="preserve"> </w:t>
      </w:r>
      <w:r w:rsidR="00A0276C">
        <w:t xml:space="preserve">cent increase </w:t>
      </w:r>
      <w:r>
        <w:t>in the</w:t>
      </w:r>
      <w:r w:rsidR="00A0276C">
        <w:t xml:space="preserve"> value</w:t>
      </w:r>
      <w:r>
        <w:t xml:space="preserve"> of proposals</w:t>
      </w:r>
      <w:r w:rsidR="00ED04B5">
        <w:t xml:space="preserve">. </w:t>
      </w:r>
      <w:r w:rsidR="001E266F">
        <w:t xml:space="preserve">In the </w:t>
      </w:r>
      <w:r w:rsidR="00ED04B5">
        <w:t xml:space="preserve">reporting </w:t>
      </w:r>
      <w:r w:rsidR="001E266F">
        <w:t xml:space="preserve">period, </w:t>
      </w:r>
      <w:r w:rsidR="001E266F" w:rsidRPr="00853BD9">
        <w:t>1</w:t>
      </w:r>
      <w:r w:rsidR="001E266F">
        <w:t>,</w:t>
      </w:r>
      <w:r w:rsidR="001E266F" w:rsidRPr="00853BD9">
        <w:t>025 </w:t>
      </w:r>
      <w:r w:rsidR="001E266F">
        <w:t>zero dollar threshold proposals</w:t>
      </w:r>
      <w:r w:rsidR="001E266F" w:rsidRPr="002C48D7">
        <w:t xml:space="preserve"> were approv</w:t>
      </w:r>
      <w:r w:rsidR="001E266F">
        <w:t>ed</w:t>
      </w:r>
      <w:r w:rsidR="001E266F" w:rsidRPr="002C48D7">
        <w:t xml:space="preserve"> for a total value of </w:t>
      </w:r>
      <w:r w:rsidR="001E266F" w:rsidRPr="00853BD9">
        <w:t>$14.4 billion.</w:t>
      </w:r>
      <w:r w:rsidR="001E266F" w:rsidRPr="002C48D7">
        <w:t xml:space="preserve"> </w:t>
      </w:r>
    </w:p>
    <w:p w14:paraId="7E384728" w14:textId="5EEB1145" w:rsidR="00A0276C" w:rsidRDefault="00A0276C" w:rsidP="00601373">
      <w:r w:rsidRPr="00853BD9">
        <w:rPr>
          <w:color w:val="auto"/>
        </w:rPr>
        <w:t xml:space="preserve">Tables 3.2, 3.4 and 3.6 </w:t>
      </w:r>
      <w:r>
        <w:rPr>
          <w:color w:val="auto"/>
        </w:rPr>
        <w:t>separating zero dollar threshold and non</w:t>
      </w:r>
      <w:r w:rsidR="003E7C79">
        <w:rPr>
          <w:color w:val="auto"/>
        </w:rPr>
        <w:t>–</w:t>
      </w:r>
      <w:r>
        <w:rPr>
          <w:color w:val="auto"/>
        </w:rPr>
        <w:t xml:space="preserve">zero dollar threshold proposals have been included so that comparisons can be made </w:t>
      </w:r>
      <w:r w:rsidRPr="00853BD9">
        <w:rPr>
          <w:color w:val="auto"/>
        </w:rPr>
        <w:t xml:space="preserve">between </w:t>
      </w:r>
      <w:r w:rsidR="00D76ED2">
        <w:rPr>
          <w:color w:val="auto"/>
        </w:rPr>
        <w:t>2019</w:t>
      </w:r>
      <w:r w:rsidR="00D76ED2">
        <w:rPr>
          <w:color w:val="auto"/>
        </w:rPr>
        <w:noBreakHyphen/>
        <w:t>20</w:t>
      </w:r>
      <w:r w:rsidRPr="00853BD9">
        <w:rPr>
          <w:color w:val="auto"/>
        </w:rPr>
        <w:t xml:space="preserve"> and </w:t>
      </w:r>
      <w:r w:rsidR="00D76ED2">
        <w:rPr>
          <w:color w:val="auto"/>
        </w:rPr>
        <w:t>2020</w:t>
      </w:r>
      <w:r w:rsidR="00D76ED2">
        <w:rPr>
          <w:color w:val="auto"/>
        </w:rPr>
        <w:noBreakHyphen/>
        <w:t>21</w:t>
      </w:r>
      <w:r w:rsidRPr="00853BD9">
        <w:rPr>
          <w:color w:val="auto"/>
        </w:rPr>
        <w:t xml:space="preserve"> </w:t>
      </w:r>
      <w:r>
        <w:rPr>
          <w:color w:val="auto"/>
        </w:rPr>
        <w:t>excluding the effect of the temporary thresholds.</w:t>
      </w:r>
    </w:p>
    <w:p w14:paraId="2A3AC230" w14:textId="1EC2BA9A" w:rsidR="00601373" w:rsidRDefault="00601373" w:rsidP="00601373">
      <w:r>
        <w:t>F</w:t>
      </w:r>
      <w:r w:rsidRPr="002C48D7">
        <w:t xml:space="preserve">actors that may have contributed to </w:t>
      </w:r>
      <w:r>
        <w:t xml:space="preserve">the decline in the number </w:t>
      </w:r>
      <w:r w:rsidR="008D6A45">
        <w:t xml:space="preserve">of proposals and the increase </w:t>
      </w:r>
      <w:r w:rsidR="001C73FF">
        <w:t xml:space="preserve">in </w:t>
      </w:r>
      <w:r>
        <w:t xml:space="preserve">value of </w:t>
      </w:r>
      <w:r w:rsidR="008D6A45">
        <w:t>proposals</w:t>
      </w:r>
      <w:r>
        <w:t xml:space="preserve"> approved </w:t>
      </w:r>
      <w:r w:rsidRPr="002C48D7">
        <w:t>are noted in the discussion of the relevant sectors</w:t>
      </w:r>
      <w:r>
        <w:t xml:space="preserve"> in this Chapter</w:t>
      </w:r>
      <w:r w:rsidRPr="002C48D7">
        <w:t>.</w:t>
      </w:r>
    </w:p>
    <w:p w14:paraId="2D4A80EC" w14:textId="73384EEC" w:rsidR="00601373" w:rsidRPr="002C48D7" w:rsidRDefault="00601373" w:rsidP="00601373">
      <w:pPr>
        <w:rPr>
          <w:color w:val="auto"/>
        </w:rPr>
      </w:pPr>
      <w:r w:rsidRPr="002C48D7">
        <w:rPr>
          <w:color w:val="auto"/>
        </w:rPr>
        <w:t>The</w:t>
      </w:r>
      <w:r>
        <w:rPr>
          <w:color w:val="auto"/>
        </w:rPr>
        <w:t xml:space="preserve">re were </w:t>
      </w:r>
      <w:r w:rsidRPr="00D01A6D">
        <w:rPr>
          <w:color w:val="auto"/>
        </w:rPr>
        <w:t>3</w:t>
      </w:r>
      <w:r w:rsidR="00334452" w:rsidRPr="00D01A6D">
        <w:rPr>
          <w:color w:val="auto"/>
        </w:rPr>
        <w:t>8</w:t>
      </w:r>
      <w:r w:rsidRPr="00D01A6D">
        <w:rPr>
          <w:color w:val="auto"/>
        </w:rPr>
        <w:t> </w:t>
      </w:r>
      <w:r w:rsidRPr="002C48D7">
        <w:rPr>
          <w:color w:val="auto"/>
        </w:rPr>
        <w:t>approvals valued at $</w:t>
      </w:r>
      <w:r w:rsidRPr="00943848">
        <w:rPr>
          <w:color w:val="auto"/>
        </w:rPr>
        <w:t>1</w:t>
      </w:r>
      <w:r w:rsidRPr="002C48D7">
        <w:rPr>
          <w:color w:val="auto"/>
        </w:rPr>
        <w:t> billion or more</w:t>
      </w:r>
      <w:r>
        <w:rPr>
          <w:color w:val="auto"/>
        </w:rPr>
        <w:t xml:space="preserve">, with a total value </w:t>
      </w:r>
      <w:r w:rsidRPr="00A549CA">
        <w:rPr>
          <w:color w:val="auto"/>
        </w:rPr>
        <w:t>of $</w:t>
      </w:r>
      <w:r w:rsidR="00334452" w:rsidRPr="00A549CA">
        <w:rPr>
          <w:color w:val="auto"/>
        </w:rPr>
        <w:t>97.</w:t>
      </w:r>
      <w:r w:rsidR="005335F9" w:rsidRPr="00A549CA">
        <w:rPr>
          <w:color w:val="auto"/>
        </w:rPr>
        <w:t>9</w:t>
      </w:r>
      <w:r w:rsidRPr="00A549CA">
        <w:rPr>
          <w:color w:val="auto"/>
        </w:rPr>
        <w:t xml:space="preserve"> billion. The number of approvals valued at $2 billion or more </w:t>
      </w:r>
      <w:r w:rsidR="00334452" w:rsidRPr="00A549CA">
        <w:rPr>
          <w:color w:val="auto"/>
        </w:rPr>
        <w:t>increased</w:t>
      </w:r>
      <w:r w:rsidRPr="00A549CA">
        <w:rPr>
          <w:color w:val="auto"/>
        </w:rPr>
        <w:t xml:space="preserve"> by around </w:t>
      </w:r>
      <w:r w:rsidR="00A549CA" w:rsidRPr="00A549CA">
        <w:rPr>
          <w:color w:val="auto"/>
        </w:rPr>
        <w:t>14.5</w:t>
      </w:r>
      <w:r w:rsidRPr="00A549CA">
        <w:rPr>
          <w:color w:val="auto"/>
        </w:rPr>
        <w:t> per cent to 1</w:t>
      </w:r>
      <w:r w:rsidR="00A549CA" w:rsidRPr="00A549CA">
        <w:rPr>
          <w:color w:val="auto"/>
        </w:rPr>
        <w:t>7</w:t>
      </w:r>
      <w:r w:rsidRPr="00A549CA">
        <w:rPr>
          <w:color w:val="auto"/>
        </w:rPr>
        <w:t> approvals valued at $</w:t>
      </w:r>
      <w:r w:rsidR="00A549CA" w:rsidRPr="00A549CA">
        <w:rPr>
          <w:color w:val="auto"/>
        </w:rPr>
        <w:t>71</w:t>
      </w:r>
      <w:r w:rsidRPr="00A549CA">
        <w:rPr>
          <w:color w:val="auto"/>
        </w:rPr>
        <w:t>.</w:t>
      </w:r>
      <w:r w:rsidR="00A549CA" w:rsidRPr="00A549CA">
        <w:rPr>
          <w:color w:val="auto"/>
        </w:rPr>
        <w:t>0</w:t>
      </w:r>
      <w:r w:rsidRPr="00A549CA">
        <w:rPr>
          <w:color w:val="auto"/>
        </w:rPr>
        <w:t xml:space="preserve"> billion </w:t>
      </w:r>
      <w:r>
        <w:rPr>
          <w:color w:val="auto"/>
        </w:rPr>
        <w:t xml:space="preserve">(see Table </w:t>
      </w:r>
      <w:r w:rsidRPr="00A549CA">
        <w:rPr>
          <w:color w:val="auto"/>
        </w:rPr>
        <w:t>3.5</w:t>
      </w:r>
      <w:r>
        <w:rPr>
          <w:color w:val="auto"/>
        </w:rPr>
        <w:t>)</w:t>
      </w:r>
      <w:r w:rsidRPr="002C48D7">
        <w:rPr>
          <w:color w:val="auto"/>
        </w:rPr>
        <w:t xml:space="preserve">. </w:t>
      </w:r>
    </w:p>
    <w:p w14:paraId="1E40A60B" w14:textId="1AAD8EFA" w:rsidR="00601373" w:rsidRDefault="00601373" w:rsidP="00601373">
      <w:r w:rsidRPr="003C6DD0">
        <w:t>The United</w:t>
      </w:r>
      <w:r w:rsidR="003E7C79">
        <w:t> </w:t>
      </w:r>
      <w:r w:rsidRPr="003C6DD0">
        <w:t xml:space="preserve">States was again the top source of proposed investment by value in </w:t>
      </w:r>
      <w:r w:rsidR="00D76ED2">
        <w:t>2020</w:t>
      </w:r>
      <w:r w:rsidR="00D76ED2">
        <w:noBreakHyphen/>
        <w:t>21</w:t>
      </w:r>
      <w:r w:rsidRPr="003C6DD0">
        <w:t xml:space="preserve">, </w:t>
      </w:r>
      <w:r w:rsidR="005111D6">
        <w:t>followed by, in order,</w:t>
      </w:r>
      <w:r w:rsidRPr="003C6DD0">
        <w:t xml:space="preserve"> </w:t>
      </w:r>
      <w:r w:rsidR="00DB3AB8" w:rsidRPr="005111D6">
        <w:t>Singapore</w:t>
      </w:r>
      <w:r w:rsidRPr="005111D6">
        <w:t xml:space="preserve">, </w:t>
      </w:r>
      <w:r w:rsidR="00DB3AB8" w:rsidRPr="005111D6">
        <w:t>Canada</w:t>
      </w:r>
      <w:r w:rsidRPr="005111D6">
        <w:t xml:space="preserve">, </w:t>
      </w:r>
      <w:r w:rsidR="00A549CA">
        <w:t>China</w:t>
      </w:r>
      <w:r w:rsidRPr="005111D6">
        <w:t xml:space="preserve"> and</w:t>
      </w:r>
      <w:r>
        <w:t xml:space="preserve"> </w:t>
      </w:r>
      <w:r w:rsidR="00A549CA">
        <w:t>Germany</w:t>
      </w:r>
      <w:r w:rsidRPr="003C6DD0">
        <w:t xml:space="preserve"> making up the top five sources of proposed foreign investment in </w:t>
      </w:r>
      <w:r w:rsidR="00D76ED2">
        <w:t>2020</w:t>
      </w:r>
      <w:r w:rsidR="00D76ED2">
        <w:noBreakHyphen/>
        <w:t>21</w:t>
      </w:r>
      <w:r w:rsidR="00A57653" w:rsidRPr="003C6DD0">
        <w:t xml:space="preserve"> (see</w:t>
      </w:r>
      <w:r w:rsidR="00DE20CE">
        <w:t> </w:t>
      </w:r>
      <w:r w:rsidR="00A57653" w:rsidRPr="003C6DD0">
        <w:t>Table</w:t>
      </w:r>
      <w:r w:rsidR="00DE20CE">
        <w:t> </w:t>
      </w:r>
      <w:r w:rsidR="00A57653" w:rsidRPr="003C6DD0">
        <w:t>3.7)</w:t>
      </w:r>
      <w:r w:rsidRPr="003C6DD0">
        <w:t>.</w:t>
      </w:r>
    </w:p>
    <w:p w14:paraId="312EB256" w14:textId="77777777" w:rsidR="00601373" w:rsidRPr="00717B61" w:rsidRDefault="00601373" w:rsidP="00257433">
      <w:pPr>
        <w:pStyle w:val="Heading3"/>
      </w:pPr>
      <w:bookmarkStart w:id="96" w:name="_Toc80368779"/>
      <w:bookmarkStart w:id="97" w:name="_Toc87014313"/>
      <w:bookmarkStart w:id="98" w:name="_Toc89851707"/>
      <w:r w:rsidRPr="00717B61">
        <w:t>Conditional approvals</w:t>
      </w:r>
      <w:bookmarkEnd w:id="96"/>
      <w:bookmarkEnd w:id="97"/>
      <w:bookmarkEnd w:id="98"/>
    </w:p>
    <w:p w14:paraId="677C6BE0" w14:textId="78F7C39E" w:rsidR="00601373" w:rsidRPr="002C48D7" w:rsidRDefault="00601373" w:rsidP="00601373">
      <w:pPr>
        <w:rPr>
          <w:color w:val="auto"/>
        </w:rPr>
      </w:pPr>
      <w:r w:rsidRPr="002C48D7">
        <w:rPr>
          <w:color w:val="auto"/>
        </w:rPr>
        <w:t>Where a</w:t>
      </w:r>
      <w:r w:rsidR="00D17B28">
        <w:rPr>
          <w:color w:val="auto"/>
        </w:rPr>
        <w:t xml:space="preserve"> proposal</w:t>
      </w:r>
      <w:r w:rsidRPr="002C48D7">
        <w:rPr>
          <w:color w:val="auto"/>
        </w:rPr>
        <w:t xml:space="preserve"> raises national interest </w:t>
      </w:r>
      <w:r w:rsidR="00B7595C">
        <w:rPr>
          <w:color w:val="auto"/>
        </w:rPr>
        <w:t xml:space="preserve">or national security </w:t>
      </w:r>
      <w:r w:rsidRPr="002C48D7">
        <w:rPr>
          <w:color w:val="auto"/>
        </w:rPr>
        <w:t xml:space="preserve">concerns, such as potential tax risks, conditions can be imposed on the approval to mitigate the risks and ensure the proposed investment is not contrary to the national interest. </w:t>
      </w:r>
      <w:r w:rsidRPr="00397291">
        <w:rPr>
          <w:color w:val="auto"/>
        </w:rPr>
        <w:t xml:space="preserve">In </w:t>
      </w:r>
      <w:r w:rsidR="00D76ED2">
        <w:rPr>
          <w:color w:val="auto"/>
        </w:rPr>
        <w:t>2020</w:t>
      </w:r>
      <w:r w:rsidR="00D76ED2">
        <w:rPr>
          <w:color w:val="auto"/>
        </w:rPr>
        <w:noBreakHyphen/>
        <w:t>21</w:t>
      </w:r>
      <w:r w:rsidRPr="00397291">
        <w:rPr>
          <w:color w:val="auto"/>
        </w:rPr>
        <w:t>, the</w:t>
      </w:r>
      <w:r w:rsidRPr="002C48D7">
        <w:rPr>
          <w:color w:val="auto"/>
        </w:rPr>
        <w:t xml:space="preserve"> number of approvals made subject to conditions </w:t>
      </w:r>
      <w:r w:rsidRPr="00E61002">
        <w:rPr>
          <w:color w:val="auto"/>
        </w:rPr>
        <w:t>decreased</w:t>
      </w:r>
      <w:r w:rsidRPr="002C48D7">
        <w:rPr>
          <w:color w:val="auto"/>
        </w:rPr>
        <w:t xml:space="preserve"> by around </w:t>
      </w:r>
      <w:r w:rsidR="00CB15C0" w:rsidRPr="00E61002">
        <w:rPr>
          <w:color w:val="auto"/>
        </w:rPr>
        <w:t>9</w:t>
      </w:r>
      <w:r w:rsidRPr="00E61002">
        <w:rPr>
          <w:color w:val="auto"/>
        </w:rPr>
        <w:t> per cent</w:t>
      </w:r>
      <w:r w:rsidRPr="002C48D7">
        <w:rPr>
          <w:color w:val="auto"/>
        </w:rPr>
        <w:t xml:space="preserve"> to </w:t>
      </w:r>
      <w:r w:rsidRPr="00E61002">
        <w:rPr>
          <w:color w:val="auto"/>
        </w:rPr>
        <w:t>3,</w:t>
      </w:r>
      <w:r w:rsidR="00CB15C0" w:rsidRPr="00A549CA">
        <w:rPr>
          <w:color w:val="auto"/>
        </w:rPr>
        <w:t>381</w:t>
      </w:r>
      <w:r>
        <w:rPr>
          <w:color w:val="auto"/>
        </w:rPr>
        <w:t> proposals</w:t>
      </w:r>
      <w:r w:rsidRPr="002C48D7">
        <w:rPr>
          <w:color w:val="auto"/>
        </w:rPr>
        <w:t xml:space="preserve">, and the value of approvals </w:t>
      </w:r>
      <w:r>
        <w:rPr>
          <w:color w:val="auto"/>
        </w:rPr>
        <w:t xml:space="preserve">subject to conditions </w:t>
      </w:r>
      <w:r w:rsidR="0090013C" w:rsidRPr="00A549CA">
        <w:rPr>
          <w:color w:val="auto"/>
        </w:rPr>
        <w:t>increased</w:t>
      </w:r>
      <w:r w:rsidRPr="00A549CA">
        <w:rPr>
          <w:color w:val="auto"/>
        </w:rPr>
        <w:t xml:space="preserve"> by around 2</w:t>
      </w:r>
      <w:r w:rsidR="0090013C" w:rsidRPr="00A549CA">
        <w:rPr>
          <w:color w:val="auto"/>
        </w:rPr>
        <w:t>0</w:t>
      </w:r>
      <w:r w:rsidRPr="00A549CA">
        <w:rPr>
          <w:color w:val="auto"/>
        </w:rPr>
        <w:t> per cent to $1</w:t>
      </w:r>
      <w:r w:rsidR="00613D1B" w:rsidRPr="00A549CA">
        <w:rPr>
          <w:color w:val="auto"/>
        </w:rPr>
        <w:t>67</w:t>
      </w:r>
      <w:r w:rsidRPr="00A549CA">
        <w:rPr>
          <w:color w:val="auto"/>
        </w:rPr>
        <w:t>.</w:t>
      </w:r>
      <w:r w:rsidR="00613D1B" w:rsidRPr="00A549CA">
        <w:rPr>
          <w:color w:val="auto"/>
        </w:rPr>
        <w:t>1</w:t>
      </w:r>
      <w:r w:rsidRPr="00A549CA">
        <w:rPr>
          <w:color w:val="auto"/>
        </w:rPr>
        <w:t> billion</w:t>
      </w:r>
      <w:r w:rsidRPr="002C48D7">
        <w:rPr>
          <w:color w:val="auto"/>
        </w:rPr>
        <w:t>.</w:t>
      </w:r>
    </w:p>
    <w:p w14:paraId="2B435A07" w14:textId="77777777" w:rsidR="00601373" w:rsidRPr="00717B61" w:rsidRDefault="00601373" w:rsidP="00257433">
      <w:pPr>
        <w:pStyle w:val="Heading3"/>
      </w:pPr>
      <w:bookmarkStart w:id="99" w:name="_Toc80368780"/>
      <w:bookmarkStart w:id="100" w:name="_Toc87014314"/>
      <w:bookmarkStart w:id="101" w:name="_Toc89851708"/>
      <w:r w:rsidRPr="00717B61">
        <w:lastRenderedPageBreak/>
        <w:t>Rejections and other outcomes</w:t>
      </w:r>
      <w:bookmarkEnd w:id="99"/>
      <w:bookmarkEnd w:id="100"/>
      <w:bookmarkEnd w:id="101"/>
    </w:p>
    <w:p w14:paraId="51E1765D" w14:textId="1C18625F" w:rsidR="00601373" w:rsidRPr="002C48D7" w:rsidRDefault="00601373" w:rsidP="00601373">
      <w:pPr>
        <w:rPr>
          <w:color w:val="auto"/>
        </w:rPr>
      </w:pPr>
      <w:r w:rsidRPr="002C48D7">
        <w:rPr>
          <w:color w:val="auto"/>
        </w:rPr>
        <w:t xml:space="preserve">Information on investments that were required to be divested due to being in breach of </w:t>
      </w:r>
      <w:r w:rsidRPr="00943848">
        <w:rPr>
          <w:color w:val="auto"/>
        </w:rPr>
        <w:t>the framework</w:t>
      </w:r>
      <w:r>
        <w:rPr>
          <w:color w:val="auto"/>
        </w:rPr>
        <w:t xml:space="preserve"> are </w:t>
      </w:r>
      <w:r w:rsidR="00D17B28">
        <w:rPr>
          <w:color w:val="auto"/>
        </w:rPr>
        <w:t xml:space="preserve">discussed </w:t>
      </w:r>
      <w:r>
        <w:rPr>
          <w:color w:val="auto"/>
        </w:rPr>
        <w:t xml:space="preserve">in </w:t>
      </w:r>
      <w:r w:rsidRPr="002C48D7">
        <w:rPr>
          <w:color w:val="auto"/>
        </w:rPr>
        <w:t>Chapter 4.</w:t>
      </w:r>
    </w:p>
    <w:p w14:paraId="37B3C175" w14:textId="29E9C4A1" w:rsidR="00601373" w:rsidRPr="002C48D7" w:rsidRDefault="00601373" w:rsidP="00601373">
      <w:pPr>
        <w:rPr>
          <w:color w:val="auto"/>
        </w:rPr>
      </w:pPr>
      <w:bookmarkStart w:id="102" w:name="_Hlk88559477"/>
      <w:r>
        <w:rPr>
          <w:color w:val="auto"/>
        </w:rPr>
        <w:t xml:space="preserve">In </w:t>
      </w:r>
      <w:r w:rsidR="00D76ED2">
        <w:rPr>
          <w:color w:val="auto"/>
        </w:rPr>
        <w:t>2020</w:t>
      </w:r>
      <w:r w:rsidR="00D76ED2">
        <w:rPr>
          <w:color w:val="auto"/>
        </w:rPr>
        <w:noBreakHyphen/>
        <w:t>21</w:t>
      </w:r>
      <w:r w:rsidRPr="00CC27B9">
        <w:rPr>
          <w:color w:val="auto"/>
        </w:rPr>
        <w:t xml:space="preserve">, </w:t>
      </w:r>
      <w:r w:rsidR="00584D5F" w:rsidRPr="00CC27B9">
        <w:rPr>
          <w:color w:val="auto"/>
        </w:rPr>
        <w:t>891</w:t>
      </w:r>
      <w:r w:rsidRPr="00CC27B9">
        <w:rPr>
          <w:color w:val="auto"/>
        </w:rPr>
        <w:t> </w:t>
      </w:r>
      <w:r w:rsidR="00D17B28">
        <w:rPr>
          <w:color w:val="auto"/>
        </w:rPr>
        <w:t>proposals</w:t>
      </w:r>
      <w:r w:rsidRPr="00CC27B9">
        <w:rPr>
          <w:color w:val="auto"/>
        </w:rPr>
        <w:t xml:space="preserve"> were withdrawn prior to a decision being made, representing an increase of </w:t>
      </w:r>
      <w:r w:rsidR="00635839" w:rsidRPr="00CC27B9">
        <w:rPr>
          <w:color w:val="auto"/>
        </w:rPr>
        <w:t>176</w:t>
      </w:r>
      <w:r w:rsidRPr="00CC27B9">
        <w:rPr>
          <w:color w:val="auto"/>
        </w:rPr>
        <w:t xml:space="preserve"> withdrawals compared to </w:t>
      </w:r>
      <w:r w:rsidR="00D76ED2">
        <w:rPr>
          <w:color w:val="auto"/>
        </w:rPr>
        <w:t>2019</w:t>
      </w:r>
      <w:r w:rsidR="00D76ED2">
        <w:rPr>
          <w:color w:val="auto"/>
        </w:rPr>
        <w:noBreakHyphen/>
        <w:t>20</w:t>
      </w:r>
      <w:r w:rsidR="00635839">
        <w:rPr>
          <w:color w:val="auto"/>
        </w:rPr>
        <w:t xml:space="preserve"> (</w:t>
      </w:r>
      <w:r w:rsidR="00D17B28">
        <w:rPr>
          <w:color w:val="auto"/>
        </w:rPr>
        <w:t>s</w:t>
      </w:r>
      <w:r w:rsidR="00635839">
        <w:rPr>
          <w:color w:val="auto"/>
        </w:rPr>
        <w:t>ee</w:t>
      </w:r>
      <w:r w:rsidR="00C64693">
        <w:rPr>
          <w:color w:val="auto"/>
        </w:rPr>
        <w:t> </w:t>
      </w:r>
      <w:r w:rsidR="00635839">
        <w:rPr>
          <w:color w:val="auto"/>
        </w:rPr>
        <w:t>Table</w:t>
      </w:r>
      <w:r w:rsidR="00C64693">
        <w:rPr>
          <w:color w:val="auto"/>
        </w:rPr>
        <w:t> </w:t>
      </w:r>
      <w:r w:rsidR="00635839">
        <w:rPr>
          <w:color w:val="auto"/>
        </w:rPr>
        <w:t>3.1)</w:t>
      </w:r>
      <w:r w:rsidRPr="002C48D7">
        <w:rPr>
          <w:color w:val="auto"/>
        </w:rPr>
        <w:t xml:space="preserve">. </w:t>
      </w:r>
      <w:r>
        <w:rPr>
          <w:color w:val="auto"/>
        </w:rPr>
        <w:t>The reasons for withdrawal of</w:t>
      </w:r>
      <w:r w:rsidRPr="002C48D7">
        <w:rPr>
          <w:color w:val="auto"/>
        </w:rPr>
        <w:t xml:space="preserve"> </w:t>
      </w:r>
      <w:r w:rsidR="00D17B28">
        <w:rPr>
          <w:color w:val="auto"/>
        </w:rPr>
        <w:t>proposal</w:t>
      </w:r>
      <w:r w:rsidRPr="002C48D7">
        <w:rPr>
          <w:color w:val="auto"/>
        </w:rPr>
        <w:t xml:space="preserve">s </w:t>
      </w:r>
      <w:r>
        <w:rPr>
          <w:color w:val="auto"/>
        </w:rPr>
        <w:t>are varied. A</w:t>
      </w:r>
      <w:r w:rsidRPr="002C48D7">
        <w:rPr>
          <w:color w:val="auto"/>
        </w:rPr>
        <w:t xml:space="preserve"> foreign person </w:t>
      </w:r>
      <w:r>
        <w:rPr>
          <w:color w:val="auto"/>
        </w:rPr>
        <w:t>may</w:t>
      </w:r>
      <w:r w:rsidRPr="002C48D7">
        <w:rPr>
          <w:color w:val="auto"/>
        </w:rPr>
        <w:t xml:space="preserve"> not proceed with a purchase or defer a purchase for commercial reasons. Also, in competitive bid or tender processes</w:t>
      </w:r>
      <w:r w:rsidR="00E84279">
        <w:rPr>
          <w:color w:val="auto"/>
        </w:rPr>
        <w:t>,</w:t>
      </w:r>
      <w:r w:rsidRPr="002C48D7">
        <w:rPr>
          <w:color w:val="auto"/>
        </w:rPr>
        <w:t xml:space="preserve"> a foreign person may not be shortlisted or be unsuccessful prior to a decision on their application. </w:t>
      </w:r>
      <w:r>
        <w:rPr>
          <w:color w:val="auto"/>
        </w:rPr>
        <w:t>W</w:t>
      </w:r>
      <w:r w:rsidRPr="002C48D7">
        <w:rPr>
          <w:color w:val="auto"/>
        </w:rPr>
        <w:t xml:space="preserve">ithdrawals may </w:t>
      </w:r>
      <w:r>
        <w:rPr>
          <w:color w:val="auto"/>
        </w:rPr>
        <w:t xml:space="preserve">also be prompted by </w:t>
      </w:r>
      <w:r w:rsidRPr="002C48D7">
        <w:rPr>
          <w:color w:val="auto"/>
        </w:rPr>
        <w:t xml:space="preserve">assets, land or securities being withdrawn from sale by a vendor, or the investor consortium composition changing following the submission of </w:t>
      </w:r>
      <w:r w:rsidR="00D17B28">
        <w:rPr>
          <w:color w:val="auto"/>
        </w:rPr>
        <w:t>a proposal</w:t>
      </w:r>
      <w:r>
        <w:rPr>
          <w:color w:val="auto"/>
        </w:rPr>
        <w:t>, or concerns identified by the investor with the proposed investment</w:t>
      </w:r>
      <w:r w:rsidRPr="002C48D7">
        <w:rPr>
          <w:color w:val="auto"/>
        </w:rPr>
        <w:t>.</w:t>
      </w:r>
    </w:p>
    <w:p w14:paraId="5953421A" w14:textId="2C427C74" w:rsidR="00383606" w:rsidRPr="00383606" w:rsidRDefault="00601373" w:rsidP="00383606">
      <w:pPr>
        <w:rPr>
          <w:color w:val="auto"/>
        </w:rPr>
      </w:pPr>
      <w:r w:rsidRPr="00B47375">
        <w:rPr>
          <w:color w:val="auto"/>
        </w:rPr>
        <w:t xml:space="preserve">In </w:t>
      </w:r>
      <w:r w:rsidR="00D76ED2">
        <w:rPr>
          <w:color w:val="auto"/>
        </w:rPr>
        <w:t>2020</w:t>
      </w:r>
      <w:r w:rsidR="00D76ED2">
        <w:rPr>
          <w:color w:val="auto"/>
        </w:rPr>
        <w:noBreakHyphen/>
        <w:t>21</w:t>
      </w:r>
      <w:r w:rsidRPr="002C48D7">
        <w:rPr>
          <w:color w:val="auto"/>
        </w:rPr>
        <w:t xml:space="preserve">, </w:t>
      </w:r>
      <w:r w:rsidR="000E4D00" w:rsidRPr="00D85FD9">
        <w:rPr>
          <w:color w:val="auto"/>
        </w:rPr>
        <w:t>72</w:t>
      </w:r>
      <w:r w:rsidRPr="00D85FD9">
        <w:rPr>
          <w:color w:val="auto"/>
        </w:rPr>
        <w:t> </w:t>
      </w:r>
      <w:r w:rsidR="00D17B28">
        <w:rPr>
          <w:color w:val="auto"/>
        </w:rPr>
        <w:t>proposals</w:t>
      </w:r>
      <w:r w:rsidRPr="00D85FD9">
        <w:rPr>
          <w:color w:val="auto"/>
        </w:rPr>
        <w:t xml:space="preserve"> were determined to be exempt, s</w:t>
      </w:r>
      <w:r w:rsidR="000E4D00" w:rsidRPr="00D85FD9">
        <w:rPr>
          <w:color w:val="auto"/>
        </w:rPr>
        <w:t>even more</w:t>
      </w:r>
      <w:r w:rsidRPr="00D85FD9">
        <w:rPr>
          <w:color w:val="auto"/>
        </w:rPr>
        <w:t xml:space="preserve"> than in </w:t>
      </w:r>
      <w:r w:rsidR="00D76ED2">
        <w:rPr>
          <w:color w:val="auto"/>
        </w:rPr>
        <w:t>2019</w:t>
      </w:r>
      <w:r w:rsidR="00D76ED2">
        <w:rPr>
          <w:color w:val="auto"/>
        </w:rPr>
        <w:noBreakHyphen/>
        <w:t>20</w:t>
      </w:r>
      <w:r w:rsidR="00C97A15">
        <w:rPr>
          <w:color w:val="auto"/>
        </w:rPr>
        <w:t xml:space="preserve"> (</w:t>
      </w:r>
      <w:r w:rsidR="006B3A51">
        <w:rPr>
          <w:color w:val="auto"/>
        </w:rPr>
        <w:t>s</w:t>
      </w:r>
      <w:r w:rsidR="00C97A15">
        <w:rPr>
          <w:color w:val="auto"/>
        </w:rPr>
        <w:t>ee</w:t>
      </w:r>
      <w:r w:rsidR="003E7C79">
        <w:rPr>
          <w:color w:val="auto"/>
        </w:rPr>
        <w:t> </w:t>
      </w:r>
      <w:r w:rsidR="00C97A15">
        <w:rPr>
          <w:color w:val="auto"/>
        </w:rPr>
        <w:t>Table</w:t>
      </w:r>
      <w:r w:rsidR="00C64693">
        <w:rPr>
          <w:color w:val="auto"/>
        </w:rPr>
        <w:t> </w:t>
      </w:r>
      <w:r w:rsidR="00C97A15">
        <w:rPr>
          <w:color w:val="auto"/>
        </w:rPr>
        <w:t>3.1)</w:t>
      </w:r>
      <w:r w:rsidRPr="002C48D7">
        <w:rPr>
          <w:color w:val="auto"/>
        </w:rPr>
        <w:t xml:space="preserve">. Exempt refers to where </w:t>
      </w:r>
      <w:r w:rsidR="00D17B28">
        <w:rPr>
          <w:color w:val="auto"/>
        </w:rPr>
        <w:t>proposals</w:t>
      </w:r>
      <w:r w:rsidRPr="002C48D7">
        <w:rPr>
          <w:color w:val="auto"/>
        </w:rPr>
        <w:t xml:space="preserve"> have been lodged for a proposed investment that is subsequently determined to be exempt due to the proposed investment meeting the criteria for an exemption in the Act or factors such as the proposed investment not meeting a threshold subject to the Act.</w:t>
      </w:r>
      <w:bookmarkEnd w:id="102"/>
    </w:p>
    <w:p w14:paraId="5C4C8C99" w14:textId="5BFB320C" w:rsidR="00383606" w:rsidRDefault="00383606" w:rsidP="00257433">
      <w:pPr>
        <w:pStyle w:val="TableMainHeading"/>
      </w:pPr>
      <w:bookmarkStart w:id="103" w:name="_Toc89939935"/>
      <w:r w:rsidRPr="00257433">
        <w:t xml:space="preserve">Table </w:t>
      </w:r>
      <w:fldSimple w:instr=" STYLEREF 1 \s ">
        <w:r w:rsidR="0019342F">
          <w:rPr>
            <w:noProof/>
          </w:rPr>
          <w:t>3</w:t>
        </w:r>
      </w:fldSimple>
      <w:r w:rsidR="009812FE" w:rsidRPr="00257433">
        <w:t>.</w:t>
      </w:r>
      <w:fldSimple w:instr=" SEQ Table \* ARABIC \s 1 ">
        <w:r w:rsidR="0019342F">
          <w:rPr>
            <w:noProof/>
          </w:rPr>
          <w:t>1</w:t>
        </w:r>
      </w:fldSimple>
      <w:r w:rsidRPr="00257433">
        <w:t xml:space="preserve">: Proposals considered, </w:t>
      </w:r>
      <w:r w:rsidR="00DC1928">
        <w:t>2017</w:t>
      </w:r>
      <w:r w:rsidR="00DC1928">
        <w:noBreakHyphen/>
        <w:t>18</w:t>
      </w:r>
      <w:r w:rsidRPr="00257433">
        <w:t xml:space="preserve"> to </w:t>
      </w:r>
      <w:r w:rsidR="00D76ED2">
        <w:t>2020</w:t>
      </w:r>
      <w:r w:rsidR="00D76ED2">
        <w:noBreakHyphen/>
        <w:t>21</w:t>
      </w:r>
      <w:r w:rsidRPr="00257433">
        <w:t xml:space="preserve"> (number of proposals)</w:t>
      </w:r>
      <w:bookmarkEnd w:id="103"/>
    </w:p>
    <w:tbl>
      <w:tblPr>
        <w:tblW w:w="5000" w:type="pct"/>
        <w:tblLook w:val="04A0" w:firstRow="1" w:lastRow="0" w:firstColumn="1" w:lastColumn="0" w:noHBand="0" w:noVBand="1"/>
      </w:tblPr>
      <w:tblGrid>
        <w:gridCol w:w="2903"/>
        <w:gridCol w:w="1085"/>
        <w:gridCol w:w="1086"/>
        <w:gridCol w:w="1365"/>
        <w:gridCol w:w="1271"/>
      </w:tblGrid>
      <w:tr w:rsidR="00257433" w:rsidRPr="006F5724" w14:paraId="4EACB270" w14:textId="77777777" w:rsidTr="00257433">
        <w:trPr>
          <w:trHeight w:val="273"/>
        </w:trPr>
        <w:tc>
          <w:tcPr>
            <w:tcW w:w="1883" w:type="pct"/>
            <w:tcBorders>
              <w:top w:val="single" w:sz="4" w:space="0" w:color="auto"/>
              <w:left w:val="nil"/>
              <w:bottom w:val="nil"/>
              <w:right w:val="nil"/>
            </w:tcBorders>
            <w:shd w:val="clear" w:color="000000" w:fill="FFFFFF"/>
            <w:noWrap/>
            <w:vAlign w:val="bottom"/>
            <w:hideMark/>
          </w:tcPr>
          <w:p w14:paraId="1DBA02F3" w14:textId="77777777" w:rsidR="00257433" w:rsidRPr="006F5724" w:rsidRDefault="00257433" w:rsidP="00257433">
            <w:pPr>
              <w:spacing w:after="0" w:line="240" w:lineRule="auto"/>
              <w:jc w:val="left"/>
              <w:rPr>
                <w:rFonts w:ascii="Arial" w:hAnsi="Arial" w:cs="Arial"/>
                <w:sz w:val="16"/>
                <w:szCs w:val="16"/>
              </w:rPr>
            </w:pPr>
            <w:r w:rsidRPr="006F5724">
              <w:rPr>
                <w:rFonts w:ascii="Arial" w:hAnsi="Arial" w:cs="Arial"/>
                <w:sz w:val="16"/>
                <w:szCs w:val="16"/>
              </w:rPr>
              <w:t> </w:t>
            </w:r>
          </w:p>
        </w:tc>
        <w:tc>
          <w:tcPr>
            <w:tcW w:w="704" w:type="pct"/>
            <w:tcBorders>
              <w:top w:val="single" w:sz="4" w:space="0" w:color="auto"/>
              <w:left w:val="nil"/>
              <w:bottom w:val="nil"/>
              <w:right w:val="nil"/>
            </w:tcBorders>
            <w:shd w:val="clear" w:color="000000" w:fill="FFFFFF"/>
            <w:noWrap/>
            <w:vAlign w:val="bottom"/>
            <w:hideMark/>
          </w:tcPr>
          <w:p w14:paraId="040FEAB7" w14:textId="4502F53A"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 xml:space="preserve"> </w:t>
            </w:r>
            <w:r w:rsidR="00DC1928">
              <w:rPr>
                <w:rFonts w:ascii="Arial" w:hAnsi="Arial" w:cs="Arial"/>
                <w:sz w:val="16"/>
                <w:szCs w:val="16"/>
              </w:rPr>
              <w:t>2017</w:t>
            </w:r>
            <w:r w:rsidR="00DC1928">
              <w:rPr>
                <w:rFonts w:ascii="Arial" w:hAnsi="Arial" w:cs="Arial"/>
                <w:sz w:val="16"/>
                <w:szCs w:val="16"/>
              </w:rPr>
              <w:noBreakHyphen/>
              <w:t>18</w:t>
            </w:r>
            <w:r w:rsidRPr="006F5724">
              <w:rPr>
                <w:rFonts w:ascii="Arial" w:hAnsi="Arial" w:cs="Arial"/>
                <w:sz w:val="16"/>
                <w:szCs w:val="16"/>
              </w:rPr>
              <w:t xml:space="preserve"> </w:t>
            </w:r>
          </w:p>
        </w:tc>
        <w:tc>
          <w:tcPr>
            <w:tcW w:w="704" w:type="pct"/>
            <w:tcBorders>
              <w:top w:val="single" w:sz="4" w:space="0" w:color="auto"/>
              <w:left w:val="nil"/>
              <w:bottom w:val="nil"/>
              <w:right w:val="nil"/>
            </w:tcBorders>
            <w:shd w:val="clear" w:color="000000" w:fill="FFFFFF"/>
            <w:noWrap/>
            <w:vAlign w:val="bottom"/>
            <w:hideMark/>
          </w:tcPr>
          <w:p w14:paraId="71AC1810" w14:textId="77E27756"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 xml:space="preserve"> </w:t>
            </w:r>
            <w:r w:rsidR="00C17F09">
              <w:rPr>
                <w:rFonts w:ascii="Arial" w:hAnsi="Arial" w:cs="Arial"/>
                <w:sz w:val="16"/>
                <w:szCs w:val="16"/>
              </w:rPr>
              <w:t>2018</w:t>
            </w:r>
            <w:r w:rsidR="00C17F09">
              <w:rPr>
                <w:rFonts w:ascii="Arial" w:hAnsi="Arial" w:cs="Arial"/>
                <w:sz w:val="16"/>
                <w:szCs w:val="16"/>
              </w:rPr>
              <w:noBreakHyphen/>
              <w:t>19</w:t>
            </w:r>
            <w:r w:rsidRPr="006F5724">
              <w:rPr>
                <w:rFonts w:ascii="Arial" w:hAnsi="Arial" w:cs="Arial"/>
                <w:sz w:val="16"/>
                <w:szCs w:val="16"/>
              </w:rPr>
              <w:t xml:space="preserve"> </w:t>
            </w:r>
          </w:p>
        </w:tc>
        <w:tc>
          <w:tcPr>
            <w:tcW w:w="885" w:type="pct"/>
            <w:tcBorders>
              <w:top w:val="single" w:sz="4" w:space="0" w:color="auto"/>
              <w:left w:val="nil"/>
              <w:bottom w:val="nil"/>
              <w:right w:val="nil"/>
            </w:tcBorders>
            <w:shd w:val="clear" w:color="000000" w:fill="FFFFFF"/>
            <w:noWrap/>
            <w:vAlign w:val="bottom"/>
            <w:hideMark/>
          </w:tcPr>
          <w:p w14:paraId="722416BE" w14:textId="46A773CB"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 xml:space="preserve"> </w:t>
            </w:r>
            <w:r w:rsidR="00D76ED2">
              <w:rPr>
                <w:rFonts w:ascii="Arial" w:hAnsi="Arial" w:cs="Arial"/>
                <w:sz w:val="16"/>
                <w:szCs w:val="16"/>
              </w:rPr>
              <w:t>2019</w:t>
            </w:r>
            <w:r w:rsidR="00D76ED2">
              <w:rPr>
                <w:rFonts w:ascii="Arial" w:hAnsi="Arial" w:cs="Arial"/>
                <w:sz w:val="16"/>
                <w:szCs w:val="16"/>
              </w:rPr>
              <w:noBreakHyphen/>
              <w:t>20</w:t>
            </w:r>
            <w:r w:rsidRPr="006F5724">
              <w:rPr>
                <w:rFonts w:ascii="Arial" w:hAnsi="Arial" w:cs="Arial"/>
                <w:sz w:val="16"/>
                <w:szCs w:val="16"/>
              </w:rPr>
              <w:t xml:space="preserve"> </w:t>
            </w:r>
          </w:p>
        </w:tc>
        <w:tc>
          <w:tcPr>
            <w:tcW w:w="824" w:type="pct"/>
            <w:tcBorders>
              <w:top w:val="single" w:sz="4" w:space="0" w:color="auto"/>
              <w:left w:val="nil"/>
              <w:bottom w:val="nil"/>
              <w:right w:val="nil"/>
            </w:tcBorders>
            <w:shd w:val="clear" w:color="auto" w:fill="E1E8EB"/>
            <w:noWrap/>
            <w:vAlign w:val="bottom"/>
            <w:hideMark/>
          </w:tcPr>
          <w:p w14:paraId="6D897DD1" w14:textId="78BEDBFF"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 xml:space="preserve"> </w:t>
            </w:r>
            <w:r w:rsidR="00D76ED2">
              <w:rPr>
                <w:rFonts w:ascii="Arial" w:hAnsi="Arial" w:cs="Arial"/>
                <w:sz w:val="16"/>
                <w:szCs w:val="16"/>
              </w:rPr>
              <w:t>2020</w:t>
            </w:r>
            <w:r w:rsidR="00D76ED2">
              <w:rPr>
                <w:rFonts w:ascii="Arial" w:hAnsi="Arial" w:cs="Arial"/>
                <w:sz w:val="16"/>
                <w:szCs w:val="16"/>
              </w:rPr>
              <w:noBreakHyphen/>
              <w:t>21</w:t>
            </w:r>
            <w:r w:rsidRPr="006F5724">
              <w:rPr>
                <w:rFonts w:ascii="Arial" w:hAnsi="Arial" w:cs="Arial"/>
                <w:sz w:val="16"/>
                <w:szCs w:val="16"/>
              </w:rPr>
              <w:t xml:space="preserve"> </w:t>
            </w:r>
          </w:p>
        </w:tc>
      </w:tr>
      <w:tr w:rsidR="00257433" w:rsidRPr="006F5724" w14:paraId="2826B95A" w14:textId="77777777" w:rsidTr="00257433">
        <w:trPr>
          <w:trHeight w:val="273"/>
        </w:trPr>
        <w:tc>
          <w:tcPr>
            <w:tcW w:w="1883" w:type="pct"/>
            <w:tcBorders>
              <w:top w:val="nil"/>
              <w:left w:val="nil"/>
              <w:bottom w:val="single" w:sz="4" w:space="0" w:color="000000"/>
              <w:right w:val="nil"/>
            </w:tcBorders>
            <w:shd w:val="clear" w:color="000000" w:fill="FFFFFF"/>
            <w:noWrap/>
            <w:vAlign w:val="bottom"/>
            <w:hideMark/>
          </w:tcPr>
          <w:p w14:paraId="524641BC" w14:textId="77777777" w:rsidR="00257433" w:rsidRPr="006F5724" w:rsidRDefault="00257433" w:rsidP="00257433">
            <w:pPr>
              <w:spacing w:after="0" w:line="240" w:lineRule="auto"/>
              <w:jc w:val="left"/>
              <w:rPr>
                <w:rFonts w:ascii="Arial" w:hAnsi="Arial" w:cs="Arial"/>
                <w:sz w:val="16"/>
                <w:szCs w:val="16"/>
              </w:rPr>
            </w:pPr>
            <w:r w:rsidRPr="006F5724">
              <w:rPr>
                <w:rFonts w:ascii="Arial" w:hAnsi="Arial" w:cs="Arial"/>
                <w:sz w:val="16"/>
                <w:szCs w:val="16"/>
              </w:rPr>
              <w:t xml:space="preserve"> Outcome </w:t>
            </w:r>
          </w:p>
        </w:tc>
        <w:tc>
          <w:tcPr>
            <w:tcW w:w="704" w:type="pct"/>
            <w:tcBorders>
              <w:top w:val="nil"/>
              <w:left w:val="nil"/>
              <w:bottom w:val="single" w:sz="4" w:space="0" w:color="auto"/>
              <w:right w:val="nil"/>
            </w:tcBorders>
            <w:shd w:val="clear" w:color="000000" w:fill="FFFFFF"/>
            <w:noWrap/>
            <w:vAlign w:val="bottom"/>
            <w:hideMark/>
          </w:tcPr>
          <w:p w14:paraId="6C54BB56"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 xml:space="preserve"> No. </w:t>
            </w:r>
          </w:p>
        </w:tc>
        <w:tc>
          <w:tcPr>
            <w:tcW w:w="704" w:type="pct"/>
            <w:tcBorders>
              <w:top w:val="nil"/>
              <w:left w:val="nil"/>
              <w:bottom w:val="single" w:sz="4" w:space="0" w:color="auto"/>
              <w:right w:val="nil"/>
            </w:tcBorders>
            <w:shd w:val="clear" w:color="000000" w:fill="FFFFFF"/>
            <w:noWrap/>
            <w:vAlign w:val="bottom"/>
            <w:hideMark/>
          </w:tcPr>
          <w:p w14:paraId="09A3BD9E"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 xml:space="preserve"> No. </w:t>
            </w:r>
          </w:p>
        </w:tc>
        <w:tc>
          <w:tcPr>
            <w:tcW w:w="885" w:type="pct"/>
            <w:tcBorders>
              <w:top w:val="nil"/>
              <w:left w:val="nil"/>
              <w:bottom w:val="single" w:sz="4" w:space="0" w:color="auto"/>
              <w:right w:val="nil"/>
            </w:tcBorders>
            <w:shd w:val="clear" w:color="000000" w:fill="FFFFFF"/>
            <w:noWrap/>
            <w:vAlign w:val="bottom"/>
            <w:hideMark/>
          </w:tcPr>
          <w:p w14:paraId="69AE151C"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 xml:space="preserve"> No. </w:t>
            </w:r>
          </w:p>
        </w:tc>
        <w:tc>
          <w:tcPr>
            <w:tcW w:w="824" w:type="pct"/>
            <w:tcBorders>
              <w:top w:val="nil"/>
              <w:left w:val="nil"/>
              <w:bottom w:val="single" w:sz="4" w:space="0" w:color="auto"/>
              <w:right w:val="nil"/>
            </w:tcBorders>
            <w:shd w:val="clear" w:color="auto" w:fill="E1E8EB"/>
            <w:noWrap/>
            <w:vAlign w:val="bottom"/>
            <w:hideMark/>
          </w:tcPr>
          <w:p w14:paraId="566CD4A6"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 xml:space="preserve"> No. </w:t>
            </w:r>
          </w:p>
        </w:tc>
      </w:tr>
      <w:tr w:rsidR="00257433" w:rsidRPr="006F5724" w14:paraId="03B55A12" w14:textId="77777777" w:rsidTr="00257433">
        <w:trPr>
          <w:trHeight w:val="273"/>
        </w:trPr>
        <w:tc>
          <w:tcPr>
            <w:tcW w:w="1883" w:type="pct"/>
            <w:tcBorders>
              <w:top w:val="nil"/>
              <w:left w:val="nil"/>
              <w:bottom w:val="nil"/>
              <w:right w:val="nil"/>
            </w:tcBorders>
            <w:shd w:val="clear" w:color="000000" w:fill="FFFFFF"/>
            <w:noWrap/>
            <w:vAlign w:val="bottom"/>
            <w:hideMark/>
          </w:tcPr>
          <w:p w14:paraId="70A16B63" w14:textId="77777777" w:rsidR="00257433" w:rsidRPr="006F5724" w:rsidRDefault="00257433" w:rsidP="00257433">
            <w:pPr>
              <w:spacing w:after="0" w:line="240" w:lineRule="auto"/>
              <w:jc w:val="left"/>
              <w:rPr>
                <w:rFonts w:ascii="Arial" w:hAnsi="Arial" w:cs="Arial"/>
                <w:sz w:val="16"/>
                <w:szCs w:val="16"/>
              </w:rPr>
            </w:pPr>
            <w:r w:rsidRPr="006F5724">
              <w:rPr>
                <w:rFonts w:ascii="Arial" w:hAnsi="Arial" w:cs="Arial"/>
                <w:sz w:val="16"/>
                <w:szCs w:val="16"/>
              </w:rPr>
              <w:t> </w:t>
            </w:r>
          </w:p>
        </w:tc>
        <w:tc>
          <w:tcPr>
            <w:tcW w:w="704" w:type="pct"/>
            <w:tcBorders>
              <w:top w:val="nil"/>
              <w:left w:val="nil"/>
              <w:bottom w:val="nil"/>
              <w:right w:val="nil"/>
            </w:tcBorders>
            <w:shd w:val="clear" w:color="000000" w:fill="FFFFFF"/>
            <w:noWrap/>
            <w:vAlign w:val="bottom"/>
            <w:hideMark/>
          </w:tcPr>
          <w:p w14:paraId="7BA1AFEB"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 </w:t>
            </w:r>
          </w:p>
        </w:tc>
        <w:tc>
          <w:tcPr>
            <w:tcW w:w="704" w:type="pct"/>
            <w:tcBorders>
              <w:top w:val="nil"/>
              <w:left w:val="nil"/>
              <w:bottom w:val="nil"/>
              <w:right w:val="nil"/>
            </w:tcBorders>
            <w:shd w:val="clear" w:color="000000" w:fill="FFFFFF"/>
            <w:noWrap/>
            <w:vAlign w:val="bottom"/>
            <w:hideMark/>
          </w:tcPr>
          <w:p w14:paraId="04E6CD6D"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 </w:t>
            </w:r>
          </w:p>
        </w:tc>
        <w:tc>
          <w:tcPr>
            <w:tcW w:w="885" w:type="pct"/>
            <w:tcBorders>
              <w:top w:val="nil"/>
              <w:left w:val="nil"/>
              <w:bottom w:val="nil"/>
              <w:right w:val="nil"/>
            </w:tcBorders>
            <w:shd w:val="clear" w:color="000000" w:fill="FFFFFF"/>
            <w:noWrap/>
            <w:vAlign w:val="bottom"/>
            <w:hideMark/>
          </w:tcPr>
          <w:p w14:paraId="2563763D"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 </w:t>
            </w:r>
          </w:p>
        </w:tc>
        <w:tc>
          <w:tcPr>
            <w:tcW w:w="824" w:type="pct"/>
            <w:tcBorders>
              <w:top w:val="single" w:sz="4" w:space="0" w:color="auto"/>
              <w:left w:val="nil"/>
              <w:right w:val="nil"/>
            </w:tcBorders>
            <w:shd w:val="clear" w:color="auto" w:fill="E1E8EB"/>
            <w:noWrap/>
            <w:vAlign w:val="bottom"/>
            <w:hideMark/>
          </w:tcPr>
          <w:p w14:paraId="73BBB901"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 </w:t>
            </w:r>
          </w:p>
        </w:tc>
      </w:tr>
      <w:tr w:rsidR="00257433" w:rsidRPr="006F5724" w14:paraId="2C0B094D" w14:textId="77777777" w:rsidTr="00257433">
        <w:trPr>
          <w:trHeight w:val="273"/>
        </w:trPr>
        <w:tc>
          <w:tcPr>
            <w:tcW w:w="1883" w:type="pct"/>
            <w:tcBorders>
              <w:top w:val="nil"/>
              <w:left w:val="nil"/>
              <w:bottom w:val="nil"/>
              <w:right w:val="nil"/>
            </w:tcBorders>
            <w:shd w:val="clear" w:color="000000" w:fill="FFFFFF"/>
            <w:noWrap/>
            <w:vAlign w:val="bottom"/>
            <w:hideMark/>
          </w:tcPr>
          <w:p w14:paraId="5F4D1E02" w14:textId="77777777" w:rsidR="00257433" w:rsidRPr="006F5724" w:rsidRDefault="00257433" w:rsidP="00257433">
            <w:pPr>
              <w:spacing w:after="0" w:line="240" w:lineRule="auto"/>
              <w:jc w:val="left"/>
              <w:rPr>
                <w:rFonts w:ascii="Arial" w:hAnsi="Arial" w:cs="Arial"/>
                <w:sz w:val="16"/>
                <w:szCs w:val="16"/>
              </w:rPr>
            </w:pPr>
            <w:r w:rsidRPr="006F5724">
              <w:rPr>
                <w:rFonts w:ascii="Arial" w:hAnsi="Arial" w:cs="Arial"/>
                <w:sz w:val="16"/>
                <w:szCs w:val="16"/>
              </w:rPr>
              <w:t xml:space="preserve"> Approved without conditions </w:t>
            </w:r>
          </w:p>
        </w:tc>
        <w:tc>
          <w:tcPr>
            <w:tcW w:w="704" w:type="pct"/>
            <w:tcBorders>
              <w:top w:val="nil"/>
              <w:left w:val="nil"/>
              <w:bottom w:val="nil"/>
              <w:right w:val="nil"/>
            </w:tcBorders>
            <w:shd w:val="clear" w:color="000000" w:fill="FFFFFF"/>
            <w:noWrap/>
            <w:vAlign w:val="bottom"/>
            <w:hideMark/>
          </w:tcPr>
          <w:p w14:paraId="2C8518C8"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6,301</w:t>
            </w:r>
          </w:p>
        </w:tc>
        <w:tc>
          <w:tcPr>
            <w:tcW w:w="704" w:type="pct"/>
            <w:tcBorders>
              <w:top w:val="nil"/>
              <w:left w:val="nil"/>
              <w:bottom w:val="nil"/>
              <w:right w:val="nil"/>
            </w:tcBorders>
            <w:shd w:val="clear" w:color="000000" w:fill="FFFFFF"/>
            <w:noWrap/>
            <w:vAlign w:val="bottom"/>
            <w:hideMark/>
          </w:tcPr>
          <w:p w14:paraId="09147345"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4,575</w:t>
            </w:r>
          </w:p>
        </w:tc>
        <w:tc>
          <w:tcPr>
            <w:tcW w:w="885" w:type="pct"/>
            <w:tcBorders>
              <w:top w:val="nil"/>
              <w:left w:val="nil"/>
              <w:bottom w:val="nil"/>
              <w:right w:val="nil"/>
            </w:tcBorders>
            <w:shd w:val="clear" w:color="000000" w:fill="FFFFFF"/>
            <w:noWrap/>
            <w:vAlign w:val="bottom"/>
            <w:hideMark/>
          </w:tcPr>
          <w:p w14:paraId="7096E3E6"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4,508</w:t>
            </w:r>
          </w:p>
        </w:tc>
        <w:tc>
          <w:tcPr>
            <w:tcW w:w="824" w:type="pct"/>
            <w:tcBorders>
              <w:left w:val="nil"/>
              <w:bottom w:val="nil"/>
              <w:right w:val="nil"/>
            </w:tcBorders>
            <w:shd w:val="clear" w:color="auto" w:fill="E1E8EB"/>
            <w:noWrap/>
            <w:vAlign w:val="bottom"/>
            <w:hideMark/>
          </w:tcPr>
          <w:p w14:paraId="67B1D37B"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3,269</w:t>
            </w:r>
          </w:p>
        </w:tc>
      </w:tr>
      <w:tr w:rsidR="00257433" w:rsidRPr="006F5724" w14:paraId="78018176" w14:textId="77777777" w:rsidTr="00257433">
        <w:trPr>
          <w:trHeight w:val="273"/>
        </w:trPr>
        <w:tc>
          <w:tcPr>
            <w:tcW w:w="1883" w:type="pct"/>
            <w:tcBorders>
              <w:top w:val="nil"/>
              <w:left w:val="nil"/>
              <w:bottom w:val="nil"/>
              <w:right w:val="nil"/>
            </w:tcBorders>
            <w:shd w:val="clear" w:color="000000" w:fill="FFFFFF"/>
            <w:noWrap/>
            <w:vAlign w:val="bottom"/>
            <w:hideMark/>
          </w:tcPr>
          <w:p w14:paraId="3E708CDD" w14:textId="77777777" w:rsidR="00257433" w:rsidRPr="006F5724" w:rsidRDefault="00257433" w:rsidP="00257433">
            <w:pPr>
              <w:spacing w:after="0" w:line="240" w:lineRule="auto"/>
              <w:jc w:val="left"/>
              <w:rPr>
                <w:rFonts w:ascii="Arial" w:hAnsi="Arial" w:cs="Arial"/>
                <w:sz w:val="16"/>
                <w:szCs w:val="16"/>
              </w:rPr>
            </w:pPr>
            <w:r w:rsidRPr="006F5724">
              <w:rPr>
                <w:rFonts w:ascii="Arial" w:hAnsi="Arial" w:cs="Arial"/>
                <w:sz w:val="16"/>
                <w:szCs w:val="16"/>
              </w:rPr>
              <w:t xml:space="preserve"> Approved with conditions </w:t>
            </w:r>
          </w:p>
        </w:tc>
        <w:tc>
          <w:tcPr>
            <w:tcW w:w="704" w:type="pct"/>
            <w:tcBorders>
              <w:top w:val="nil"/>
              <w:left w:val="nil"/>
              <w:bottom w:val="single" w:sz="4" w:space="0" w:color="auto"/>
              <w:right w:val="nil"/>
            </w:tcBorders>
            <w:shd w:val="clear" w:color="000000" w:fill="FFFFFF"/>
            <w:noWrap/>
            <w:vAlign w:val="bottom"/>
            <w:hideMark/>
          </w:tcPr>
          <w:p w14:paraId="7ED8D578"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4,844</w:t>
            </w:r>
          </w:p>
        </w:tc>
        <w:tc>
          <w:tcPr>
            <w:tcW w:w="704" w:type="pct"/>
            <w:tcBorders>
              <w:top w:val="nil"/>
              <w:left w:val="nil"/>
              <w:bottom w:val="single" w:sz="4" w:space="0" w:color="auto"/>
              <w:right w:val="nil"/>
            </w:tcBorders>
            <w:shd w:val="clear" w:color="000000" w:fill="FFFFFF"/>
            <w:noWrap/>
            <w:vAlign w:val="bottom"/>
            <w:hideMark/>
          </w:tcPr>
          <w:p w14:paraId="5F825EF8"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4,149</w:t>
            </w:r>
          </w:p>
        </w:tc>
        <w:tc>
          <w:tcPr>
            <w:tcW w:w="885" w:type="pct"/>
            <w:tcBorders>
              <w:top w:val="nil"/>
              <w:left w:val="nil"/>
              <w:bottom w:val="single" w:sz="4" w:space="0" w:color="auto"/>
              <w:right w:val="nil"/>
            </w:tcBorders>
            <w:shd w:val="clear" w:color="000000" w:fill="FFFFFF"/>
            <w:noWrap/>
            <w:vAlign w:val="bottom"/>
            <w:hideMark/>
          </w:tcPr>
          <w:p w14:paraId="27822C08"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3,713</w:t>
            </w:r>
          </w:p>
        </w:tc>
        <w:tc>
          <w:tcPr>
            <w:tcW w:w="824" w:type="pct"/>
            <w:tcBorders>
              <w:top w:val="nil"/>
              <w:left w:val="nil"/>
              <w:bottom w:val="single" w:sz="4" w:space="0" w:color="auto"/>
              <w:right w:val="nil"/>
            </w:tcBorders>
            <w:shd w:val="clear" w:color="auto" w:fill="E1E8EB"/>
            <w:noWrap/>
            <w:vAlign w:val="bottom"/>
            <w:hideMark/>
          </w:tcPr>
          <w:p w14:paraId="47E003E0"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3,381</w:t>
            </w:r>
          </w:p>
        </w:tc>
      </w:tr>
      <w:tr w:rsidR="00257433" w:rsidRPr="006F5724" w14:paraId="4CD53E59" w14:textId="77777777" w:rsidTr="00257433">
        <w:trPr>
          <w:trHeight w:val="273"/>
        </w:trPr>
        <w:tc>
          <w:tcPr>
            <w:tcW w:w="1883" w:type="pct"/>
            <w:tcBorders>
              <w:top w:val="nil"/>
              <w:left w:val="nil"/>
              <w:bottom w:val="nil"/>
              <w:right w:val="nil"/>
            </w:tcBorders>
            <w:shd w:val="clear" w:color="000000" w:fill="FFFFFF"/>
            <w:noWrap/>
            <w:vAlign w:val="bottom"/>
            <w:hideMark/>
          </w:tcPr>
          <w:p w14:paraId="6CD08AF1" w14:textId="77777777" w:rsidR="00257433" w:rsidRPr="006F5724" w:rsidRDefault="00257433" w:rsidP="00257433">
            <w:pPr>
              <w:spacing w:after="0" w:line="240" w:lineRule="auto"/>
              <w:jc w:val="left"/>
              <w:rPr>
                <w:rFonts w:ascii="Arial" w:hAnsi="Arial" w:cs="Arial"/>
                <w:b/>
                <w:bCs/>
                <w:sz w:val="16"/>
                <w:szCs w:val="16"/>
              </w:rPr>
            </w:pPr>
            <w:r w:rsidRPr="006F5724">
              <w:rPr>
                <w:rFonts w:ascii="Arial" w:hAnsi="Arial" w:cs="Arial"/>
                <w:b/>
                <w:bCs/>
                <w:sz w:val="16"/>
                <w:szCs w:val="16"/>
              </w:rPr>
              <w:t xml:space="preserve">   Total approved </w:t>
            </w:r>
          </w:p>
        </w:tc>
        <w:tc>
          <w:tcPr>
            <w:tcW w:w="704" w:type="pct"/>
            <w:tcBorders>
              <w:top w:val="nil"/>
              <w:left w:val="nil"/>
              <w:bottom w:val="nil"/>
              <w:right w:val="nil"/>
            </w:tcBorders>
            <w:shd w:val="clear" w:color="000000" w:fill="FFFFFF"/>
            <w:noWrap/>
            <w:vAlign w:val="bottom"/>
            <w:hideMark/>
          </w:tcPr>
          <w:p w14:paraId="176F4227" w14:textId="77777777" w:rsidR="00257433" w:rsidRPr="006F5724" w:rsidRDefault="00257433" w:rsidP="00257433">
            <w:pPr>
              <w:spacing w:after="0" w:line="240" w:lineRule="auto"/>
              <w:jc w:val="right"/>
              <w:rPr>
                <w:rFonts w:ascii="Arial" w:hAnsi="Arial" w:cs="Arial"/>
                <w:b/>
                <w:bCs/>
                <w:sz w:val="16"/>
                <w:szCs w:val="16"/>
              </w:rPr>
            </w:pPr>
            <w:r w:rsidRPr="006F5724">
              <w:rPr>
                <w:rFonts w:ascii="Arial" w:hAnsi="Arial" w:cs="Arial"/>
                <w:b/>
                <w:bCs/>
                <w:sz w:val="16"/>
                <w:szCs w:val="16"/>
              </w:rPr>
              <w:t>11,145</w:t>
            </w:r>
          </w:p>
        </w:tc>
        <w:tc>
          <w:tcPr>
            <w:tcW w:w="704" w:type="pct"/>
            <w:tcBorders>
              <w:top w:val="nil"/>
              <w:left w:val="nil"/>
              <w:bottom w:val="nil"/>
              <w:right w:val="nil"/>
            </w:tcBorders>
            <w:shd w:val="clear" w:color="000000" w:fill="FFFFFF"/>
            <w:noWrap/>
            <w:vAlign w:val="bottom"/>
            <w:hideMark/>
          </w:tcPr>
          <w:p w14:paraId="22499CB9" w14:textId="77777777" w:rsidR="00257433" w:rsidRPr="006F5724" w:rsidRDefault="00257433" w:rsidP="00257433">
            <w:pPr>
              <w:spacing w:after="0" w:line="240" w:lineRule="auto"/>
              <w:jc w:val="right"/>
              <w:rPr>
                <w:rFonts w:ascii="Arial" w:hAnsi="Arial" w:cs="Arial"/>
                <w:b/>
                <w:bCs/>
                <w:sz w:val="16"/>
                <w:szCs w:val="16"/>
              </w:rPr>
            </w:pPr>
            <w:r w:rsidRPr="006F5724">
              <w:rPr>
                <w:rFonts w:ascii="Arial" w:hAnsi="Arial" w:cs="Arial"/>
                <w:b/>
                <w:bCs/>
                <w:sz w:val="16"/>
                <w:szCs w:val="16"/>
              </w:rPr>
              <w:t>8,724</w:t>
            </w:r>
          </w:p>
        </w:tc>
        <w:tc>
          <w:tcPr>
            <w:tcW w:w="885" w:type="pct"/>
            <w:tcBorders>
              <w:top w:val="nil"/>
              <w:left w:val="nil"/>
              <w:bottom w:val="nil"/>
              <w:right w:val="nil"/>
            </w:tcBorders>
            <w:shd w:val="clear" w:color="000000" w:fill="FFFFFF"/>
            <w:noWrap/>
            <w:vAlign w:val="bottom"/>
            <w:hideMark/>
          </w:tcPr>
          <w:p w14:paraId="7D0E34C7" w14:textId="77777777" w:rsidR="00257433" w:rsidRPr="006F5724" w:rsidRDefault="00257433" w:rsidP="00257433">
            <w:pPr>
              <w:spacing w:after="0" w:line="240" w:lineRule="auto"/>
              <w:jc w:val="right"/>
              <w:rPr>
                <w:rFonts w:ascii="Arial" w:hAnsi="Arial" w:cs="Arial"/>
                <w:b/>
                <w:bCs/>
                <w:sz w:val="16"/>
                <w:szCs w:val="16"/>
              </w:rPr>
            </w:pPr>
            <w:r w:rsidRPr="006F5724">
              <w:rPr>
                <w:rFonts w:ascii="Arial" w:hAnsi="Arial" w:cs="Arial"/>
                <w:b/>
                <w:bCs/>
                <w:sz w:val="16"/>
                <w:szCs w:val="16"/>
              </w:rPr>
              <w:t>8,221</w:t>
            </w:r>
          </w:p>
        </w:tc>
        <w:tc>
          <w:tcPr>
            <w:tcW w:w="824" w:type="pct"/>
            <w:tcBorders>
              <w:top w:val="nil"/>
              <w:left w:val="nil"/>
              <w:bottom w:val="nil"/>
              <w:right w:val="nil"/>
            </w:tcBorders>
            <w:shd w:val="clear" w:color="auto" w:fill="E1E8EB"/>
            <w:noWrap/>
            <w:vAlign w:val="bottom"/>
            <w:hideMark/>
          </w:tcPr>
          <w:p w14:paraId="250BB2C0" w14:textId="77777777" w:rsidR="00257433" w:rsidRPr="006F5724" w:rsidRDefault="00257433" w:rsidP="00257433">
            <w:pPr>
              <w:spacing w:after="0" w:line="240" w:lineRule="auto"/>
              <w:jc w:val="right"/>
              <w:rPr>
                <w:rFonts w:ascii="Arial" w:hAnsi="Arial" w:cs="Arial"/>
                <w:b/>
                <w:bCs/>
                <w:sz w:val="16"/>
                <w:szCs w:val="16"/>
              </w:rPr>
            </w:pPr>
            <w:r w:rsidRPr="006F5724">
              <w:rPr>
                <w:rFonts w:ascii="Arial" w:hAnsi="Arial" w:cs="Arial"/>
                <w:b/>
                <w:bCs/>
                <w:sz w:val="16"/>
                <w:szCs w:val="16"/>
              </w:rPr>
              <w:t>6,650</w:t>
            </w:r>
          </w:p>
        </w:tc>
      </w:tr>
      <w:tr w:rsidR="00257433" w:rsidRPr="006F5724" w14:paraId="69BC50D2" w14:textId="77777777" w:rsidTr="00257433">
        <w:trPr>
          <w:trHeight w:val="273"/>
        </w:trPr>
        <w:tc>
          <w:tcPr>
            <w:tcW w:w="1883" w:type="pct"/>
            <w:tcBorders>
              <w:top w:val="nil"/>
              <w:left w:val="nil"/>
              <w:bottom w:val="nil"/>
              <w:right w:val="nil"/>
            </w:tcBorders>
            <w:shd w:val="clear" w:color="000000" w:fill="FFFFFF"/>
            <w:noWrap/>
            <w:vAlign w:val="bottom"/>
            <w:hideMark/>
          </w:tcPr>
          <w:p w14:paraId="2BC5CAEE" w14:textId="77777777" w:rsidR="00257433" w:rsidRPr="006F5724" w:rsidRDefault="00257433" w:rsidP="00257433">
            <w:pPr>
              <w:spacing w:after="0" w:line="240" w:lineRule="auto"/>
              <w:jc w:val="left"/>
              <w:rPr>
                <w:rFonts w:ascii="Arial" w:hAnsi="Arial" w:cs="Arial"/>
                <w:sz w:val="16"/>
                <w:szCs w:val="16"/>
              </w:rPr>
            </w:pPr>
            <w:r w:rsidRPr="006F5724">
              <w:rPr>
                <w:rFonts w:ascii="Arial" w:hAnsi="Arial" w:cs="Arial"/>
                <w:sz w:val="16"/>
                <w:szCs w:val="16"/>
              </w:rPr>
              <w:t xml:space="preserve"> Rejected </w:t>
            </w:r>
          </w:p>
        </w:tc>
        <w:tc>
          <w:tcPr>
            <w:tcW w:w="704" w:type="pct"/>
            <w:tcBorders>
              <w:top w:val="nil"/>
              <w:left w:val="nil"/>
              <w:bottom w:val="nil"/>
              <w:right w:val="nil"/>
            </w:tcBorders>
            <w:shd w:val="clear" w:color="000000" w:fill="FFFFFF"/>
            <w:noWrap/>
            <w:vAlign w:val="bottom"/>
            <w:hideMark/>
          </w:tcPr>
          <w:p w14:paraId="5E06C3D5"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2</w:t>
            </w:r>
          </w:p>
        </w:tc>
        <w:tc>
          <w:tcPr>
            <w:tcW w:w="704" w:type="pct"/>
            <w:tcBorders>
              <w:top w:val="nil"/>
              <w:left w:val="nil"/>
              <w:bottom w:val="nil"/>
              <w:right w:val="nil"/>
            </w:tcBorders>
            <w:shd w:val="clear" w:color="000000" w:fill="FFFFFF"/>
            <w:noWrap/>
            <w:vAlign w:val="bottom"/>
            <w:hideMark/>
          </w:tcPr>
          <w:p w14:paraId="4493A522"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1</w:t>
            </w:r>
          </w:p>
        </w:tc>
        <w:tc>
          <w:tcPr>
            <w:tcW w:w="885" w:type="pct"/>
            <w:tcBorders>
              <w:top w:val="nil"/>
              <w:left w:val="nil"/>
              <w:bottom w:val="nil"/>
              <w:right w:val="nil"/>
            </w:tcBorders>
            <w:shd w:val="clear" w:color="000000" w:fill="FFFFFF"/>
            <w:noWrap/>
            <w:vAlign w:val="bottom"/>
            <w:hideMark/>
          </w:tcPr>
          <w:p w14:paraId="6F32F2A0"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3</w:t>
            </w:r>
          </w:p>
        </w:tc>
        <w:tc>
          <w:tcPr>
            <w:tcW w:w="824" w:type="pct"/>
            <w:tcBorders>
              <w:top w:val="nil"/>
              <w:left w:val="nil"/>
              <w:bottom w:val="nil"/>
              <w:right w:val="nil"/>
            </w:tcBorders>
            <w:shd w:val="clear" w:color="auto" w:fill="E1E8EB"/>
            <w:noWrap/>
            <w:vAlign w:val="bottom"/>
            <w:hideMark/>
          </w:tcPr>
          <w:p w14:paraId="1092C5D6"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1</w:t>
            </w:r>
          </w:p>
        </w:tc>
      </w:tr>
      <w:tr w:rsidR="00257433" w:rsidRPr="006F5724" w14:paraId="55D338DF" w14:textId="77777777" w:rsidTr="00257433">
        <w:trPr>
          <w:trHeight w:val="273"/>
        </w:trPr>
        <w:tc>
          <w:tcPr>
            <w:tcW w:w="1883" w:type="pct"/>
            <w:tcBorders>
              <w:top w:val="nil"/>
              <w:left w:val="nil"/>
              <w:bottom w:val="nil"/>
              <w:right w:val="nil"/>
            </w:tcBorders>
            <w:shd w:val="clear" w:color="auto" w:fill="auto"/>
            <w:noWrap/>
            <w:vAlign w:val="bottom"/>
            <w:hideMark/>
          </w:tcPr>
          <w:p w14:paraId="78757D53" w14:textId="77777777" w:rsidR="00257433" w:rsidRPr="006F5724" w:rsidRDefault="00257433" w:rsidP="00257433">
            <w:pPr>
              <w:spacing w:after="0" w:line="240" w:lineRule="auto"/>
              <w:jc w:val="left"/>
              <w:rPr>
                <w:rFonts w:ascii="Arial" w:hAnsi="Arial" w:cs="Arial"/>
                <w:sz w:val="16"/>
                <w:szCs w:val="16"/>
              </w:rPr>
            </w:pPr>
            <w:r w:rsidRPr="006F5724">
              <w:rPr>
                <w:rFonts w:ascii="Arial" w:hAnsi="Arial" w:cs="Arial"/>
                <w:sz w:val="16"/>
                <w:szCs w:val="16"/>
              </w:rPr>
              <w:t xml:space="preserve"> Declined </w:t>
            </w:r>
          </w:p>
        </w:tc>
        <w:tc>
          <w:tcPr>
            <w:tcW w:w="704" w:type="pct"/>
            <w:tcBorders>
              <w:top w:val="nil"/>
              <w:left w:val="nil"/>
              <w:bottom w:val="single" w:sz="4" w:space="0" w:color="auto"/>
              <w:right w:val="nil"/>
            </w:tcBorders>
            <w:shd w:val="clear" w:color="000000" w:fill="FFFFFF"/>
            <w:noWrap/>
            <w:vAlign w:val="bottom"/>
            <w:hideMark/>
          </w:tcPr>
          <w:p w14:paraId="4E55CEB7"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3</w:t>
            </w:r>
          </w:p>
        </w:tc>
        <w:tc>
          <w:tcPr>
            <w:tcW w:w="704" w:type="pct"/>
            <w:tcBorders>
              <w:top w:val="nil"/>
              <w:left w:val="nil"/>
              <w:bottom w:val="single" w:sz="4" w:space="0" w:color="auto"/>
              <w:right w:val="nil"/>
            </w:tcBorders>
            <w:shd w:val="clear" w:color="000000" w:fill="FFFFFF"/>
            <w:noWrap/>
            <w:vAlign w:val="bottom"/>
            <w:hideMark/>
          </w:tcPr>
          <w:p w14:paraId="4CE81C2B" w14:textId="77777777" w:rsidR="00257433" w:rsidRPr="006F5724" w:rsidRDefault="00257433" w:rsidP="00257433">
            <w:pPr>
              <w:spacing w:after="0" w:line="240" w:lineRule="auto"/>
              <w:jc w:val="right"/>
              <w:rPr>
                <w:rFonts w:ascii="Arial" w:hAnsi="Arial" w:cs="Arial"/>
                <w:sz w:val="16"/>
                <w:szCs w:val="16"/>
              </w:rPr>
            </w:pPr>
            <w:r>
              <w:rPr>
                <w:rFonts w:ascii="Arial" w:hAnsi="Arial" w:cs="Arial"/>
                <w:sz w:val="16"/>
                <w:szCs w:val="16"/>
              </w:rPr>
              <w:t>–</w:t>
            </w:r>
          </w:p>
        </w:tc>
        <w:tc>
          <w:tcPr>
            <w:tcW w:w="885" w:type="pct"/>
            <w:tcBorders>
              <w:top w:val="nil"/>
              <w:left w:val="nil"/>
              <w:bottom w:val="single" w:sz="4" w:space="0" w:color="auto"/>
              <w:right w:val="nil"/>
            </w:tcBorders>
            <w:shd w:val="clear" w:color="000000" w:fill="FFFFFF"/>
            <w:noWrap/>
            <w:vAlign w:val="bottom"/>
            <w:hideMark/>
          </w:tcPr>
          <w:p w14:paraId="7F8D87B7" w14:textId="77777777" w:rsidR="00257433" w:rsidRPr="006F5724" w:rsidRDefault="00257433" w:rsidP="00257433">
            <w:pPr>
              <w:spacing w:after="0" w:line="240" w:lineRule="auto"/>
              <w:jc w:val="right"/>
              <w:rPr>
                <w:rFonts w:ascii="Arial" w:hAnsi="Arial" w:cs="Arial"/>
                <w:sz w:val="16"/>
                <w:szCs w:val="16"/>
              </w:rPr>
            </w:pPr>
            <w:r>
              <w:rPr>
                <w:rFonts w:ascii="Arial" w:hAnsi="Arial" w:cs="Arial"/>
                <w:sz w:val="16"/>
                <w:szCs w:val="16"/>
              </w:rPr>
              <w:t>–</w:t>
            </w:r>
          </w:p>
        </w:tc>
        <w:tc>
          <w:tcPr>
            <w:tcW w:w="824" w:type="pct"/>
            <w:tcBorders>
              <w:top w:val="nil"/>
              <w:left w:val="nil"/>
              <w:bottom w:val="single" w:sz="4" w:space="0" w:color="auto"/>
              <w:right w:val="nil"/>
            </w:tcBorders>
            <w:shd w:val="clear" w:color="auto" w:fill="E1E8EB"/>
            <w:noWrap/>
            <w:vAlign w:val="bottom"/>
            <w:hideMark/>
          </w:tcPr>
          <w:p w14:paraId="739C7F79" w14:textId="77777777" w:rsidR="00257433" w:rsidRPr="006F5724" w:rsidRDefault="00257433" w:rsidP="00257433">
            <w:pPr>
              <w:spacing w:after="0" w:line="240" w:lineRule="auto"/>
              <w:jc w:val="right"/>
              <w:rPr>
                <w:rFonts w:ascii="Arial" w:hAnsi="Arial" w:cs="Arial"/>
                <w:sz w:val="16"/>
                <w:szCs w:val="16"/>
              </w:rPr>
            </w:pPr>
            <w:r>
              <w:rPr>
                <w:rFonts w:ascii="Arial" w:hAnsi="Arial" w:cs="Arial"/>
                <w:sz w:val="16"/>
                <w:szCs w:val="16"/>
              </w:rPr>
              <w:t>–</w:t>
            </w:r>
          </w:p>
        </w:tc>
      </w:tr>
      <w:tr w:rsidR="00257433" w:rsidRPr="006F5724" w14:paraId="2D54ACB8" w14:textId="77777777" w:rsidTr="00257433">
        <w:trPr>
          <w:trHeight w:val="273"/>
        </w:trPr>
        <w:tc>
          <w:tcPr>
            <w:tcW w:w="1883" w:type="pct"/>
            <w:tcBorders>
              <w:top w:val="nil"/>
              <w:left w:val="nil"/>
              <w:bottom w:val="nil"/>
              <w:right w:val="nil"/>
            </w:tcBorders>
            <w:shd w:val="clear" w:color="000000" w:fill="FFFFFF"/>
            <w:noWrap/>
            <w:vAlign w:val="bottom"/>
            <w:hideMark/>
          </w:tcPr>
          <w:p w14:paraId="23399CDA" w14:textId="77777777" w:rsidR="00257433" w:rsidRPr="006F5724" w:rsidRDefault="00257433" w:rsidP="00257433">
            <w:pPr>
              <w:spacing w:after="0" w:line="240" w:lineRule="auto"/>
              <w:jc w:val="left"/>
              <w:rPr>
                <w:rFonts w:ascii="Arial" w:hAnsi="Arial" w:cs="Arial"/>
                <w:b/>
                <w:bCs/>
                <w:sz w:val="16"/>
                <w:szCs w:val="16"/>
              </w:rPr>
            </w:pPr>
            <w:r w:rsidRPr="006F5724">
              <w:rPr>
                <w:rFonts w:ascii="Arial" w:hAnsi="Arial" w:cs="Arial"/>
                <w:b/>
                <w:bCs/>
                <w:sz w:val="16"/>
                <w:szCs w:val="16"/>
              </w:rPr>
              <w:t xml:space="preserve">   Total decided </w:t>
            </w:r>
          </w:p>
        </w:tc>
        <w:tc>
          <w:tcPr>
            <w:tcW w:w="704" w:type="pct"/>
            <w:tcBorders>
              <w:top w:val="nil"/>
              <w:left w:val="nil"/>
              <w:bottom w:val="nil"/>
              <w:right w:val="nil"/>
            </w:tcBorders>
            <w:shd w:val="clear" w:color="000000" w:fill="FFFFFF"/>
            <w:noWrap/>
            <w:vAlign w:val="bottom"/>
            <w:hideMark/>
          </w:tcPr>
          <w:p w14:paraId="744328DD" w14:textId="77777777" w:rsidR="00257433" w:rsidRPr="006F5724" w:rsidRDefault="00257433" w:rsidP="00257433">
            <w:pPr>
              <w:spacing w:after="0" w:line="240" w:lineRule="auto"/>
              <w:jc w:val="right"/>
              <w:rPr>
                <w:rFonts w:ascii="Arial" w:hAnsi="Arial" w:cs="Arial"/>
                <w:b/>
                <w:bCs/>
                <w:sz w:val="16"/>
                <w:szCs w:val="16"/>
              </w:rPr>
            </w:pPr>
            <w:r w:rsidRPr="006F5724">
              <w:rPr>
                <w:rFonts w:ascii="Arial" w:hAnsi="Arial" w:cs="Arial"/>
                <w:b/>
                <w:bCs/>
                <w:sz w:val="16"/>
                <w:szCs w:val="16"/>
              </w:rPr>
              <w:t>11,150</w:t>
            </w:r>
          </w:p>
        </w:tc>
        <w:tc>
          <w:tcPr>
            <w:tcW w:w="704" w:type="pct"/>
            <w:tcBorders>
              <w:top w:val="nil"/>
              <w:left w:val="nil"/>
              <w:bottom w:val="nil"/>
              <w:right w:val="nil"/>
            </w:tcBorders>
            <w:shd w:val="clear" w:color="000000" w:fill="FFFFFF"/>
            <w:noWrap/>
            <w:vAlign w:val="bottom"/>
            <w:hideMark/>
          </w:tcPr>
          <w:p w14:paraId="4F83A60A" w14:textId="77777777" w:rsidR="00257433" w:rsidRPr="006F5724" w:rsidRDefault="00257433" w:rsidP="00257433">
            <w:pPr>
              <w:spacing w:after="0" w:line="240" w:lineRule="auto"/>
              <w:jc w:val="right"/>
              <w:rPr>
                <w:rFonts w:ascii="Arial" w:hAnsi="Arial" w:cs="Arial"/>
                <w:b/>
                <w:bCs/>
                <w:sz w:val="16"/>
                <w:szCs w:val="16"/>
              </w:rPr>
            </w:pPr>
            <w:r w:rsidRPr="006F5724">
              <w:rPr>
                <w:rFonts w:ascii="Arial" w:hAnsi="Arial" w:cs="Arial"/>
                <w:b/>
                <w:bCs/>
                <w:sz w:val="16"/>
                <w:szCs w:val="16"/>
              </w:rPr>
              <w:t>8,725</w:t>
            </w:r>
          </w:p>
        </w:tc>
        <w:tc>
          <w:tcPr>
            <w:tcW w:w="885" w:type="pct"/>
            <w:tcBorders>
              <w:top w:val="nil"/>
              <w:left w:val="nil"/>
              <w:bottom w:val="nil"/>
              <w:right w:val="nil"/>
            </w:tcBorders>
            <w:shd w:val="clear" w:color="000000" w:fill="FFFFFF"/>
            <w:noWrap/>
            <w:vAlign w:val="bottom"/>
            <w:hideMark/>
          </w:tcPr>
          <w:p w14:paraId="08859BF0" w14:textId="77777777" w:rsidR="00257433" w:rsidRPr="006F5724" w:rsidRDefault="00257433" w:rsidP="00257433">
            <w:pPr>
              <w:spacing w:after="0" w:line="240" w:lineRule="auto"/>
              <w:jc w:val="right"/>
              <w:rPr>
                <w:rFonts w:ascii="Arial" w:hAnsi="Arial" w:cs="Arial"/>
                <w:b/>
                <w:bCs/>
                <w:sz w:val="16"/>
                <w:szCs w:val="16"/>
              </w:rPr>
            </w:pPr>
            <w:r w:rsidRPr="006F5724">
              <w:rPr>
                <w:rFonts w:ascii="Arial" w:hAnsi="Arial" w:cs="Arial"/>
                <w:b/>
                <w:bCs/>
                <w:sz w:val="16"/>
                <w:szCs w:val="16"/>
              </w:rPr>
              <w:t>8,224</w:t>
            </w:r>
          </w:p>
        </w:tc>
        <w:tc>
          <w:tcPr>
            <w:tcW w:w="824" w:type="pct"/>
            <w:tcBorders>
              <w:top w:val="nil"/>
              <w:left w:val="nil"/>
              <w:bottom w:val="nil"/>
              <w:right w:val="nil"/>
            </w:tcBorders>
            <w:shd w:val="clear" w:color="auto" w:fill="E1E8EB"/>
            <w:noWrap/>
            <w:vAlign w:val="bottom"/>
            <w:hideMark/>
          </w:tcPr>
          <w:p w14:paraId="08BBF28C" w14:textId="77777777" w:rsidR="00257433" w:rsidRPr="006F5724" w:rsidRDefault="00257433" w:rsidP="00257433">
            <w:pPr>
              <w:spacing w:after="0" w:line="240" w:lineRule="auto"/>
              <w:jc w:val="right"/>
              <w:rPr>
                <w:rFonts w:ascii="Arial" w:hAnsi="Arial" w:cs="Arial"/>
                <w:b/>
                <w:bCs/>
                <w:sz w:val="16"/>
                <w:szCs w:val="16"/>
              </w:rPr>
            </w:pPr>
            <w:r w:rsidRPr="006F5724">
              <w:rPr>
                <w:rFonts w:ascii="Arial" w:hAnsi="Arial" w:cs="Arial"/>
                <w:b/>
                <w:bCs/>
                <w:sz w:val="16"/>
                <w:szCs w:val="16"/>
              </w:rPr>
              <w:t>6,651</w:t>
            </w:r>
          </w:p>
        </w:tc>
      </w:tr>
      <w:tr w:rsidR="00257433" w:rsidRPr="006F5724" w14:paraId="4795F2CE" w14:textId="77777777" w:rsidTr="00257433">
        <w:trPr>
          <w:trHeight w:val="273"/>
        </w:trPr>
        <w:tc>
          <w:tcPr>
            <w:tcW w:w="1883" w:type="pct"/>
            <w:tcBorders>
              <w:top w:val="nil"/>
              <w:left w:val="nil"/>
              <w:bottom w:val="nil"/>
              <w:right w:val="nil"/>
            </w:tcBorders>
            <w:shd w:val="clear" w:color="000000" w:fill="FFFFFF"/>
            <w:noWrap/>
            <w:vAlign w:val="bottom"/>
            <w:hideMark/>
          </w:tcPr>
          <w:p w14:paraId="2472C9BD" w14:textId="77777777" w:rsidR="00257433" w:rsidRPr="006F5724" w:rsidRDefault="00257433" w:rsidP="00257433">
            <w:pPr>
              <w:spacing w:after="0" w:line="240" w:lineRule="auto"/>
              <w:jc w:val="left"/>
              <w:rPr>
                <w:rFonts w:ascii="Arial" w:hAnsi="Arial" w:cs="Arial"/>
                <w:sz w:val="16"/>
                <w:szCs w:val="16"/>
              </w:rPr>
            </w:pPr>
            <w:r w:rsidRPr="006F5724">
              <w:rPr>
                <w:rFonts w:ascii="Arial" w:hAnsi="Arial" w:cs="Arial"/>
                <w:sz w:val="16"/>
                <w:szCs w:val="16"/>
              </w:rPr>
              <w:t xml:space="preserve"> Withdrawn </w:t>
            </w:r>
          </w:p>
        </w:tc>
        <w:tc>
          <w:tcPr>
            <w:tcW w:w="704" w:type="pct"/>
            <w:tcBorders>
              <w:top w:val="nil"/>
              <w:left w:val="nil"/>
              <w:bottom w:val="nil"/>
              <w:right w:val="nil"/>
            </w:tcBorders>
            <w:shd w:val="clear" w:color="000000" w:fill="FFFFFF"/>
            <w:noWrap/>
            <w:vAlign w:val="bottom"/>
            <w:hideMark/>
          </w:tcPr>
          <w:p w14:paraId="62B228A8"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644</w:t>
            </w:r>
          </w:p>
        </w:tc>
        <w:tc>
          <w:tcPr>
            <w:tcW w:w="704" w:type="pct"/>
            <w:tcBorders>
              <w:top w:val="nil"/>
              <w:left w:val="nil"/>
              <w:bottom w:val="nil"/>
              <w:right w:val="nil"/>
            </w:tcBorders>
            <w:shd w:val="clear" w:color="000000" w:fill="FFFFFF"/>
            <w:noWrap/>
            <w:vAlign w:val="bottom"/>
            <w:hideMark/>
          </w:tcPr>
          <w:p w14:paraId="67CE9C6E"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670</w:t>
            </w:r>
          </w:p>
        </w:tc>
        <w:tc>
          <w:tcPr>
            <w:tcW w:w="885" w:type="pct"/>
            <w:tcBorders>
              <w:top w:val="nil"/>
              <w:left w:val="nil"/>
              <w:bottom w:val="nil"/>
              <w:right w:val="nil"/>
            </w:tcBorders>
            <w:shd w:val="clear" w:color="000000" w:fill="FFFFFF"/>
            <w:noWrap/>
            <w:vAlign w:val="bottom"/>
            <w:hideMark/>
          </w:tcPr>
          <w:p w14:paraId="7C541B46"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715</w:t>
            </w:r>
          </w:p>
        </w:tc>
        <w:tc>
          <w:tcPr>
            <w:tcW w:w="824" w:type="pct"/>
            <w:tcBorders>
              <w:top w:val="nil"/>
              <w:left w:val="nil"/>
              <w:bottom w:val="nil"/>
              <w:right w:val="nil"/>
            </w:tcBorders>
            <w:shd w:val="clear" w:color="auto" w:fill="E1E8EB"/>
            <w:noWrap/>
            <w:vAlign w:val="bottom"/>
            <w:hideMark/>
          </w:tcPr>
          <w:p w14:paraId="41A73B2D"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891</w:t>
            </w:r>
          </w:p>
        </w:tc>
      </w:tr>
      <w:tr w:rsidR="00257433" w:rsidRPr="006F5724" w14:paraId="453491EC" w14:textId="77777777" w:rsidTr="00257433">
        <w:trPr>
          <w:trHeight w:val="273"/>
        </w:trPr>
        <w:tc>
          <w:tcPr>
            <w:tcW w:w="1883" w:type="pct"/>
            <w:tcBorders>
              <w:top w:val="nil"/>
              <w:left w:val="nil"/>
              <w:bottom w:val="nil"/>
              <w:right w:val="nil"/>
            </w:tcBorders>
            <w:shd w:val="clear" w:color="000000" w:fill="FFFFFF"/>
            <w:noWrap/>
            <w:vAlign w:val="bottom"/>
            <w:hideMark/>
          </w:tcPr>
          <w:p w14:paraId="5E90B149" w14:textId="77777777" w:rsidR="00257433" w:rsidRPr="006F5724" w:rsidRDefault="00257433" w:rsidP="00257433">
            <w:pPr>
              <w:spacing w:after="0" w:line="240" w:lineRule="auto"/>
              <w:jc w:val="left"/>
              <w:rPr>
                <w:rFonts w:ascii="Arial" w:hAnsi="Arial" w:cs="Arial"/>
                <w:sz w:val="16"/>
                <w:szCs w:val="16"/>
              </w:rPr>
            </w:pPr>
            <w:r w:rsidRPr="006F5724">
              <w:rPr>
                <w:rFonts w:ascii="Arial" w:hAnsi="Arial" w:cs="Arial"/>
                <w:sz w:val="16"/>
                <w:szCs w:val="16"/>
              </w:rPr>
              <w:t xml:space="preserve"> Exempt </w:t>
            </w:r>
          </w:p>
        </w:tc>
        <w:tc>
          <w:tcPr>
            <w:tcW w:w="704" w:type="pct"/>
            <w:tcBorders>
              <w:top w:val="nil"/>
              <w:left w:val="nil"/>
              <w:bottom w:val="single" w:sz="4" w:space="0" w:color="auto"/>
              <w:right w:val="nil"/>
            </w:tcBorders>
            <w:shd w:val="clear" w:color="000000" w:fill="FFFFFF"/>
            <w:noWrap/>
            <w:vAlign w:val="bottom"/>
            <w:hideMark/>
          </w:tcPr>
          <w:p w14:paraId="6FEE1F4C"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61</w:t>
            </w:r>
          </w:p>
        </w:tc>
        <w:tc>
          <w:tcPr>
            <w:tcW w:w="704" w:type="pct"/>
            <w:tcBorders>
              <w:top w:val="nil"/>
              <w:left w:val="nil"/>
              <w:bottom w:val="single" w:sz="4" w:space="0" w:color="auto"/>
              <w:right w:val="nil"/>
            </w:tcBorders>
            <w:shd w:val="clear" w:color="000000" w:fill="FFFFFF"/>
            <w:noWrap/>
            <w:vAlign w:val="bottom"/>
            <w:hideMark/>
          </w:tcPr>
          <w:p w14:paraId="1D33A863"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71</w:t>
            </w:r>
          </w:p>
        </w:tc>
        <w:tc>
          <w:tcPr>
            <w:tcW w:w="885" w:type="pct"/>
            <w:tcBorders>
              <w:top w:val="nil"/>
              <w:left w:val="nil"/>
              <w:bottom w:val="single" w:sz="4" w:space="0" w:color="auto"/>
              <w:right w:val="nil"/>
            </w:tcBorders>
            <w:shd w:val="clear" w:color="000000" w:fill="FFFFFF"/>
            <w:noWrap/>
            <w:vAlign w:val="bottom"/>
            <w:hideMark/>
          </w:tcPr>
          <w:p w14:paraId="61CFA884"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65</w:t>
            </w:r>
          </w:p>
        </w:tc>
        <w:tc>
          <w:tcPr>
            <w:tcW w:w="824" w:type="pct"/>
            <w:tcBorders>
              <w:top w:val="nil"/>
              <w:left w:val="nil"/>
              <w:bottom w:val="single" w:sz="4" w:space="0" w:color="auto"/>
              <w:right w:val="nil"/>
            </w:tcBorders>
            <w:shd w:val="clear" w:color="auto" w:fill="E1E8EB"/>
            <w:noWrap/>
            <w:vAlign w:val="bottom"/>
            <w:hideMark/>
          </w:tcPr>
          <w:p w14:paraId="7680C5E3" w14:textId="77777777" w:rsidR="00257433" w:rsidRPr="006F5724" w:rsidRDefault="00257433" w:rsidP="00257433">
            <w:pPr>
              <w:spacing w:after="0" w:line="240" w:lineRule="auto"/>
              <w:jc w:val="right"/>
              <w:rPr>
                <w:rFonts w:ascii="Arial" w:hAnsi="Arial" w:cs="Arial"/>
                <w:sz w:val="16"/>
                <w:szCs w:val="16"/>
              </w:rPr>
            </w:pPr>
            <w:r w:rsidRPr="006F5724">
              <w:rPr>
                <w:rFonts w:ascii="Arial" w:hAnsi="Arial" w:cs="Arial"/>
                <w:sz w:val="16"/>
                <w:szCs w:val="16"/>
              </w:rPr>
              <w:t>72</w:t>
            </w:r>
          </w:p>
        </w:tc>
      </w:tr>
      <w:tr w:rsidR="00257433" w:rsidRPr="006F5724" w14:paraId="5A099AE3" w14:textId="77777777" w:rsidTr="00257433">
        <w:trPr>
          <w:trHeight w:val="273"/>
        </w:trPr>
        <w:tc>
          <w:tcPr>
            <w:tcW w:w="1883" w:type="pct"/>
            <w:tcBorders>
              <w:top w:val="nil"/>
              <w:left w:val="nil"/>
              <w:bottom w:val="single" w:sz="4" w:space="0" w:color="auto"/>
              <w:right w:val="nil"/>
            </w:tcBorders>
            <w:shd w:val="clear" w:color="000000" w:fill="FFFFFF"/>
            <w:noWrap/>
            <w:vAlign w:val="bottom"/>
            <w:hideMark/>
          </w:tcPr>
          <w:p w14:paraId="0CCED956" w14:textId="77777777" w:rsidR="00257433" w:rsidRPr="006F5724" w:rsidRDefault="00257433" w:rsidP="00257433">
            <w:pPr>
              <w:spacing w:after="0" w:line="240" w:lineRule="auto"/>
              <w:jc w:val="left"/>
              <w:rPr>
                <w:rFonts w:ascii="Arial" w:hAnsi="Arial" w:cs="Arial"/>
                <w:b/>
                <w:bCs/>
                <w:sz w:val="16"/>
                <w:szCs w:val="16"/>
              </w:rPr>
            </w:pPr>
            <w:r w:rsidRPr="006F5724">
              <w:rPr>
                <w:rFonts w:ascii="Arial" w:hAnsi="Arial" w:cs="Arial"/>
                <w:b/>
                <w:bCs/>
                <w:sz w:val="16"/>
                <w:szCs w:val="16"/>
              </w:rPr>
              <w:t xml:space="preserve"> Total considered </w:t>
            </w:r>
          </w:p>
        </w:tc>
        <w:tc>
          <w:tcPr>
            <w:tcW w:w="704" w:type="pct"/>
            <w:tcBorders>
              <w:top w:val="nil"/>
              <w:left w:val="nil"/>
              <w:bottom w:val="single" w:sz="4" w:space="0" w:color="auto"/>
              <w:right w:val="nil"/>
            </w:tcBorders>
            <w:shd w:val="clear" w:color="000000" w:fill="FFFFFF"/>
            <w:noWrap/>
            <w:vAlign w:val="bottom"/>
            <w:hideMark/>
          </w:tcPr>
          <w:p w14:paraId="76748078" w14:textId="77777777" w:rsidR="00257433" w:rsidRPr="006F5724" w:rsidRDefault="00257433" w:rsidP="00257433">
            <w:pPr>
              <w:spacing w:after="0" w:line="240" w:lineRule="auto"/>
              <w:jc w:val="right"/>
              <w:rPr>
                <w:rFonts w:ascii="Arial" w:hAnsi="Arial" w:cs="Arial"/>
                <w:b/>
                <w:bCs/>
                <w:sz w:val="16"/>
                <w:szCs w:val="16"/>
              </w:rPr>
            </w:pPr>
            <w:r w:rsidRPr="006F5724">
              <w:rPr>
                <w:rFonts w:ascii="Arial" w:hAnsi="Arial" w:cs="Arial"/>
                <w:b/>
                <w:bCs/>
                <w:sz w:val="16"/>
                <w:szCs w:val="16"/>
              </w:rPr>
              <w:t>11,855</w:t>
            </w:r>
          </w:p>
        </w:tc>
        <w:tc>
          <w:tcPr>
            <w:tcW w:w="704" w:type="pct"/>
            <w:tcBorders>
              <w:top w:val="nil"/>
              <w:left w:val="nil"/>
              <w:bottom w:val="single" w:sz="4" w:space="0" w:color="auto"/>
              <w:right w:val="nil"/>
            </w:tcBorders>
            <w:shd w:val="clear" w:color="000000" w:fill="FFFFFF"/>
            <w:noWrap/>
            <w:vAlign w:val="bottom"/>
            <w:hideMark/>
          </w:tcPr>
          <w:p w14:paraId="6E717FB1" w14:textId="77777777" w:rsidR="00257433" w:rsidRPr="006F5724" w:rsidRDefault="00257433" w:rsidP="00257433">
            <w:pPr>
              <w:spacing w:after="0" w:line="240" w:lineRule="auto"/>
              <w:jc w:val="right"/>
              <w:rPr>
                <w:rFonts w:ascii="Arial" w:hAnsi="Arial" w:cs="Arial"/>
                <w:b/>
                <w:bCs/>
                <w:sz w:val="16"/>
                <w:szCs w:val="16"/>
              </w:rPr>
            </w:pPr>
            <w:r w:rsidRPr="006F5724">
              <w:rPr>
                <w:rFonts w:ascii="Arial" w:hAnsi="Arial" w:cs="Arial"/>
                <w:b/>
                <w:bCs/>
                <w:sz w:val="16"/>
                <w:szCs w:val="16"/>
              </w:rPr>
              <w:t>9,466</w:t>
            </w:r>
          </w:p>
        </w:tc>
        <w:tc>
          <w:tcPr>
            <w:tcW w:w="885" w:type="pct"/>
            <w:tcBorders>
              <w:top w:val="nil"/>
              <w:left w:val="nil"/>
              <w:bottom w:val="single" w:sz="4" w:space="0" w:color="auto"/>
              <w:right w:val="nil"/>
            </w:tcBorders>
            <w:shd w:val="clear" w:color="000000" w:fill="FFFFFF"/>
            <w:noWrap/>
            <w:vAlign w:val="bottom"/>
            <w:hideMark/>
          </w:tcPr>
          <w:p w14:paraId="133C8C22" w14:textId="77777777" w:rsidR="00257433" w:rsidRPr="006F5724" w:rsidRDefault="00257433" w:rsidP="00257433">
            <w:pPr>
              <w:spacing w:after="0" w:line="240" w:lineRule="auto"/>
              <w:jc w:val="right"/>
              <w:rPr>
                <w:rFonts w:ascii="Arial" w:hAnsi="Arial" w:cs="Arial"/>
                <w:b/>
                <w:bCs/>
                <w:sz w:val="16"/>
                <w:szCs w:val="16"/>
              </w:rPr>
            </w:pPr>
            <w:r w:rsidRPr="006F5724">
              <w:rPr>
                <w:rFonts w:ascii="Arial" w:hAnsi="Arial" w:cs="Arial"/>
                <w:b/>
                <w:bCs/>
                <w:sz w:val="16"/>
                <w:szCs w:val="16"/>
              </w:rPr>
              <w:t>9,004</w:t>
            </w:r>
          </w:p>
        </w:tc>
        <w:tc>
          <w:tcPr>
            <w:tcW w:w="824" w:type="pct"/>
            <w:tcBorders>
              <w:top w:val="nil"/>
              <w:left w:val="nil"/>
              <w:bottom w:val="single" w:sz="4" w:space="0" w:color="auto"/>
              <w:right w:val="nil"/>
            </w:tcBorders>
            <w:shd w:val="clear" w:color="auto" w:fill="E1E8EB"/>
            <w:noWrap/>
            <w:vAlign w:val="bottom"/>
            <w:hideMark/>
          </w:tcPr>
          <w:p w14:paraId="14D8BE4F" w14:textId="77777777" w:rsidR="00257433" w:rsidRPr="006F5724" w:rsidRDefault="00257433" w:rsidP="00257433">
            <w:pPr>
              <w:spacing w:after="0" w:line="240" w:lineRule="auto"/>
              <w:jc w:val="right"/>
              <w:rPr>
                <w:rFonts w:ascii="Arial" w:hAnsi="Arial" w:cs="Arial"/>
                <w:b/>
                <w:bCs/>
                <w:sz w:val="16"/>
                <w:szCs w:val="16"/>
              </w:rPr>
            </w:pPr>
            <w:r w:rsidRPr="006F5724">
              <w:rPr>
                <w:rFonts w:ascii="Arial" w:hAnsi="Arial" w:cs="Arial"/>
                <w:b/>
                <w:bCs/>
                <w:sz w:val="16"/>
                <w:szCs w:val="16"/>
              </w:rPr>
              <w:t>7,614</w:t>
            </w:r>
          </w:p>
        </w:tc>
      </w:tr>
    </w:tbl>
    <w:p w14:paraId="335B5ACA" w14:textId="51184F55" w:rsidR="00F113D8" w:rsidRDefault="00655ADE" w:rsidP="00257433">
      <w:pPr>
        <w:pStyle w:val="ChartorTableNote"/>
      </w:pPr>
      <w:r w:rsidRPr="00BF48CD">
        <w:t xml:space="preserve">Before </w:t>
      </w:r>
      <w:r w:rsidRPr="00257433">
        <w:t>republishing</w:t>
      </w:r>
      <w:r w:rsidRPr="00BF48CD">
        <w:t xml:space="preserve"> this data or comparing between years, thoroughly review the methodological and data caveats in Appendix </w:t>
      </w:r>
      <w:r w:rsidRPr="009542CF">
        <w:t>B</w:t>
      </w:r>
      <w:r w:rsidRPr="00BF48CD">
        <w:t xml:space="preserve">. </w:t>
      </w:r>
    </w:p>
    <w:p w14:paraId="6D4B9D1C" w14:textId="6373097F" w:rsidR="00C64693" w:rsidRDefault="00257433" w:rsidP="00C64693">
      <w:r>
        <w:br w:type="page"/>
      </w:r>
    </w:p>
    <w:p w14:paraId="1C26855F" w14:textId="0CB136BB" w:rsidR="00383606" w:rsidRPr="00E24A34" w:rsidRDefault="00383606" w:rsidP="00E24A34">
      <w:pPr>
        <w:pStyle w:val="TableMainHeading"/>
      </w:pPr>
      <w:bookmarkStart w:id="104" w:name="_Toc89939936"/>
      <w:r w:rsidRPr="00E24A34">
        <w:lastRenderedPageBreak/>
        <w:t xml:space="preserve">Table </w:t>
      </w:r>
      <w:fldSimple w:instr=" STYLEREF 1 \s ">
        <w:r w:rsidR="0019342F">
          <w:rPr>
            <w:noProof/>
          </w:rPr>
          <w:t>3</w:t>
        </w:r>
      </w:fldSimple>
      <w:r w:rsidR="009812FE" w:rsidRPr="00E24A34">
        <w:t>.</w:t>
      </w:r>
      <w:fldSimple w:instr=" SEQ Table \* ARABIC \s 1 ">
        <w:r w:rsidR="0019342F">
          <w:rPr>
            <w:noProof/>
          </w:rPr>
          <w:t>2</w:t>
        </w:r>
      </w:fldSimple>
      <w:r w:rsidRPr="00E24A34">
        <w:t xml:space="preserve">: Proposals considered in </w:t>
      </w:r>
      <w:r w:rsidR="00D76ED2">
        <w:t>2019</w:t>
      </w:r>
      <w:r w:rsidR="00D76ED2">
        <w:noBreakHyphen/>
        <w:t>20</w:t>
      </w:r>
      <w:r w:rsidRPr="00E24A34">
        <w:t xml:space="preserve"> and </w:t>
      </w:r>
      <w:r w:rsidR="00D76ED2">
        <w:t>2020</w:t>
      </w:r>
      <w:r w:rsidR="00D76ED2">
        <w:noBreakHyphen/>
        <w:t>21</w:t>
      </w:r>
      <w:r w:rsidRPr="00E24A34">
        <w:t>, by zero dollar threshold and non</w:t>
      </w:r>
      <w:r w:rsidR="003E7C79" w:rsidRPr="00E24A34">
        <w:t>–</w:t>
      </w:r>
      <w:r w:rsidRPr="00E24A34">
        <w:t>zero dollar threshold proposals (number of proposals)</w:t>
      </w:r>
      <w:bookmarkEnd w:id="104"/>
    </w:p>
    <w:tbl>
      <w:tblPr>
        <w:tblW w:w="5000" w:type="pct"/>
        <w:tblLook w:val="04A0" w:firstRow="1" w:lastRow="0" w:firstColumn="1" w:lastColumn="0" w:noHBand="0" w:noVBand="1"/>
      </w:tblPr>
      <w:tblGrid>
        <w:gridCol w:w="2096"/>
        <w:gridCol w:w="1056"/>
        <w:gridCol w:w="1747"/>
        <w:gridCol w:w="1268"/>
        <w:gridCol w:w="1543"/>
      </w:tblGrid>
      <w:tr w:rsidR="009542CF" w:rsidRPr="00655ADE" w14:paraId="6EA4C6F4" w14:textId="77777777" w:rsidTr="00257433">
        <w:trPr>
          <w:trHeight w:val="230"/>
        </w:trPr>
        <w:tc>
          <w:tcPr>
            <w:tcW w:w="2292" w:type="dxa"/>
            <w:tcBorders>
              <w:top w:val="single" w:sz="4" w:space="0" w:color="auto"/>
              <w:left w:val="nil"/>
              <w:right w:val="nil"/>
            </w:tcBorders>
            <w:shd w:val="clear" w:color="000000" w:fill="FFFFFF"/>
            <w:noWrap/>
            <w:vAlign w:val="bottom"/>
            <w:hideMark/>
          </w:tcPr>
          <w:p w14:paraId="6E876B2B" w14:textId="77777777" w:rsidR="00655ADE" w:rsidRPr="00655ADE" w:rsidRDefault="00655ADE" w:rsidP="00257433">
            <w:pPr>
              <w:spacing w:after="0" w:line="240" w:lineRule="auto"/>
              <w:jc w:val="left"/>
              <w:rPr>
                <w:rFonts w:ascii="Arial" w:hAnsi="Arial" w:cs="Arial"/>
                <w:color w:val="auto"/>
                <w:sz w:val="16"/>
                <w:szCs w:val="16"/>
              </w:rPr>
            </w:pPr>
            <w:r w:rsidRPr="00655ADE">
              <w:rPr>
                <w:rFonts w:ascii="Arial" w:hAnsi="Arial" w:cs="Arial"/>
                <w:color w:val="auto"/>
                <w:sz w:val="16"/>
                <w:szCs w:val="16"/>
              </w:rPr>
              <w:t> </w:t>
            </w:r>
          </w:p>
        </w:tc>
        <w:tc>
          <w:tcPr>
            <w:tcW w:w="3049" w:type="dxa"/>
            <w:gridSpan w:val="2"/>
            <w:tcBorders>
              <w:top w:val="single" w:sz="4" w:space="0" w:color="auto"/>
              <w:left w:val="nil"/>
              <w:bottom w:val="single" w:sz="4" w:space="0" w:color="auto"/>
              <w:right w:val="nil"/>
            </w:tcBorders>
            <w:shd w:val="clear" w:color="000000" w:fill="FFFFFF"/>
            <w:noWrap/>
            <w:vAlign w:val="center"/>
            <w:hideMark/>
          </w:tcPr>
          <w:p w14:paraId="5C27510C" w14:textId="3C48D64A" w:rsidR="00655ADE" w:rsidRPr="00655ADE" w:rsidRDefault="00655ADE" w:rsidP="00655ADE">
            <w:pPr>
              <w:spacing w:after="0" w:line="240" w:lineRule="auto"/>
              <w:jc w:val="center"/>
              <w:rPr>
                <w:rFonts w:ascii="Arial" w:hAnsi="Arial" w:cs="Arial"/>
                <w:color w:val="auto"/>
                <w:sz w:val="16"/>
                <w:szCs w:val="16"/>
              </w:rPr>
            </w:pPr>
            <w:r w:rsidRPr="00655ADE">
              <w:rPr>
                <w:rFonts w:ascii="Arial" w:hAnsi="Arial" w:cs="Arial"/>
                <w:color w:val="auto"/>
                <w:sz w:val="16"/>
                <w:szCs w:val="16"/>
              </w:rPr>
              <w:t xml:space="preserve"> </w:t>
            </w:r>
            <w:r w:rsidR="00D76ED2">
              <w:rPr>
                <w:rFonts w:ascii="Arial" w:hAnsi="Arial" w:cs="Arial"/>
                <w:color w:val="auto"/>
                <w:sz w:val="16"/>
                <w:szCs w:val="16"/>
              </w:rPr>
              <w:t>2019</w:t>
            </w:r>
            <w:r w:rsidR="00D76ED2">
              <w:rPr>
                <w:rFonts w:ascii="Arial" w:hAnsi="Arial" w:cs="Arial"/>
                <w:color w:val="auto"/>
                <w:sz w:val="16"/>
                <w:szCs w:val="16"/>
              </w:rPr>
              <w:noBreakHyphen/>
              <w:t>20</w:t>
            </w:r>
            <w:r w:rsidRPr="00655ADE">
              <w:rPr>
                <w:rFonts w:ascii="Arial" w:hAnsi="Arial" w:cs="Arial"/>
                <w:color w:val="auto"/>
                <w:sz w:val="16"/>
                <w:szCs w:val="16"/>
              </w:rPr>
              <w:t xml:space="preserve"> </w:t>
            </w:r>
          </w:p>
        </w:tc>
        <w:tc>
          <w:tcPr>
            <w:tcW w:w="3059" w:type="dxa"/>
            <w:gridSpan w:val="2"/>
            <w:tcBorders>
              <w:top w:val="single" w:sz="4" w:space="0" w:color="auto"/>
              <w:left w:val="nil"/>
              <w:bottom w:val="single" w:sz="4" w:space="0" w:color="auto"/>
              <w:right w:val="nil"/>
            </w:tcBorders>
            <w:shd w:val="clear" w:color="auto" w:fill="E1E8EB"/>
            <w:noWrap/>
            <w:vAlign w:val="center"/>
            <w:hideMark/>
          </w:tcPr>
          <w:p w14:paraId="6B5D2015" w14:textId="22853320" w:rsidR="00655ADE" w:rsidRPr="00655ADE" w:rsidRDefault="00655ADE" w:rsidP="00655ADE">
            <w:pPr>
              <w:spacing w:after="0" w:line="240" w:lineRule="auto"/>
              <w:jc w:val="center"/>
              <w:rPr>
                <w:rFonts w:ascii="Arial" w:hAnsi="Arial" w:cs="Arial"/>
                <w:color w:val="auto"/>
                <w:sz w:val="16"/>
                <w:szCs w:val="16"/>
              </w:rPr>
            </w:pPr>
            <w:r w:rsidRPr="00655ADE">
              <w:rPr>
                <w:rFonts w:ascii="Arial" w:hAnsi="Arial" w:cs="Arial"/>
                <w:color w:val="auto"/>
                <w:sz w:val="16"/>
                <w:szCs w:val="16"/>
              </w:rPr>
              <w:t xml:space="preserve"> </w:t>
            </w:r>
            <w:r w:rsidR="00D76ED2">
              <w:rPr>
                <w:rFonts w:ascii="Arial" w:hAnsi="Arial" w:cs="Arial"/>
                <w:color w:val="auto"/>
                <w:sz w:val="16"/>
                <w:szCs w:val="16"/>
              </w:rPr>
              <w:t>2020</w:t>
            </w:r>
            <w:r w:rsidR="00D76ED2">
              <w:rPr>
                <w:rFonts w:ascii="Arial" w:hAnsi="Arial" w:cs="Arial"/>
                <w:color w:val="auto"/>
                <w:sz w:val="16"/>
                <w:szCs w:val="16"/>
              </w:rPr>
              <w:noBreakHyphen/>
              <w:t>21</w:t>
            </w:r>
            <w:r w:rsidRPr="00655ADE">
              <w:rPr>
                <w:rFonts w:ascii="Arial" w:hAnsi="Arial" w:cs="Arial"/>
                <w:color w:val="auto"/>
                <w:sz w:val="16"/>
                <w:szCs w:val="16"/>
              </w:rPr>
              <w:t xml:space="preserve"> </w:t>
            </w:r>
          </w:p>
        </w:tc>
      </w:tr>
      <w:tr w:rsidR="00655ADE" w:rsidRPr="00655ADE" w14:paraId="2BF5098C" w14:textId="77777777" w:rsidTr="00257433">
        <w:trPr>
          <w:trHeight w:val="230"/>
        </w:trPr>
        <w:tc>
          <w:tcPr>
            <w:tcW w:w="2292" w:type="dxa"/>
            <w:tcBorders>
              <w:left w:val="nil"/>
              <w:right w:val="nil"/>
            </w:tcBorders>
            <w:shd w:val="clear" w:color="000000" w:fill="FFFFFF"/>
            <w:noWrap/>
            <w:vAlign w:val="bottom"/>
            <w:hideMark/>
          </w:tcPr>
          <w:p w14:paraId="42716C43" w14:textId="77777777" w:rsidR="00655ADE" w:rsidRPr="00655ADE" w:rsidRDefault="00655ADE" w:rsidP="00257433">
            <w:pPr>
              <w:spacing w:after="0" w:line="240" w:lineRule="auto"/>
              <w:jc w:val="left"/>
              <w:rPr>
                <w:rFonts w:ascii="Arial" w:hAnsi="Arial" w:cs="Arial"/>
                <w:color w:val="auto"/>
                <w:sz w:val="16"/>
                <w:szCs w:val="16"/>
              </w:rPr>
            </w:pPr>
            <w:r w:rsidRPr="00655ADE">
              <w:rPr>
                <w:rFonts w:ascii="Arial" w:hAnsi="Arial" w:cs="Arial"/>
                <w:color w:val="auto"/>
                <w:sz w:val="16"/>
                <w:szCs w:val="16"/>
              </w:rPr>
              <w:t> </w:t>
            </w:r>
          </w:p>
        </w:tc>
        <w:tc>
          <w:tcPr>
            <w:tcW w:w="1143" w:type="dxa"/>
            <w:tcBorders>
              <w:top w:val="nil"/>
              <w:left w:val="nil"/>
              <w:bottom w:val="nil"/>
              <w:right w:val="nil"/>
            </w:tcBorders>
            <w:shd w:val="clear" w:color="000000" w:fill="FFFFFF"/>
            <w:noWrap/>
            <w:vAlign w:val="bottom"/>
            <w:hideMark/>
          </w:tcPr>
          <w:p w14:paraId="1453164B" w14:textId="77777777" w:rsidR="00655ADE" w:rsidRPr="00655ADE" w:rsidRDefault="00655ADE" w:rsidP="00257433">
            <w:pPr>
              <w:spacing w:after="0" w:line="240" w:lineRule="auto"/>
              <w:jc w:val="right"/>
              <w:rPr>
                <w:rFonts w:ascii="Arial" w:hAnsi="Arial" w:cs="Arial"/>
                <w:color w:val="auto"/>
                <w:sz w:val="16"/>
                <w:szCs w:val="16"/>
              </w:rPr>
            </w:pPr>
            <w:r w:rsidRPr="00655ADE">
              <w:rPr>
                <w:rFonts w:ascii="Arial" w:hAnsi="Arial" w:cs="Arial"/>
                <w:color w:val="auto"/>
                <w:sz w:val="16"/>
                <w:szCs w:val="16"/>
              </w:rPr>
              <w:t xml:space="preserve"> Zero dollar threshold </w:t>
            </w:r>
          </w:p>
        </w:tc>
        <w:tc>
          <w:tcPr>
            <w:tcW w:w="1906" w:type="dxa"/>
            <w:tcBorders>
              <w:top w:val="nil"/>
              <w:left w:val="nil"/>
              <w:bottom w:val="nil"/>
              <w:right w:val="nil"/>
            </w:tcBorders>
            <w:shd w:val="clear" w:color="000000" w:fill="FFFFFF"/>
            <w:noWrap/>
            <w:vAlign w:val="bottom"/>
            <w:hideMark/>
          </w:tcPr>
          <w:p w14:paraId="528AE774" w14:textId="6E68B536" w:rsidR="00655ADE" w:rsidRPr="00655ADE" w:rsidRDefault="00655ADE" w:rsidP="00257433">
            <w:pPr>
              <w:spacing w:after="0" w:line="240" w:lineRule="auto"/>
              <w:jc w:val="right"/>
              <w:rPr>
                <w:rFonts w:ascii="Arial" w:hAnsi="Arial" w:cs="Arial"/>
                <w:color w:val="auto"/>
                <w:sz w:val="16"/>
                <w:szCs w:val="16"/>
              </w:rPr>
            </w:pPr>
            <w:r w:rsidRPr="00655ADE">
              <w:rPr>
                <w:rFonts w:ascii="Arial" w:hAnsi="Arial" w:cs="Arial"/>
                <w:color w:val="auto"/>
                <w:sz w:val="16"/>
                <w:szCs w:val="16"/>
              </w:rPr>
              <w:t xml:space="preserve"> Non</w:t>
            </w:r>
            <w:r w:rsidR="003E7C79">
              <w:rPr>
                <w:rFonts w:ascii="Arial" w:hAnsi="Arial" w:cs="Arial"/>
                <w:color w:val="auto"/>
                <w:sz w:val="16"/>
                <w:szCs w:val="16"/>
              </w:rPr>
              <w:t>–</w:t>
            </w:r>
            <w:r w:rsidRPr="00655ADE">
              <w:rPr>
                <w:rFonts w:ascii="Arial" w:hAnsi="Arial" w:cs="Arial"/>
                <w:color w:val="auto"/>
                <w:sz w:val="16"/>
                <w:szCs w:val="16"/>
              </w:rPr>
              <w:t xml:space="preserve">zero dollar threshold </w:t>
            </w:r>
          </w:p>
        </w:tc>
        <w:tc>
          <w:tcPr>
            <w:tcW w:w="1378" w:type="dxa"/>
            <w:tcBorders>
              <w:top w:val="nil"/>
              <w:left w:val="nil"/>
              <w:bottom w:val="nil"/>
              <w:right w:val="nil"/>
            </w:tcBorders>
            <w:shd w:val="clear" w:color="auto" w:fill="E1E8EB"/>
            <w:noWrap/>
            <w:vAlign w:val="bottom"/>
            <w:hideMark/>
          </w:tcPr>
          <w:p w14:paraId="35DE2D6D" w14:textId="77777777" w:rsidR="00655ADE" w:rsidRPr="00655ADE" w:rsidRDefault="00655ADE" w:rsidP="00257433">
            <w:pPr>
              <w:spacing w:after="0" w:line="240" w:lineRule="auto"/>
              <w:jc w:val="right"/>
              <w:rPr>
                <w:rFonts w:ascii="Arial" w:hAnsi="Arial" w:cs="Arial"/>
                <w:color w:val="auto"/>
                <w:sz w:val="16"/>
                <w:szCs w:val="16"/>
              </w:rPr>
            </w:pPr>
            <w:r w:rsidRPr="00655ADE">
              <w:rPr>
                <w:rFonts w:ascii="Arial" w:hAnsi="Arial" w:cs="Arial"/>
                <w:color w:val="auto"/>
                <w:sz w:val="16"/>
                <w:szCs w:val="16"/>
              </w:rPr>
              <w:t xml:space="preserve"> Zero dollar threshold </w:t>
            </w:r>
          </w:p>
        </w:tc>
        <w:tc>
          <w:tcPr>
            <w:tcW w:w="1681" w:type="dxa"/>
            <w:tcBorders>
              <w:top w:val="nil"/>
              <w:left w:val="nil"/>
              <w:bottom w:val="nil"/>
              <w:right w:val="nil"/>
            </w:tcBorders>
            <w:shd w:val="clear" w:color="auto" w:fill="E1E8EB"/>
            <w:noWrap/>
            <w:vAlign w:val="bottom"/>
            <w:hideMark/>
          </w:tcPr>
          <w:p w14:paraId="278171BC" w14:textId="1AC0B15A" w:rsidR="00655ADE" w:rsidRPr="00655ADE" w:rsidRDefault="00655ADE" w:rsidP="00257433">
            <w:pPr>
              <w:spacing w:after="0" w:line="240" w:lineRule="auto"/>
              <w:jc w:val="right"/>
              <w:rPr>
                <w:rFonts w:ascii="Arial" w:hAnsi="Arial" w:cs="Arial"/>
                <w:color w:val="auto"/>
                <w:sz w:val="16"/>
                <w:szCs w:val="16"/>
              </w:rPr>
            </w:pPr>
            <w:r w:rsidRPr="00655ADE">
              <w:rPr>
                <w:rFonts w:ascii="Arial" w:hAnsi="Arial" w:cs="Arial"/>
                <w:color w:val="auto"/>
                <w:sz w:val="16"/>
                <w:szCs w:val="16"/>
              </w:rPr>
              <w:t xml:space="preserve"> Non</w:t>
            </w:r>
            <w:r w:rsidR="003E7C79">
              <w:rPr>
                <w:rFonts w:ascii="Arial" w:hAnsi="Arial" w:cs="Arial"/>
                <w:color w:val="auto"/>
                <w:sz w:val="16"/>
                <w:szCs w:val="16"/>
              </w:rPr>
              <w:t>–</w:t>
            </w:r>
            <w:r w:rsidRPr="00655ADE">
              <w:rPr>
                <w:rFonts w:ascii="Arial" w:hAnsi="Arial" w:cs="Arial"/>
                <w:color w:val="auto"/>
                <w:sz w:val="16"/>
                <w:szCs w:val="16"/>
              </w:rPr>
              <w:t xml:space="preserve">zero dollar threshold </w:t>
            </w:r>
          </w:p>
        </w:tc>
      </w:tr>
      <w:tr w:rsidR="00655ADE" w:rsidRPr="00655ADE" w14:paraId="64699318" w14:textId="77777777" w:rsidTr="00257433">
        <w:trPr>
          <w:trHeight w:val="230"/>
        </w:trPr>
        <w:tc>
          <w:tcPr>
            <w:tcW w:w="2292" w:type="dxa"/>
            <w:tcBorders>
              <w:left w:val="nil"/>
              <w:bottom w:val="single" w:sz="4" w:space="0" w:color="000000"/>
              <w:right w:val="nil"/>
            </w:tcBorders>
            <w:shd w:val="clear" w:color="000000" w:fill="FFFFFF"/>
            <w:noWrap/>
            <w:vAlign w:val="bottom"/>
            <w:hideMark/>
          </w:tcPr>
          <w:p w14:paraId="727C07F0" w14:textId="77777777" w:rsidR="00655ADE" w:rsidRPr="00655ADE" w:rsidRDefault="00655ADE" w:rsidP="00257433">
            <w:pPr>
              <w:spacing w:after="0" w:line="240" w:lineRule="auto"/>
              <w:jc w:val="left"/>
              <w:rPr>
                <w:rFonts w:ascii="Arial" w:hAnsi="Arial" w:cs="Arial"/>
                <w:color w:val="auto"/>
                <w:sz w:val="16"/>
                <w:szCs w:val="16"/>
              </w:rPr>
            </w:pPr>
            <w:r w:rsidRPr="00655ADE">
              <w:rPr>
                <w:rFonts w:ascii="Arial" w:hAnsi="Arial" w:cs="Arial"/>
                <w:color w:val="auto"/>
                <w:sz w:val="16"/>
                <w:szCs w:val="16"/>
              </w:rPr>
              <w:t xml:space="preserve"> Outcome </w:t>
            </w:r>
          </w:p>
        </w:tc>
        <w:tc>
          <w:tcPr>
            <w:tcW w:w="1143" w:type="dxa"/>
            <w:tcBorders>
              <w:top w:val="nil"/>
              <w:left w:val="nil"/>
              <w:bottom w:val="single" w:sz="4" w:space="0" w:color="000000"/>
              <w:right w:val="nil"/>
            </w:tcBorders>
            <w:shd w:val="clear" w:color="000000" w:fill="FFFFFF"/>
            <w:noWrap/>
            <w:vAlign w:val="bottom"/>
            <w:hideMark/>
          </w:tcPr>
          <w:p w14:paraId="1B49785A" w14:textId="77777777" w:rsidR="00655ADE" w:rsidRPr="00655ADE" w:rsidRDefault="00655ADE" w:rsidP="00257433">
            <w:pPr>
              <w:spacing w:after="0" w:line="240" w:lineRule="auto"/>
              <w:jc w:val="right"/>
              <w:rPr>
                <w:rFonts w:ascii="Arial" w:hAnsi="Arial" w:cs="Arial"/>
                <w:color w:val="auto"/>
                <w:sz w:val="16"/>
                <w:szCs w:val="16"/>
              </w:rPr>
            </w:pPr>
            <w:r w:rsidRPr="00655ADE">
              <w:rPr>
                <w:rFonts w:ascii="Arial" w:hAnsi="Arial" w:cs="Arial"/>
                <w:color w:val="auto"/>
                <w:sz w:val="16"/>
                <w:szCs w:val="16"/>
              </w:rPr>
              <w:t xml:space="preserve"> No. </w:t>
            </w:r>
          </w:p>
        </w:tc>
        <w:tc>
          <w:tcPr>
            <w:tcW w:w="1906" w:type="dxa"/>
            <w:tcBorders>
              <w:top w:val="nil"/>
              <w:left w:val="nil"/>
              <w:bottom w:val="single" w:sz="4" w:space="0" w:color="000000"/>
              <w:right w:val="nil"/>
            </w:tcBorders>
            <w:shd w:val="clear" w:color="000000" w:fill="FFFFFF"/>
            <w:noWrap/>
            <w:vAlign w:val="bottom"/>
            <w:hideMark/>
          </w:tcPr>
          <w:p w14:paraId="6C9AD967" w14:textId="77777777" w:rsidR="00655ADE" w:rsidRPr="00655ADE" w:rsidRDefault="00655ADE" w:rsidP="00257433">
            <w:pPr>
              <w:spacing w:after="0" w:line="240" w:lineRule="auto"/>
              <w:jc w:val="right"/>
              <w:rPr>
                <w:rFonts w:ascii="Arial" w:hAnsi="Arial" w:cs="Arial"/>
                <w:color w:val="auto"/>
                <w:sz w:val="16"/>
                <w:szCs w:val="16"/>
              </w:rPr>
            </w:pPr>
            <w:r w:rsidRPr="00655ADE">
              <w:rPr>
                <w:rFonts w:ascii="Arial" w:hAnsi="Arial" w:cs="Arial"/>
                <w:color w:val="auto"/>
                <w:sz w:val="16"/>
                <w:szCs w:val="16"/>
              </w:rPr>
              <w:t xml:space="preserve"> No. </w:t>
            </w:r>
          </w:p>
        </w:tc>
        <w:tc>
          <w:tcPr>
            <w:tcW w:w="1378" w:type="dxa"/>
            <w:tcBorders>
              <w:top w:val="nil"/>
              <w:left w:val="nil"/>
              <w:bottom w:val="single" w:sz="4" w:space="0" w:color="auto"/>
              <w:right w:val="nil"/>
            </w:tcBorders>
            <w:shd w:val="clear" w:color="auto" w:fill="E1E8EB"/>
            <w:noWrap/>
            <w:vAlign w:val="bottom"/>
            <w:hideMark/>
          </w:tcPr>
          <w:p w14:paraId="0B9333EA" w14:textId="77777777" w:rsidR="00655ADE" w:rsidRPr="00655ADE" w:rsidRDefault="00655ADE" w:rsidP="00257433">
            <w:pPr>
              <w:spacing w:after="0" w:line="240" w:lineRule="auto"/>
              <w:jc w:val="right"/>
              <w:rPr>
                <w:rFonts w:ascii="Arial" w:hAnsi="Arial" w:cs="Arial"/>
                <w:sz w:val="16"/>
                <w:szCs w:val="16"/>
              </w:rPr>
            </w:pPr>
            <w:r w:rsidRPr="00655ADE">
              <w:rPr>
                <w:rFonts w:ascii="Arial" w:hAnsi="Arial" w:cs="Arial"/>
                <w:sz w:val="16"/>
                <w:szCs w:val="16"/>
              </w:rPr>
              <w:t xml:space="preserve"> No. </w:t>
            </w:r>
          </w:p>
        </w:tc>
        <w:tc>
          <w:tcPr>
            <w:tcW w:w="1681" w:type="dxa"/>
            <w:tcBorders>
              <w:top w:val="nil"/>
              <w:left w:val="nil"/>
              <w:bottom w:val="single" w:sz="4" w:space="0" w:color="auto"/>
              <w:right w:val="nil"/>
            </w:tcBorders>
            <w:shd w:val="clear" w:color="auto" w:fill="E1E8EB"/>
            <w:noWrap/>
            <w:vAlign w:val="bottom"/>
            <w:hideMark/>
          </w:tcPr>
          <w:p w14:paraId="293B5646" w14:textId="77777777" w:rsidR="00655ADE" w:rsidRPr="00655ADE" w:rsidRDefault="00655ADE" w:rsidP="00257433">
            <w:pPr>
              <w:spacing w:after="0" w:line="240" w:lineRule="auto"/>
              <w:jc w:val="right"/>
              <w:rPr>
                <w:rFonts w:ascii="Arial" w:hAnsi="Arial" w:cs="Arial"/>
                <w:sz w:val="16"/>
                <w:szCs w:val="16"/>
              </w:rPr>
            </w:pPr>
            <w:r w:rsidRPr="00655ADE">
              <w:rPr>
                <w:rFonts w:ascii="Arial" w:hAnsi="Arial" w:cs="Arial"/>
                <w:sz w:val="16"/>
                <w:szCs w:val="16"/>
              </w:rPr>
              <w:t xml:space="preserve"> No. </w:t>
            </w:r>
          </w:p>
        </w:tc>
      </w:tr>
      <w:tr w:rsidR="00655ADE" w:rsidRPr="00655ADE" w14:paraId="5AE9E781" w14:textId="77777777" w:rsidTr="00257433">
        <w:trPr>
          <w:trHeight w:val="230"/>
        </w:trPr>
        <w:tc>
          <w:tcPr>
            <w:tcW w:w="2292" w:type="dxa"/>
            <w:tcBorders>
              <w:top w:val="nil"/>
              <w:left w:val="nil"/>
              <w:bottom w:val="nil"/>
              <w:right w:val="nil"/>
            </w:tcBorders>
            <w:shd w:val="clear" w:color="000000" w:fill="FFFFFF"/>
            <w:noWrap/>
            <w:vAlign w:val="bottom"/>
            <w:hideMark/>
          </w:tcPr>
          <w:p w14:paraId="413CED7D" w14:textId="77777777" w:rsidR="00655ADE" w:rsidRPr="00655ADE" w:rsidRDefault="00655ADE" w:rsidP="00257433">
            <w:pPr>
              <w:spacing w:after="0" w:line="240" w:lineRule="auto"/>
              <w:jc w:val="left"/>
              <w:rPr>
                <w:rFonts w:ascii="Arial" w:hAnsi="Arial" w:cs="Arial"/>
                <w:color w:val="auto"/>
                <w:sz w:val="16"/>
                <w:szCs w:val="16"/>
              </w:rPr>
            </w:pPr>
            <w:r w:rsidRPr="00655ADE">
              <w:rPr>
                <w:rFonts w:ascii="Arial" w:hAnsi="Arial" w:cs="Arial"/>
                <w:color w:val="auto"/>
                <w:sz w:val="16"/>
                <w:szCs w:val="16"/>
              </w:rPr>
              <w:t> </w:t>
            </w:r>
          </w:p>
        </w:tc>
        <w:tc>
          <w:tcPr>
            <w:tcW w:w="1143" w:type="dxa"/>
            <w:tcBorders>
              <w:top w:val="nil"/>
              <w:left w:val="nil"/>
              <w:bottom w:val="nil"/>
              <w:right w:val="nil"/>
            </w:tcBorders>
            <w:shd w:val="clear" w:color="000000" w:fill="FFFFFF"/>
            <w:noWrap/>
            <w:vAlign w:val="bottom"/>
            <w:hideMark/>
          </w:tcPr>
          <w:p w14:paraId="596FB238" w14:textId="77777777" w:rsidR="00655ADE" w:rsidRPr="00655ADE" w:rsidRDefault="00655ADE" w:rsidP="00257433">
            <w:pPr>
              <w:spacing w:after="0" w:line="240" w:lineRule="auto"/>
              <w:jc w:val="right"/>
              <w:rPr>
                <w:rFonts w:ascii="Arial" w:hAnsi="Arial" w:cs="Arial"/>
                <w:color w:val="auto"/>
                <w:sz w:val="16"/>
                <w:szCs w:val="16"/>
              </w:rPr>
            </w:pPr>
            <w:r w:rsidRPr="00655ADE">
              <w:rPr>
                <w:rFonts w:ascii="Arial" w:hAnsi="Arial" w:cs="Arial"/>
                <w:color w:val="auto"/>
                <w:sz w:val="16"/>
                <w:szCs w:val="16"/>
              </w:rPr>
              <w:t> </w:t>
            </w:r>
          </w:p>
        </w:tc>
        <w:tc>
          <w:tcPr>
            <w:tcW w:w="1906" w:type="dxa"/>
            <w:tcBorders>
              <w:top w:val="nil"/>
              <w:left w:val="nil"/>
              <w:bottom w:val="nil"/>
              <w:right w:val="nil"/>
            </w:tcBorders>
            <w:shd w:val="clear" w:color="000000" w:fill="FFFFFF"/>
            <w:noWrap/>
            <w:vAlign w:val="bottom"/>
            <w:hideMark/>
          </w:tcPr>
          <w:p w14:paraId="2D14F812" w14:textId="77777777" w:rsidR="00655ADE" w:rsidRPr="00655ADE" w:rsidRDefault="00655ADE" w:rsidP="00257433">
            <w:pPr>
              <w:spacing w:after="0" w:line="240" w:lineRule="auto"/>
              <w:jc w:val="right"/>
              <w:rPr>
                <w:rFonts w:ascii="Arial" w:hAnsi="Arial" w:cs="Arial"/>
                <w:color w:val="auto"/>
                <w:sz w:val="16"/>
                <w:szCs w:val="16"/>
              </w:rPr>
            </w:pPr>
            <w:r w:rsidRPr="00655ADE">
              <w:rPr>
                <w:rFonts w:ascii="Arial" w:hAnsi="Arial" w:cs="Arial"/>
                <w:color w:val="auto"/>
                <w:sz w:val="16"/>
                <w:szCs w:val="16"/>
              </w:rPr>
              <w:t> </w:t>
            </w:r>
          </w:p>
        </w:tc>
        <w:tc>
          <w:tcPr>
            <w:tcW w:w="1378" w:type="dxa"/>
            <w:tcBorders>
              <w:top w:val="nil"/>
              <w:left w:val="nil"/>
              <w:bottom w:val="nil"/>
              <w:right w:val="nil"/>
            </w:tcBorders>
            <w:shd w:val="clear" w:color="auto" w:fill="E1E8EB"/>
            <w:noWrap/>
            <w:vAlign w:val="bottom"/>
            <w:hideMark/>
          </w:tcPr>
          <w:p w14:paraId="187D8955" w14:textId="77777777" w:rsidR="00655ADE" w:rsidRPr="00655ADE" w:rsidRDefault="00655ADE" w:rsidP="00257433">
            <w:pPr>
              <w:spacing w:after="0" w:line="240" w:lineRule="auto"/>
              <w:jc w:val="right"/>
              <w:rPr>
                <w:rFonts w:ascii="Arial" w:hAnsi="Arial" w:cs="Arial"/>
                <w:sz w:val="16"/>
                <w:szCs w:val="16"/>
              </w:rPr>
            </w:pPr>
            <w:r w:rsidRPr="00655ADE">
              <w:rPr>
                <w:rFonts w:ascii="Arial" w:hAnsi="Arial" w:cs="Arial"/>
                <w:sz w:val="16"/>
                <w:szCs w:val="16"/>
              </w:rPr>
              <w:t> </w:t>
            </w:r>
          </w:p>
        </w:tc>
        <w:tc>
          <w:tcPr>
            <w:tcW w:w="1681" w:type="dxa"/>
            <w:tcBorders>
              <w:top w:val="nil"/>
              <w:left w:val="nil"/>
              <w:bottom w:val="nil"/>
              <w:right w:val="nil"/>
            </w:tcBorders>
            <w:shd w:val="clear" w:color="auto" w:fill="E1E8EB"/>
            <w:noWrap/>
            <w:vAlign w:val="bottom"/>
            <w:hideMark/>
          </w:tcPr>
          <w:p w14:paraId="230A3D99" w14:textId="77777777" w:rsidR="00655ADE" w:rsidRPr="00655ADE" w:rsidRDefault="00655ADE" w:rsidP="00257433">
            <w:pPr>
              <w:spacing w:after="0" w:line="240" w:lineRule="auto"/>
              <w:jc w:val="right"/>
              <w:rPr>
                <w:rFonts w:ascii="Arial" w:hAnsi="Arial" w:cs="Arial"/>
                <w:sz w:val="16"/>
                <w:szCs w:val="16"/>
              </w:rPr>
            </w:pPr>
            <w:r w:rsidRPr="00655ADE">
              <w:rPr>
                <w:rFonts w:ascii="Arial" w:hAnsi="Arial" w:cs="Arial"/>
                <w:sz w:val="16"/>
                <w:szCs w:val="16"/>
              </w:rPr>
              <w:t> </w:t>
            </w:r>
          </w:p>
        </w:tc>
      </w:tr>
      <w:tr w:rsidR="00D065E2" w:rsidRPr="00655ADE" w14:paraId="6179F069" w14:textId="77777777" w:rsidTr="00257433">
        <w:trPr>
          <w:trHeight w:val="230"/>
        </w:trPr>
        <w:tc>
          <w:tcPr>
            <w:tcW w:w="2292" w:type="dxa"/>
            <w:tcBorders>
              <w:top w:val="nil"/>
              <w:left w:val="nil"/>
              <w:bottom w:val="nil"/>
              <w:right w:val="nil"/>
            </w:tcBorders>
            <w:shd w:val="clear" w:color="000000" w:fill="FFFFFF"/>
            <w:noWrap/>
            <w:vAlign w:val="bottom"/>
            <w:hideMark/>
          </w:tcPr>
          <w:p w14:paraId="5A63204B" w14:textId="77777777" w:rsidR="00D065E2" w:rsidRPr="00655ADE" w:rsidRDefault="00D065E2" w:rsidP="00257433">
            <w:pPr>
              <w:spacing w:after="0" w:line="240" w:lineRule="auto"/>
              <w:jc w:val="left"/>
              <w:rPr>
                <w:rFonts w:ascii="Arial" w:hAnsi="Arial" w:cs="Arial"/>
                <w:color w:val="auto"/>
                <w:sz w:val="16"/>
                <w:szCs w:val="16"/>
              </w:rPr>
            </w:pPr>
            <w:r w:rsidRPr="00655ADE">
              <w:rPr>
                <w:rFonts w:ascii="Arial" w:hAnsi="Arial" w:cs="Arial"/>
                <w:color w:val="auto"/>
                <w:sz w:val="16"/>
                <w:szCs w:val="16"/>
              </w:rPr>
              <w:t xml:space="preserve"> Approved without conditions </w:t>
            </w:r>
          </w:p>
        </w:tc>
        <w:tc>
          <w:tcPr>
            <w:tcW w:w="1143" w:type="dxa"/>
            <w:tcBorders>
              <w:top w:val="nil"/>
              <w:left w:val="nil"/>
              <w:bottom w:val="nil"/>
              <w:right w:val="nil"/>
            </w:tcBorders>
            <w:shd w:val="clear" w:color="000000" w:fill="FFFFFF"/>
            <w:noWrap/>
            <w:vAlign w:val="bottom"/>
            <w:hideMark/>
          </w:tcPr>
          <w:p w14:paraId="27DAD4AF" w14:textId="77777777" w:rsidR="00D065E2" w:rsidRPr="00655ADE" w:rsidRDefault="00D065E2" w:rsidP="00257433">
            <w:pPr>
              <w:spacing w:after="0" w:line="240" w:lineRule="auto"/>
              <w:jc w:val="right"/>
              <w:rPr>
                <w:rFonts w:ascii="Arial" w:hAnsi="Arial" w:cs="Arial"/>
                <w:sz w:val="16"/>
                <w:szCs w:val="16"/>
              </w:rPr>
            </w:pPr>
            <w:r w:rsidRPr="00655ADE">
              <w:rPr>
                <w:rFonts w:ascii="Arial" w:hAnsi="Arial" w:cs="Arial"/>
                <w:sz w:val="16"/>
                <w:szCs w:val="16"/>
              </w:rPr>
              <w:t>116</w:t>
            </w:r>
          </w:p>
        </w:tc>
        <w:tc>
          <w:tcPr>
            <w:tcW w:w="1906" w:type="dxa"/>
            <w:tcBorders>
              <w:top w:val="nil"/>
              <w:left w:val="nil"/>
              <w:bottom w:val="nil"/>
              <w:right w:val="nil"/>
            </w:tcBorders>
            <w:shd w:val="clear" w:color="000000" w:fill="FFFFFF"/>
            <w:noWrap/>
            <w:vAlign w:val="bottom"/>
            <w:hideMark/>
          </w:tcPr>
          <w:p w14:paraId="111E0595" w14:textId="77777777" w:rsidR="00D065E2" w:rsidRPr="00655ADE" w:rsidRDefault="00D065E2" w:rsidP="00257433">
            <w:pPr>
              <w:spacing w:after="0" w:line="240" w:lineRule="auto"/>
              <w:jc w:val="right"/>
              <w:rPr>
                <w:rFonts w:ascii="Arial" w:hAnsi="Arial" w:cs="Arial"/>
                <w:sz w:val="16"/>
                <w:szCs w:val="16"/>
              </w:rPr>
            </w:pPr>
            <w:r w:rsidRPr="00655ADE">
              <w:rPr>
                <w:rFonts w:ascii="Arial" w:hAnsi="Arial" w:cs="Arial"/>
                <w:sz w:val="16"/>
                <w:szCs w:val="16"/>
              </w:rPr>
              <w:t>4,392</w:t>
            </w:r>
          </w:p>
        </w:tc>
        <w:tc>
          <w:tcPr>
            <w:tcW w:w="1378" w:type="dxa"/>
            <w:tcBorders>
              <w:top w:val="nil"/>
              <w:left w:val="nil"/>
              <w:bottom w:val="nil"/>
              <w:right w:val="nil"/>
            </w:tcBorders>
            <w:shd w:val="clear" w:color="auto" w:fill="E1E8EB"/>
            <w:noWrap/>
            <w:vAlign w:val="bottom"/>
            <w:hideMark/>
          </w:tcPr>
          <w:p w14:paraId="47C8EDF6" w14:textId="6869DFBB" w:rsidR="00D065E2" w:rsidRPr="00655ADE" w:rsidRDefault="00D065E2" w:rsidP="00257433">
            <w:pPr>
              <w:spacing w:after="0" w:line="240" w:lineRule="auto"/>
              <w:jc w:val="right"/>
              <w:rPr>
                <w:rFonts w:ascii="Arial" w:hAnsi="Arial" w:cs="Arial"/>
                <w:color w:val="auto"/>
                <w:sz w:val="16"/>
                <w:szCs w:val="16"/>
              </w:rPr>
            </w:pPr>
            <w:r w:rsidRPr="002D5985">
              <w:rPr>
                <w:rFonts w:ascii="Arial" w:hAnsi="Arial" w:cs="Arial"/>
                <w:sz w:val="16"/>
                <w:szCs w:val="16"/>
              </w:rPr>
              <w:t>874</w:t>
            </w:r>
          </w:p>
        </w:tc>
        <w:tc>
          <w:tcPr>
            <w:tcW w:w="1681" w:type="dxa"/>
            <w:tcBorders>
              <w:top w:val="nil"/>
              <w:left w:val="nil"/>
              <w:bottom w:val="nil"/>
              <w:right w:val="nil"/>
            </w:tcBorders>
            <w:shd w:val="clear" w:color="auto" w:fill="E1E8EB"/>
            <w:noWrap/>
            <w:vAlign w:val="bottom"/>
            <w:hideMark/>
          </w:tcPr>
          <w:p w14:paraId="025DBF20" w14:textId="40B8E4F2" w:rsidR="00D065E2" w:rsidRPr="00655ADE" w:rsidRDefault="00D065E2" w:rsidP="00257433">
            <w:pPr>
              <w:spacing w:after="0" w:line="240" w:lineRule="auto"/>
              <w:jc w:val="right"/>
              <w:rPr>
                <w:rFonts w:ascii="Arial" w:hAnsi="Arial" w:cs="Arial"/>
                <w:color w:val="auto"/>
                <w:sz w:val="16"/>
                <w:szCs w:val="16"/>
              </w:rPr>
            </w:pPr>
            <w:r w:rsidRPr="002D5985">
              <w:rPr>
                <w:rFonts w:ascii="Arial" w:hAnsi="Arial" w:cs="Arial"/>
                <w:sz w:val="16"/>
                <w:szCs w:val="16"/>
              </w:rPr>
              <w:t>2,395</w:t>
            </w:r>
          </w:p>
        </w:tc>
      </w:tr>
      <w:tr w:rsidR="00D065E2" w:rsidRPr="00655ADE" w14:paraId="2F4EF792" w14:textId="77777777" w:rsidTr="00257433">
        <w:trPr>
          <w:trHeight w:val="230"/>
        </w:trPr>
        <w:tc>
          <w:tcPr>
            <w:tcW w:w="2292" w:type="dxa"/>
            <w:tcBorders>
              <w:top w:val="nil"/>
              <w:left w:val="nil"/>
              <w:bottom w:val="nil"/>
              <w:right w:val="nil"/>
            </w:tcBorders>
            <w:shd w:val="clear" w:color="000000" w:fill="FFFFFF"/>
            <w:noWrap/>
            <w:vAlign w:val="bottom"/>
            <w:hideMark/>
          </w:tcPr>
          <w:p w14:paraId="1E08D86C" w14:textId="77777777" w:rsidR="00D065E2" w:rsidRPr="00655ADE" w:rsidRDefault="00D065E2" w:rsidP="00257433">
            <w:pPr>
              <w:spacing w:after="0" w:line="240" w:lineRule="auto"/>
              <w:jc w:val="left"/>
              <w:rPr>
                <w:rFonts w:ascii="Arial" w:hAnsi="Arial" w:cs="Arial"/>
                <w:color w:val="auto"/>
                <w:sz w:val="16"/>
                <w:szCs w:val="16"/>
              </w:rPr>
            </w:pPr>
            <w:r w:rsidRPr="00655ADE">
              <w:rPr>
                <w:rFonts w:ascii="Arial" w:hAnsi="Arial" w:cs="Arial"/>
                <w:color w:val="auto"/>
                <w:sz w:val="16"/>
                <w:szCs w:val="16"/>
              </w:rPr>
              <w:t xml:space="preserve"> Approved with conditions </w:t>
            </w:r>
          </w:p>
        </w:tc>
        <w:tc>
          <w:tcPr>
            <w:tcW w:w="1143" w:type="dxa"/>
            <w:tcBorders>
              <w:top w:val="nil"/>
              <w:left w:val="nil"/>
              <w:bottom w:val="single" w:sz="4" w:space="0" w:color="auto"/>
              <w:right w:val="nil"/>
            </w:tcBorders>
            <w:shd w:val="clear" w:color="000000" w:fill="FFFFFF"/>
            <w:noWrap/>
            <w:vAlign w:val="bottom"/>
            <w:hideMark/>
          </w:tcPr>
          <w:p w14:paraId="54635D68" w14:textId="77777777" w:rsidR="00D065E2" w:rsidRPr="00655ADE" w:rsidRDefault="00D065E2" w:rsidP="00257433">
            <w:pPr>
              <w:spacing w:after="0" w:line="240" w:lineRule="auto"/>
              <w:jc w:val="right"/>
              <w:rPr>
                <w:rFonts w:ascii="Arial" w:hAnsi="Arial" w:cs="Arial"/>
                <w:sz w:val="16"/>
                <w:szCs w:val="16"/>
              </w:rPr>
            </w:pPr>
            <w:r w:rsidRPr="00655ADE">
              <w:rPr>
                <w:rFonts w:ascii="Arial" w:hAnsi="Arial" w:cs="Arial"/>
                <w:sz w:val="16"/>
                <w:szCs w:val="16"/>
              </w:rPr>
              <w:t xml:space="preserve">                                   21 </w:t>
            </w:r>
          </w:p>
        </w:tc>
        <w:tc>
          <w:tcPr>
            <w:tcW w:w="1906" w:type="dxa"/>
            <w:tcBorders>
              <w:top w:val="nil"/>
              <w:left w:val="nil"/>
              <w:bottom w:val="single" w:sz="4" w:space="0" w:color="auto"/>
              <w:right w:val="nil"/>
            </w:tcBorders>
            <w:shd w:val="clear" w:color="000000" w:fill="FFFFFF"/>
            <w:noWrap/>
            <w:vAlign w:val="bottom"/>
            <w:hideMark/>
          </w:tcPr>
          <w:p w14:paraId="03034523" w14:textId="77777777" w:rsidR="00D065E2" w:rsidRPr="00655ADE" w:rsidRDefault="00D065E2" w:rsidP="00257433">
            <w:pPr>
              <w:spacing w:after="0" w:line="240" w:lineRule="auto"/>
              <w:jc w:val="right"/>
              <w:rPr>
                <w:rFonts w:ascii="Arial" w:hAnsi="Arial" w:cs="Arial"/>
                <w:sz w:val="16"/>
                <w:szCs w:val="16"/>
              </w:rPr>
            </w:pPr>
            <w:r w:rsidRPr="00655ADE">
              <w:rPr>
                <w:rFonts w:ascii="Arial" w:hAnsi="Arial" w:cs="Arial"/>
                <w:sz w:val="16"/>
                <w:szCs w:val="16"/>
              </w:rPr>
              <w:t xml:space="preserve">                                      3,692 </w:t>
            </w:r>
          </w:p>
        </w:tc>
        <w:tc>
          <w:tcPr>
            <w:tcW w:w="1378" w:type="dxa"/>
            <w:tcBorders>
              <w:top w:val="nil"/>
              <w:left w:val="nil"/>
              <w:bottom w:val="single" w:sz="4" w:space="0" w:color="auto"/>
              <w:right w:val="nil"/>
            </w:tcBorders>
            <w:shd w:val="clear" w:color="auto" w:fill="E1E8EB"/>
            <w:noWrap/>
            <w:vAlign w:val="bottom"/>
            <w:hideMark/>
          </w:tcPr>
          <w:p w14:paraId="2F8007D6" w14:textId="1033F3DB" w:rsidR="00D065E2" w:rsidRPr="00655ADE" w:rsidRDefault="00D065E2" w:rsidP="00257433">
            <w:pPr>
              <w:spacing w:after="0" w:line="240" w:lineRule="auto"/>
              <w:jc w:val="right"/>
              <w:rPr>
                <w:rFonts w:ascii="Arial" w:hAnsi="Arial" w:cs="Arial"/>
                <w:color w:val="auto"/>
                <w:sz w:val="16"/>
                <w:szCs w:val="16"/>
              </w:rPr>
            </w:pPr>
            <w:r w:rsidRPr="002D5985">
              <w:rPr>
                <w:rFonts w:ascii="Arial" w:hAnsi="Arial" w:cs="Arial"/>
                <w:sz w:val="16"/>
                <w:szCs w:val="16"/>
              </w:rPr>
              <w:t>151</w:t>
            </w:r>
          </w:p>
        </w:tc>
        <w:tc>
          <w:tcPr>
            <w:tcW w:w="1681" w:type="dxa"/>
            <w:tcBorders>
              <w:top w:val="nil"/>
              <w:left w:val="nil"/>
              <w:bottom w:val="single" w:sz="4" w:space="0" w:color="auto"/>
              <w:right w:val="nil"/>
            </w:tcBorders>
            <w:shd w:val="clear" w:color="auto" w:fill="E1E8EB"/>
            <w:noWrap/>
            <w:vAlign w:val="bottom"/>
            <w:hideMark/>
          </w:tcPr>
          <w:p w14:paraId="5DB97875" w14:textId="341EC72A" w:rsidR="00D065E2" w:rsidRPr="00655ADE" w:rsidRDefault="00D065E2" w:rsidP="00257433">
            <w:pPr>
              <w:spacing w:after="0" w:line="240" w:lineRule="auto"/>
              <w:jc w:val="right"/>
              <w:rPr>
                <w:rFonts w:ascii="Arial" w:hAnsi="Arial" w:cs="Arial"/>
                <w:color w:val="auto"/>
                <w:sz w:val="16"/>
                <w:szCs w:val="16"/>
              </w:rPr>
            </w:pPr>
            <w:r w:rsidRPr="002D5985">
              <w:rPr>
                <w:rFonts w:ascii="Arial" w:hAnsi="Arial" w:cs="Arial"/>
                <w:sz w:val="16"/>
                <w:szCs w:val="16"/>
              </w:rPr>
              <w:t>3,230</w:t>
            </w:r>
          </w:p>
        </w:tc>
      </w:tr>
      <w:tr w:rsidR="00D065E2" w:rsidRPr="00655ADE" w14:paraId="5BAEF4DD" w14:textId="77777777" w:rsidTr="00257433">
        <w:trPr>
          <w:trHeight w:val="230"/>
        </w:trPr>
        <w:tc>
          <w:tcPr>
            <w:tcW w:w="2292" w:type="dxa"/>
            <w:tcBorders>
              <w:top w:val="nil"/>
              <w:left w:val="nil"/>
              <w:bottom w:val="nil"/>
              <w:right w:val="nil"/>
            </w:tcBorders>
            <w:shd w:val="clear" w:color="000000" w:fill="FFFFFF"/>
            <w:noWrap/>
            <w:vAlign w:val="bottom"/>
            <w:hideMark/>
          </w:tcPr>
          <w:p w14:paraId="037C786E" w14:textId="77777777" w:rsidR="00D065E2" w:rsidRPr="00655ADE" w:rsidRDefault="00D065E2" w:rsidP="00257433">
            <w:pPr>
              <w:spacing w:after="0" w:line="240" w:lineRule="auto"/>
              <w:jc w:val="left"/>
              <w:rPr>
                <w:rFonts w:ascii="Arial" w:hAnsi="Arial" w:cs="Arial"/>
                <w:b/>
                <w:bCs/>
                <w:color w:val="auto"/>
                <w:sz w:val="16"/>
                <w:szCs w:val="16"/>
              </w:rPr>
            </w:pPr>
            <w:r w:rsidRPr="00655ADE">
              <w:rPr>
                <w:rFonts w:ascii="Arial" w:hAnsi="Arial" w:cs="Arial"/>
                <w:b/>
                <w:bCs/>
                <w:color w:val="auto"/>
                <w:sz w:val="16"/>
                <w:szCs w:val="16"/>
              </w:rPr>
              <w:t xml:space="preserve">   Total approved </w:t>
            </w:r>
          </w:p>
        </w:tc>
        <w:tc>
          <w:tcPr>
            <w:tcW w:w="1143" w:type="dxa"/>
            <w:tcBorders>
              <w:top w:val="nil"/>
              <w:left w:val="nil"/>
              <w:bottom w:val="nil"/>
              <w:right w:val="nil"/>
            </w:tcBorders>
            <w:shd w:val="clear" w:color="000000" w:fill="FFFFFF"/>
            <w:noWrap/>
            <w:vAlign w:val="bottom"/>
            <w:hideMark/>
          </w:tcPr>
          <w:p w14:paraId="5924C603" w14:textId="77777777" w:rsidR="00D065E2" w:rsidRPr="00E16BCD" w:rsidRDefault="00D065E2" w:rsidP="00257433">
            <w:pPr>
              <w:spacing w:after="0" w:line="240" w:lineRule="auto"/>
              <w:jc w:val="right"/>
              <w:rPr>
                <w:rFonts w:ascii="Arial" w:hAnsi="Arial" w:cs="Arial"/>
                <w:b/>
                <w:bCs/>
                <w:sz w:val="16"/>
                <w:szCs w:val="16"/>
              </w:rPr>
            </w:pPr>
            <w:r w:rsidRPr="00E16BCD">
              <w:rPr>
                <w:rFonts w:ascii="Arial" w:hAnsi="Arial" w:cs="Arial"/>
                <w:b/>
                <w:bCs/>
                <w:sz w:val="16"/>
                <w:szCs w:val="16"/>
              </w:rPr>
              <w:t>137</w:t>
            </w:r>
          </w:p>
        </w:tc>
        <w:tc>
          <w:tcPr>
            <w:tcW w:w="1906" w:type="dxa"/>
            <w:tcBorders>
              <w:top w:val="nil"/>
              <w:left w:val="nil"/>
              <w:bottom w:val="nil"/>
              <w:right w:val="nil"/>
            </w:tcBorders>
            <w:shd w:val="clear" w:color="000000" w:fill="FFFFFF"/>
            <w:noWrap/>
            <w:vAlign w:val="bottom"/>
            <w:hideMark/>
          </w:tcPr>
          <w:p w14:paraId="72CD47D0" w14:textId="77777777" w:rsidR="00D065E2" w:rsidRPr="00E16BCD" w:rsidRDefault="00D065E2" w:rsidP="00257433">
            <w:pPr>
              <w:spacing w:after="0" w:line="240" w:lineRule="auto"/>
              <w:jc w:val="right"/>
              <w:rPr>
                <w:rFonts w:ascii="Arial" w:hAnsi="Arial" w:cs="Arial"/>
                <w:b/>
                <w:bCs/>
                <w:sz w:val="16"/>
                <w:szCs w:val="16"/>
              </w:rPr>
            </w:pPr>
            <w:r w:rsidRPr="00E16BCD">
              <w:rPr>
                <w:rFonts w:ascii="Arial" w:hAnsi="Arial" w:cs="Arial"/>
                <w:b/>
                <w:bCs/>
                <w:sz w:val="16"/>
                <w:szCs w:val="16"/>
              </w:rPr>
              <w:t>8,084</w:t>
            </w:r>
          </w:p>
        </w:tc>
        <w:tc>
          <w:tcPr>
            <w:tcW w:w="1378" w:type="dxa"/>
            <w:tcBorders>
              <w:top w:val="nil"/>
              <w:left w:val="nil"/>
              <w:bottom w:val="nil"/>
              <w:right w:val="nil"/>
            </w:tcBorders>
            <w:shd w:val="clear" w:color="auto" w:fill="E1E8EB"/>
            <w:noWrap/>
            <w:vAlign w:val="bottom"/>
            <w:hideMark/>
          </w:tcPr>
          <w:p w14:paraId="4848F7E3" w14:textId="18DD5CE2" w:rsidR="00D065E2" w:rsidRPr="00E16BCD" w:rsidRDefault="007A0BA2" w:rsidP="00257433">
            <w:pPr>
              <w:spacing w:after="0" w:line="240" w:lineRule="auto"/>
              <w:jc w:val="right"/>
              <w:rPr>
                <w:rFonts w:ascii="Arial" w:hAnsi="Arial" w:cs="Arial"/>
                <w:b/>
                <w:bCs/>
                <w:color w:val="auto"/>
                <w:sz w:val="16"/>
                <w:szCs w:val="16"/>
              </w:rPr>
            </w:pPr>
            <w:r w:rsidRPr="00E16BCD">
              <w:rPr>
                <w:rFonts w:ascii="Arial" w:hAnsi="Arial" w:cs="Arial"/>
                <w:b/>
                <w:bCs/>
                <w:sz w:val="16"/>
                <w:szCs w:val="16"/>
              </w:rPr>
              <w:t>1,025</w:t>
            </w:r>
          </w:p>
        </w:tc>
        <w:tc>
          <w:tcPr>
            <w:tcW w:w="1681" w:type="dxa"/>
            <w:tcBorders>
              <w:top w:val="nil"/>
              <w:left w:val="nil"/>
              <w:bottom w:val="nil"/>
              <w:right w:val="nil"/>
            </w:tcBorders>
            <w:shd w:val="clear" w:color="auto" w:fill="E1E8EB"/>
            <w:noWrap/>
            <w:vAlign w:val="bottom"/>
            <w:hideMark/>
          </w:tcPr>
          <w:p w14:paraId="325AAD16" w14:textId="58382C07" w:rsidR="00D065E2" w:rsidRPr="00E16BCD" w:rsidRDefault="007A0BA2" w:rsidP="00257433">
            <w:pPr>
              <w:spacing w:after="0" w:line="240" w:lineRule="auto"/>
              <w:jc w:val="right"/>
              <w:rPr>
                <w:rFonts w:ascii="Arial" w:hAnsi="Arial" w:cs="Arial"/>
                <w:b/>
                <w:bCs/>
                <w:color w:val="auto"/>
                <w:sz w:val="16"/>
                <w:szCs w:val="16"/>
              </w:rPr>
            </w:pPr>
            <w:r w:rsidRPr="00E16BCD">
              <w:rPr>
                <w:rFonts w:ascii="Arial" w:hAnsi="Arial" w:cs="Arial"/>
                <w:b/>
                <w:bCs/>
                <w:sz w:val="16"/>
                <w:szCs w:val="16"/>
              </w:rPr>
              <w:t>5</w:t>
            </w:r>
            <w:r w:rsidR="00D065E2" w:rsidRPr="00E16BCD">
              <w:rPr>
                <w:rFonts w:ascii="Arial" w:hAnsi="Arial" w:cs="Arial"/>
                <w:b/>
                <w:bCs/>
                <w:sz w:val="16"/>
                <w:szCs w:val="16"/>
              </w:rPr>
              <w:t>,</w:t>
            </w:r>
            <w:r w:rsidRPr="00E16BCD">
              <w:rPr>
                <w:rFonts w:ascii="Arial" w:hAnsi="Arial" w:cs="Arial"/>
                <w:b/>
                <w:bCs/>
                <w:sz w:val="16"/>
                <w:szCs w:val="16"/>
              </w:rPr>
              <w:t>625</w:t>
            </w:r>
          </w:p>
        </w:tc>
      </w:tr>
      <w:tr w:rsidR="00655ADE" w:rsidRPr="00655ADE" w14:paraId="7DD82680" w14:textId="77777777" w:rsidTr="00257433">
        <w:trPr>
          <w:trHeight w:val="230"/>
        </w:trPr>
        <w:tc>
          <w:tcPr>
            <w:tcW w:w="2292" w:type="dxa"/>
            <w:tcBorders>
              <w:top w:val="nil"/>
              <w:left w:val="nil"/>
              <w:bottom w:val="nil"/>
              <w:right w:val="nil"/>
            </w:tcBorders>
            <w:shd w:val="clear" w:color="000000" w:fill="FFFFFF"/>
            <w:noWrap/>
            <w:vAlign w:val="bottom"/>
            <w:hideMark/>
          </w:tcPr>
          <w:p w14:paraId="61F4B440" w14:textId="77777777" w:rsidR="00655ADE" w:rsidRPr="00655ADE" w:rsidRDefault="00655ADE" w:rsidP="00257433">
            <w:pPr>
              <w:spacing w:after="0" w:line="240" w:lineRule="auto"/>
              <w:jc w:val="left"/>
              <w:rPr>
                <w:rFonts w:ascii="Arial" w:hAnsi="Arial" w:cs="Arial"/>
                <w:color w:val="auto"/>
                <w:sz w:val="16"/>
                <w:szCs w:val="16"/>
              </w:rPr>
            </w:pPr>
            <w:r w:rsidRPr="00655ADE">
              <w:rPr>
                <w:rFonts w:ascii="Arial" w:hAnsi="Arial" w:cs="Arial"/>
                <w:color w:val="auto"/>
                <w:sz w:val="16"/>
                <w:szCs w:val="16"/>
              </w:rPr>
              <w:t xml:space="preserve"> Rejected </w:t>
            </w:r>
          </w:p>
        </w:tc>
        <w:tc>
          <w:tcPr>
            <w:tcW w:w="1143" w:type="dxa"/>
            <w:tcBorders>
              <w:top w:val="nil"/>
              <w:left w:val="nil"/>
              <w:bottom w:val="nil"/>
              <w:right w:val="nil"/>
            </w:tcBorders>
            <w:shd w:val="clear" w:color="000000" w:fill="FFFFFF"/>
            <w:noWrap/>
            <w:vAlign w:val="bottom"/>
            <w:hideMark/>
          </w:tcPr>
          <w:p w14:paraId="03B3DFA8" w14:textId="2E1E3F93" w:rsidR="00655ADE" w:rsidRPr="00655ADE" w:rsidRDefault="003E7C79" w:rsidP="00257433">
            <w:pPr>
              <w:spacing w:after="0" w:line="240" w:lineRule="auto"/>
              <w:jc w:val="right"/>
              <w:rPr>
                <w:rFonts w:ascii="Arial" w:hAnsi="Arial" w:cs="Arial"/>
                <w:sz w:val="16"/>
                <w:szCs w:val="16"/>
              </w:rPr>
            </w:pPr>
            <w:r>
              <w:rPr>
                <w:rFonts w:ascii="Arial" w:hAnsi="Arial" w:cs="Arial"/>
                <w:sz w:val="16"/>
                <w:szCs w:val="16"/>
              </w:rPr>
              <w:t>–</w:t>
            </w:r>
          </w:p>
        </w:tc>
        <w:tc>
          <w:tcPr>
            <w:tcW w:w="1906" w:type="dxa"/>
            <w:tcBorders>
              <w:top w:val="nil"/>
              <w:left w:val="nil"/>
              <w:bottom w:val="nil"/>
              <w:right w:val="nil"/>
            </w:tcBorders>
            <w:shd w:val="clear" w:color="000000" w:fill="FFFFFF"/>
            <w:noWrap/>
            <w:vAlign w:val="bottom"/>
            <w:hideMark/>
          </w:tcPr>
          <w:p w14:paraId="2697F2CB" w14:textId="77777777" w:rsidR="00655ADE" w:rsidRPr="00655ADE" w:rsidRDefault="00655ADE" w:rsidP="00257433">
            <w:pPr>
              <w:spacing w:after="0" w:line="240" w:lineRule="auto"/>
              <w:jc w:val="right"/>
              <w:rPr>
                <w:rFonts w:ascii="Arial" w:hAnsi="Arial" w:cs="Arial"/>
                <w:sz w:val="16"/>
                <w:szCs w:val="16"/>
              </w:rPr>
            </w:pPr>
            <w:r w:rsidRPr="00655ADE">
              <w:rPr>
                <w:rFonts w:ascii="Arial" w:hAnsi="Arial" w:cs="Arial"/>
                <w:sz w:val="16"/>
                <w:szCs w:val="16"/>
              </w:rPr>
              <w:t>3</w:t>
            </w:r>
          </w:p>
        </w:tc>
        <w:tc>
          <w:tcPr>
            <w:tcW w:w="1378" w:type="dxa"/>
            <w:tcBorders>
              <w:top w:val="nil"/>
              <w:left w:val="nil"/>
              <w:bottom w:val="nil"/>
              <w:right w:val="nil"/>
            </w:tcBorders>
            <w:shd w:val="clear" w:color="auto" w:fill="E1E8EB"/>
            <w:noWrap/>
            <w:vAlign w:val="bottom"/>
            <w:hideMark/>
          </w:tcPr>
          <w:p w14:paraId="2E4A2984" w14:textId="2CE0AD6D" w:rsidR="00655ADE" w:rsidRPr="00655ADE" w:rsidRDefault="003E7C79" w:rsidP="00257433">
            <w:pPr>
              <w:spacing w:after="0" w:line="240" w:lineRule="auto"/>
              <w:jc w:val="right"/>
              <w:rPr>
                <w:rFonts w:ascii="Arial" w:hAnsi="Arial" w:cs="Arial"/>
                <w:color w:val="auto"/>
                <w:sz w:val="16"/>
                <w:szCs w:val="16"/>
              </w:rPr>
            </w:pPr>
            <w:r>
              <w:rPr>
                <w:rFonts w:ascii="Arial" w:hAnsi="Arial" w:cs="Arial"/>
                <w:color w:val="auto"/>
                <w:sz w:val="16"/>
                <w:szCs w:val="16"/>
              </w:rPr>
              <w:t>–</w:t>
            </w:r>
          </w:p>
        </w:tc>
        <w:tc>
          <w:tcPr>
            <w:tcW w:w="1681" w:type="dxa"/>
            <w:tcBorders>
              <w:top w:val="nil"/>
              <w:left w:val="nil"/>
              <w:bottom w:val="nil"/>
              <w:right w:val="nil"/>
            </w:tcBorders>
            <w:shd w:val="clear" w:color="auto" w:fill="E1E8EB"/>
            <w:noWrap/>
            <w:vAlign w:val="bottom"/>
            <w:hideMark/>
          </w:tcPr>
          <w:p w14:paraId="6E2789A3" w14:textId="202D3B49" w:rsidR="00655ADE" w:rsidRPr="00655ADE" w:rsidRDefault="00E16BCD" w:rsidP="00257433">
            <w:pPr>
              <w:spacing w:after="0" w:line="240" w:lineRule="auto"/>
              <w:jc w:val="right"/>
              <w:rPr>
                <w:rFonts w:ascii="Arial" w:hAnsi="Arial" w:cs="Arial"/>
                <w:color w:val="auto"/>
                <w:sz w:val="16"/>
                <w:szCs w:val="16"/>
              </w:rPr>
            </w:pPr>
            <w:r>
              <w:rPr>
                <w:rFonts w:ascii="Arial" w:hAnsi="Arial" w:cs="Arial"/>
                <w:color w:val="auto"/>
                <w:sz w:val="16"/>
                <w:szCs w:val="16"/>
              </w:rPr>
              <w:t>1</w:t>
            </w:r>
          </w:p>
        </w:tc>
      </w:tr>
      <w:tr w:rsidR="00655ADE" w:rsidRPr="00655ADE" w14:paraId="05C8374A" w14:textId="77777777" w:rsidTr="00257433">
        <w:trPr>
          <w:trHeight w:val="230"/>
        </w:trPr>
        <w:tc>
          <w:tcPr>
            <w:tcW w:w="2292" w:type="dxa"/>
            <w:tcBorders>
              <w:top w:val="nil"/>
              <w:left w:val="nil"/>
              <w:bottom w:val="nil"/>
              <w:right w:val="nil"/>
            </w:tcBorders>
            <w:shd w:val="clear" w:color="auto" w:fill="auto"/>
            <w:noWrap/>
            <w:vAlign w:val="bottom"/>
            <w:hideMark/>
          </w:tcPr>
          <w:p w14:paraId="6849F91B" w14:textId="77777777" w:rsidR="00655ADE" w:rsidRPr="00655ADE" w:rsidRDefault="00655ADE" w:rsidP="00257433">
            <w:pPr>
              <w:spacing w:after="0" w:line="240" w:lineRule="auto"/>
              <w:jc w:val="left"/>
              <w:rPr>
                <w:rFonts w:ascii="Arial" w:hAnsi="Arial" w:cs="Arial"/>
                <w:color w:val="auto"/>
                <w:sz w:val="16"/>
                <w:szCs w:val="16"/>
              </w:rPr>
            </w:pPr>
            <w:r w:rsidRPr="00655ADE">
              <w:rPr>
                <w:rFonts w:ascii="Arial" w:hAnsi="Arial" w:cs="Arial"/>
                <w:color w:val="auto"/>
                <w:sz w:val="16"/>
                <w:szCs w:val="16"/>
              </w:rPr>
              <w:t xml:space="preserve"> Declined </w:t>
            </w:r>
          </w:p>
        </w:tc>
        <w:tc>
          <w:tcPr>
            <w:tcW w:w="1143" w:type="dxa"/>
            <w:tcBorders>
              <w:top w:val="nil"/>
              <w:left w:val="nil"/>
              <w:bottom w:val="single" w:sz="4" w:space="0" w:color="auto"/>
              <w:right w:val="nil"/>
            </w:tcBorders>
            <w:shd w:val="clear" w:color="000000" w:fill="FFFFFF"/>
            <w:noWrap/>
            <w:vAlign w:val="bottom"/>
            <w:hideMark/>
          </w:tcPr>
          <w:p w14:paraId="78E65D58" w14:textId="7499B2FC" w:rsidR="00655ADE" w:rsidRPr="00655ADE" w:rsidRDefault="00655ADE" w:rsidP="00257433">
            <w:pPr>
              <w:spacing w:after="0" w:line="240" w:lineRule="auto"/>
              <w:jc w:val="right"/>
              <w:rPr>
                <w:rFonts w:ascii="Arial" w:hAnsi="Arial" w:cs="Arial"/>
                <w:sz w:val="16"/>
                <w:szCs w:val="16"/>
              </w:rPr>
            </w:pPr>
            <w:r w:rsidRPr="00655ADE">
              <w:rPr>
                <w:rFonts w:ascii="Arial" w:hAnsi="Arial" w:cs="Arial"/>
                <w:sz w:val="16"/>
                <w:szCs w:val="16"/>
              </w:rPr>
              <w:t xml:space="preserve">                                     </w:t>
            </w:r>
            <w:r w:rsidR="003E7C79">
              <w:rPr>
                <w:rFonts w:ascii="Arial" w:hAnsi="Arial" w:cs="Arial"/>
                <w:sz w:val="16"/>
                <w:szCs w:val="16"/>
              </w:rPr>
              <w:t>–</w:t>
            </w:r>
            <w:r w:rsidRPr="00655ADE">
              <w:rPr>
                <w:rFonts w:ascii="Arial" w:hAnsi="Arial" w:cs="Arial"/>
                <w:sz w:val="16"/>
                <w:szCs w:val="16"/>
              </w:rPr>
              <w:t xml:space="preserve"> </w:t>
            </w:r>
          </w:p>
        </w:tc>
        <w:tc>
          <w:tcPr>
            <w:tcW w:w="1906" w:type="dxa"/>
            <w:tcBorders>
              <w:top w:val="nil"/>
              <w:left w:val="nil"/>
              <w:bottom w:val="single" w:sz="4" w:space="0" w:color="auto"/>
              <w:right w:val="nil"/>
            </w:tcBorders>
            <w:shd w:val="clear" w:color="000000" w:fill="FFFFFF"/>
            <w:noWrap/>
            <w:vAlign w:val="bottom"/>
            <w:hideMark/>
          </w:tcPr>
          <w:p w14:paraId="3897DF52" w14:textId="5511199F" w:rsidR="00655ADE" w:rsidRPr="00655ADE" w:rsidRDefault="00655ADE" w:rsidP="00257433">
            <w:pPr>
              <w:spacing w:after="0" w:line="240" w:lineRule="auto"/>
              <w:jc w:val="right"/>
              <w:rPr>
                <w:rFonts w:ascii="Arial" w:hAnsi="Arial" w:cs="Arial"/>
                <w:sz w:val="16"/>
                <w:szCs w:val="16"/>
              </w:rPr>
            </w:pPr>
            <w:r w:rsidRPr="00655ADE">
              <w:rPr>
                <w:rFonts w:ascii="Arial" w:hAnsi="Arial" w:cs="Arial"/>
                <w:sz w:val="16"/>
                <w:szCs w:val="16"/>
              </w:rPr>
              <w:t xml:space="preserve">                                              </w:t>
            </w:r>
            <w:r w:rsidR="003E7C79">
              <w:rPr>
                <w:rFonts w:ascii="Arial" w:hAnsi="Arial" w:cs="Arial"/>
                <w:sz w:val="16"/>
                <w:szCs w:val="16"/>
              </w:rPr>
              <w:t>–</w:t>
            </w:r>
            <w:r w:rsidRPr="00655ADE">
              <w:rPr>
                <w:rFonts w:ascii="Arial" w:hAnsi="Arial" w:cs="Arial"/>
                <w:sz w:val="16"/>
                <w:szCs w:val="16"/>
              </w:rPr>
              <w:t xml:space="preserve"> </w:t>
            </w:r>
          </w:p>
        </w:tc>
        <w:tc>
          <w:tcPr>
            <w:tcW w:w="1378" w:type="dxa"/>
            <w:tcBorders>
              <w:top w:val="nil"/>
              <w:left w:val="nil"/>
              <w:bottom w:val="single" w:sz="4" w:space="0" w:color="auto"/>
              <w:right w:val="nil"/>
            </w:tcBorders>
            <w:shd w:val="clear" w:color="auto" w:fill="E1E8EB"/>
            <w:noWrap/>
            <w:vAlign w:val="bottom"/>
            <w:hideMark/>
          </w:tcPr>
          <w:p w14:paraId="355F2B6D" w14:textId="7BEC29C2" w:rsidR="00655ADE" w:rsidRPr="00655ADE" w:rsidRDefault="003E7C79" w:rsidP="00257433">
            <w:pPr>
              <w:spacing w:after="0" w:line="240" w:lineRule="auto"/>
              <w:jc w:val="right"/>
              <w:rPr>
                <w:rFonts w:ascii="Arial" w:hAnsi="Arial" w:cs="Arial"/>
                <w:color w:val="auto"/>
                <w:sz w:val="16"/>
                <w:szCs w:val="16"/>
              </w:rPr>
            </w:pPr>
            <w:r>
              <w:rPr>
                <w:rFonts w:ascii="Arial" w:hAnsi="Arial" w:cs="Arial"/>
                <w:color w:val="auto"/>
                <w:sz w:val="16"/>
                <w:szCs w:val="16"/>
              </w:rPr>
              <w:t>–</w:t>
            </w:r>
          </w:p>
        </w:tc>
        <w:tc>
          <w:tcPr>
            <w:tcW w:w="1681" w:type="dxa"/>
            <w:tcBorders>
              <w:top w:val="nil"/>
              <w:left w:val="nil"/>
              <w:bottom w:val="single" w:sz="4" w:space="0" w:color="auto"/>
              <w:right w:val="nil"/>
            </w:tcBorders>
            <w:shd w:val="clear" w:color="auto" w:fill="E1E8EB"/>
            <w:noWrap/>
            <w:vAlign w:val="bottom"/>
            <w:hideMark/>
          </w:tcPr>
          <w:p w14:paraId="1F11B7E3" w14:textId="74D84B06" w:rsidR="00655ADE" w:rsidRPr="00655ADE" w:rsidRDefault="003E7C79" w:rsidP="00257433">
            <w:pPr>
              <w:spacing w:after="0" w:line="240" w:lineRule="auto"/>
              <w:jc w:val="right"/>
              <w:rPr>
                <w:rFonts w:ascii="Arial" w:hAnsi="Arial" w:cs="Arial"/>
                <w:color w:val="auto"/>
                <w:sz w:val="16"/>
                <w:szCs w:val="16"/>
              </w:rPr>
            </w:pPr>
            <w:r>
              <w:rPr>
                <w:rFonts w:ascii="Arial" w:hAnsi="Arial" w:cs="Arial"/>
                <w:color w:val="auto"/>
                <w:sz w:val="16"/>
                <w:szCs w:val="16"/>
              </w:rPr>
              <w:t>–</w:t>
            </w:r>
          </w:p>
        </w:tc>
      </w:tr>
      <w:tr w:rsidR="00655ADE" w:rsidRPr="00655ADE" w14:paraId="4EF8AAF1" w14:textId="77777777" w:rsidTr="00257433">
        <w:trPr>
          <w:trHeight w:val="230"/>
        </w:trPr>
        <w:tc>
          <w:tcPr>
            <w:tcW w:w="2292" w:type="dxa"/>
            <w:tcBorders>
              <w:top w:val="nil"/>
              <w:left w:val="nil"/>
              <w:bottom w:val="nil"/>
              <w:right w:val="nil"/>
            </w:tcBorders>
            <w:shd w:val="clear" w:color="000000" w:fill="FFFFFF"/>
            <w:noWrap/>
            <w:vAlign w:val="bottom"/>
            <w:hideMark/>
          </w:tcPr>
          <w:p w14:paraId="6CFDD1B8" w14:textId="77777777" w:rsidR="00655ADE" w:rsidRPr="00655ADE" w:rsidRDefault="00655ADE" w:rsidP="00257433">
            <w:pPr>
              <w:spacing w:after="0" w:line="240" w:lineRule="auto"/>
              <w:jc w:val="left"/>
              <w:rPr>
                <w:rFonts w:ascii="Arial" w:hAnsi="Arial" w:cs="Arial"/>
                <w:b/>
                <w:bCs/>
                <w:color w:val="auto"/>
                <w:sz w:val="16"/>
                <w:szCs w:val="16"/>
              </w:rPr>
            </w:pPr>
            <w:r w:rsidRPr="00655ADE">
              <w:rPr>
                <w:rFonts w:ascii="Arial" w:hAnsi="Arial" w:cs="Arial"/>
                <w:b/>
                <w:bCs/>
                <w:color w:val="auto"/>
                <w:sz w:val="16"/>
                <w:szCs w:val="16"/>
              </w:rPr>
              <w:t xml:space="preserve">   Total decided </w:t>
            </w:r>
          </w:p>
        </w:tc>
        <w:tc>
          <w:tcPr>
            <w:tcW w:w="1143" w:type="dxa"/>
            <w:tcBorders>
              <w:top w:val="nil"/>
              <w:left w:val="nil"/>
              <w:bottom w:val="nil"/>
              <w:right w:val="nil"/>
            </w:tcBorders>
            <w:shd w:val="clear" w:color="000000" w:fill="FFFFFF"/>
            <w:noWrap/>
            <w:vAlign w:val="bottom"/>
            <w:hideMark/>
          </w:tcPr>
          <w:p w14:paraId="606376C1" w14:textId="77777777" w:rsidR="00655ADE" w:rsidRPr="00655ADE" w:rsidRDefault="00655ADE" w:rsidP="00257433">
            <w:pPr>
              <w:spacing w:after="0" w:line="240" w:lineRule="auto"/>
              <w:jc w:val="right"/>
              <w:rPr>
                <w:rFonts w:ascii="Arial" w:hAnsi="Arial" w:cs="Arial"/>
                <w:b/>
                <w:bCs/>
                <w:sz w:val="16"/>
                <w:szCs w:val="16"/>
              </w:rPr>
            </w:pPr>
            <w:r w:rsidRPr="00655ADE">
              <w:rPr>
                <w:rFonts w:ascii="Arial" w:hAnsi="Arial" w:cs="Arial"/>
                <w:b/>
                <w:bCs/>
                <w:sz w:val="16"/>
                <w:szCs w:val="16"/>
              </w:rPr>
              <w:t>137</w:t>
            </w:r>
          </w:p>
        </w:tc>
        <w:tc>
          <w:tcPr>
            <w:tcW w:w="1906" w:type="dxa"/>
            <w:tcBorders>
              <w:top w:val="nil"/>
              <w:left w:val="nil"/>
              <w:bottom w:val="nil"/>
              <w:right w:val="nil"/>
            </w:tcBorders>
            <w:shd w:val="clear" w:color="000000" w:fill="FFFFFF"/>
            <w:noWrap/>
            <w:vAlign w:val="bottom"/>
            <w:hideMark/>
          </w:tcPr>
          <w:p w14:paraId="62CFAE24" w14:textId="77777777" w:rsidR="00655ADE" w:rsidRPr="00655ADE" w:rsidRDefault="00655ADE" w:rsidP="00257433">
            <w:pPr>
              <w:spacing w:after="0" w:line="240" w:lineRule="auto"/>
              <w:jc w:val="right"/>
              <w:rPr>
                <w:rFonts w:ascii="Arial" w:hAnsi="Arial" w:cs="Arial"/>
                <w:b/>
                <w:bCs/>
                <w:sz w:val="16"/>
                <w:szCs w:val="16"/>
              </w:rPr>
            </w:pPr>
            <w:r w:rsidRPr="00655ADE">
              <w:rPr>
                <w:rFonts w:ascii="Arial" w:hAnsi="Arial" w:cs="Arial"/>
                <w:b/>
                <w:bCs/>
                <w:sz w:val="16"/>
                <w:szCs w:val="16"/>
              </w:rPr>
              <w:t>8,087</w:t>
            </w:r>
          </w:p>
        </w:tc>
        <w:tc>
          <w:tcPr>
            <w:tcW w:w="1378" w:type="dxa"/>
            <w:tcBorders>
              <w:top w:val="nil"/>
              <w:left w:val="nil"/>
              <w:bottom w:val="nil"/>
              <w:right w:val="nil"/>
            </w:tcBorders>
            <w:shd w:val="clear" w:color="auto" w:fill="E1E8EB"/>
            <w:noWrap/>
            <w:vAlign w:val="bottom"/>
            <w:hideMark/>
          </w:tcPr>
          <w:p w14:paraId="545887B9" w14:textId="0F55DD51" w:rsidR="00655ADE" w:rsidRPr="00655ADE" w:rsidRDefault="00CB6FCD" w:rsidP="00257433">
            <w:pPr>
              <w:spacing w:after="0" w:line="240" w:lineRule="auto"/>
              <w:jc w:val="right"/>
              <w:rPr>
                <w:rFonts w:ascii="Arial" w:hAnsi="Arial" w:cs="Arial"/>
                <w:b/>
                <w:bCs/>
                <w:color w:val="auto"/>
                <w:sz w:val="16"/>
                <w:szCs w:val="16"/>
              </w:rPr>
            </w:pPr>
            <w:r>
              <w:rPr>
                <w:rFonts w:ascii="Arial" w:hAnsi="Arial" w:cs="Arial"/>
                <w:b/>
                <w:bCs/>
                <w:color w:val="auto"/>
                <w:sz w:val="16"/>
                <w:szCs w:val="16"/>
              </w:rPr>
              <w:t>1,025</w:t>
            </w:r>
          </w:p>
        </w:tc>
        <w:tc>
          <w:tcPr>
            <w:tcW w:w="1681" w:type="dxa"/>
            <w:tcBorders>
              <w:top w:val="nil"/>
              <w:left w:val="nil"/>
              <w:bottom w:val="nil"/>
              <w:right w:val="nil"/>
            </w:tcBorders>
            <w:shd w:val="clear" w:color="auto" w:fill="E1E8EB"/>
            <w:noWrap/>
            <w:vAlign w:val="bottom"/>
            <w:hideMark/>
          </w:tcPr>
          <w:p w14:paraId="635BAC95" w14:textId="6C1819C1" w:rsidR="00655ADE" w:rsidRPr="00655ADE" w:rsidRDefault="00CB6FCD" w:rsidP="00257433">
            <w:pPr>
              <w:spacing w:after="0" w:line="240" w:lineRule="auto"/>
              <w:jc w:val="right"/>
              <w:rPr>
                <w:rFonts w:ascii="Arial" w:hAnsi="Arial" w:cs="Arial"/>
                <w:b/>
                <w:bCs/>
                <w:color w:val="auto"/>
                <w:sz w:val="16"/>
                <w:szCs w:val="16"/>
              </w:rPr>
            </w:pPr>
            <w:r>
              <w:rPr>
                <w:rFonts w:ascii="Arial" w:hAnsi="Arial" w:cs="Arial"/>
                <w:b/>
                <w:bCs/>
                <w:color w:val="auto"/>
                <w:sz w:val="16"/>
                <w:szCs w:val="16"/>
              </w:rPr>
              <w:t>5,626</w:t>
            </w:r>
          </w:p>
        </w:tc>
      </w:tr>
      <w:tr w:rsidR="00655ADE" w:rsidRPr="00655ADE" w14:paraId="1A1AE38D" w14:textId="77777777" w:rsidTr="00257433">
        <w:trPr>
          <w:trHeight w:val="230"/>
        </w:trPr>
        <w:tc>
          <w:tcPr>
            <w:tcW w:w="2292" w:type="dxa"/>
            <w:tcBorders>
              <w:top w:val="nil"/>
              <w:left w:val="nil"/>
              <w:bottom w:val="nil"/>
              <w:right w:val="nil"/>
            </w:tcBorders>
            <w:shd w:val="clear" w:color="000000" w:fill="FFFFFF"/>
            <w:noWrap/>
            <w:vAlign w:val="bottom"/>
            <w:hideMark/>
          </w:tcPr>
          <w:p w14:paraId="34C2BF16" w14:textId="77777777" w:rsidR="00655ADE" w:rsidRPr="00655ADE" w:rsidRDefault="00655ADE" w:rsidP="00257433">
            <w:pPr>
              <w:spacing w:after="0" w:line="240" w:lineRule="auto"/>
              <w:jc w:val="left"/>
              <w:rPr>
                <w:rFonts w:ascii="Arial" w:hAnsi="Arial" w:cs="Arial"/>
                <w:color w:val="auto"/>
                <w:sz w:val="16"/>
                <w:szCs w:val="16"/>
              </w:rPr>
            </w:pPr>
            <w:r w:rsidRPr="00655ADE">
              <w:rPr>
                <w:rFonts w:ascii="Arial" w:hAnsi="Arial" w:cs="Arial"/>
                <w:color w:val="auto"/>
                <w:sz w:val="16"/>
                <w:szCs w:val="16"/>
              </w:rPr>
              <w:t xml:space="preserve"> Withdrawn </w:t>
            </w:r>
          </w:p>
        </w:tc>
        <w:tc>
          <w:tcPr>
            <w:tcW w:w="1143" w:type="dxa"/>
            <w:tcBorders>
              <w:top w:val="nil"/>
              <w:left w:val="nil"/>
              <w:bottom w:val="nil"/>
              <w:right w:val="nil"/>
            </w:tcBorders>
            <w:shd w:val="clear" w:color="000000" w:fill="FFFFFF"/>
            <w:noWrap/>
            <w:vAlign w:val="bottom"/>
            <w:hideMark/>
          </w:tcPr>
          <w:p w14:paraId="2E29792C" w14:textId="77777777" w:rsidR="00655ADE" w:rsidRPr="00655ADE" w:rsidRDefault="00655ADE" w:rsidP="00257433">
            <w:pPr>
              <w:spacing w:after="0" w:line="240" w:lineRule="auto"/>
              <w:jc w:val="right"/>
              <w:rPr>
                <w:rFonts w:ascii="Arial" w:hAnsi="Arial" w:cs="Arial"/>
                <w:sz w:val="16"/>
                <w:szCs w:val="16"/>
              </w:rPr>
            </w:pPr>
            <w:r w:rsidRPr="00655ADE">
              <w:rPr>
                <w:rFonts w:ascii="Arial" w:hAnsi="Arial" w:cs="Arial"/>
                <w:sz w:val="16"/>
                <w:szCs w:val="16"/>
              </w:rPr>
              <w:t>9</w:t>
            </w:r>
          </w:p>
        </w:tc>
        <w:tc>
          <w:tcPr>
            <w:tcW w:w="1906" w:type="dxa"/>
            <w:tcBorders>
              <w:top w:val="nil"/>
              <w:left w:val="nil"/>
              <w:bottom w:val="nil"/>
              <w:right w:val="nil"/>
            </w:tcBorders>
            <w:shd w:val="clear" w:color="000000" w:fill="FFFFFF"/>
            <w:noWrap/>
            <w:vAlign w:val="bottom"/>
            <w:hideMark/>
          </w:tcPr>
          <w:p w14:paraId="081A6015" w14:textId="77777777" w:rsidR="00655ADE" w:rsidRPr="00655ADE" w:rsidRDefault="00655ADE" w:rsidP="00257433">
            <w:pPr>
              <w:spacing w:after="0" w:line="240" w:lineRule="auto"/>
              <w:jc w:val="right"/>
              <w:rPr>
                <w:rFonts w:ascii="Arial" w:hAnsi="Arial" w:cs="Arial"/>
                <w:sz w:val="16"/>
                <w:szCs w:val="16"/>
              </w:rPr>
            </w:pPr>
            <w:r w:rsidRPr="00655ADE">
              <w:rPr>
                <w:rFonts w:ascii="Arial" w:hAnsi="Arial" w:cs="Arial"/>
                <w:sz w:val="16"/>
                <w:szCs w:val="16"/>
              </w:rPr>
              <w:t>706</w:t>
            </w:r>
          </w:p>
        </w:tc>
        <w:tc>
          <w:tcPr>
            <w:tcW w:w="1378" w:type="dxa"/>
            <w:tcBorders>
              <w:top w:val="nil"/>
              <w:left w:val="nil"/>
              <w:bottom w:val="nil"/>
              <w:right w:val="nil"/>
            </w:tcBorders>
            <w:shd w:val="clear" w:color="auto" w:fill="E1E8EB"/>
            <w:noWrap/>
            <w:vAlign w:val="bottom"/>
            <w:hideMark/>
          </w:tcPr>
          <w:p w14:paraId="76E4C9F6" w14:textId="71FA42FD" w:rsidR="00655ADE" w:rsidRPr="00655ADE" w:rsidRDefault="00CB6FCD" w:rsidP="00257433">
            <w:pPr>
              <w:spacing w:after="0" w:line="240" w:lineRule="auto"/>
              <w:jc w:val="right"/>
              <w:rPr>
                <w:rFonts w:ascii="Arial" w:hAnsi="Arial" w:cs="Arial"/>
                <w:color w:val="auto"/>
                <w:sz w:val="16"/>
                <w:szCs w:val="16"/>
              </w:rPr>
            </w:pPr>
            <w:r w:rsidRPr="00655ADE">
              <w:rPr>
                <w:rFonts w:ascii="Arial" w:hAnsi="Arial" w:cs="Arial"/>
                <w:color w:val="auto"/>
                <w:sz w:val="16"/>
                <w:szCs w:val="16"/>
              </w:rPr>
              <w:t>1</w:t>
            </w:r>
            <w:r>
              <w:rPr>
                <w:rFonts w:ascii="Arial" w:hAnsi="Arial" w:cs="Arial"/>
                <w:color w:val="auto"/>
                <w:sz w:val="16"/>
                <w:szCs w:val="16"/>
              </w:rPr>
              <w:t>73</w:t>
            </w:r>
          </w:p>
        </w:tc>
        <w:tc>
          <w:tcPr>
            <w:tcW w:w="1681" w:type="dxa"/>
            <w:tcBorders>
              <w:top w:val="nil"/>
              <w:left w:val="nil"/>
              <w:bottom w:val="nil"/>
              <w:right w:val="nil"/>
            </w:tcBorders>
            <w:shd w:val="clear" w:color="auto" w:fill="E1E8EB"/>
            <w:noWrap/>
            <w:vAlign w:val="bottom"/>
            <w:hideMark/>
          </w:tcPr>
          <w:p w14:paraId="4224D562" w14:textId="1C3C2624" w:rsidR="00655ADE" w:rsidRPr="00655ADE" w:rsidRDefault="00CB6FCD" w:rsidP="00257433">
            <w:pPr>
              <w:spacing w:after="0" w:line="240" w:lineRule="auto"/>
              <w:jc w:val="right"/>
              <w:rPr>
                <w:rFonts w:ascii="Arial" w:hAnsi="Arial" w:cs="Arial"/>
                <w:color w:val="auto"/>
                <w:sz w:val="16"/>
                <w:szCs w:val="16"/>
              </w:rPr>
            </w:pPr>
            <w:r>
              <w:rPr>
                <w:rFonts w:ascii="Arial" w:hAnsi="Arial" w:cs="Arial"/>
                <w:color w:val="auto"/>
                <w:sz w:val="16"/>
                <w:szCs w:val="16"/>
              </w:rPr>
              <w:t>718</w:t>
            </w:r>
          </w:p>
        </w:tc>
      </w:tr>
      <w:tr w:rsidR="00655ADE" w:rsidRPr="00655ADE" w14:paraId="342FAF13" w14:textId="77777777" w:rsidTr="00257433">
        <w:trPr>
          <w:trHeight w:val="242"/>
        </w:trPr>
        <w:tc>
          <w:tcPr>
            <w:tcW w:w="2292" w:type="dxa"/>
            <w:tcBorders>
              <w:top w:val="nil"/>
              <w:left w:val="nil"/>
              <w:bottom w:val="nil"/>
              <w:right w:val="nil"/>
            </w:tcBorders>
            <w:shd w:val="clear" w:color="000000" w:fill="FFFFFF"/>
            <w:noWrap/>
            <w:vAlign w:val="bottom"/>
            <w:hideMark/>
          </w:tcPr>
          <w:p w14:paraId="14984EA0" w14:textId="77777777" w:rsidR="00655ADE" w:rsidRPr="00655ADE" w:rsidRDefault="00655ADE" w:rsidP="00257433">
            <w:pPr>
              <w:spacing w:after="0" w:line="240" w:lineRule="auto"/>
              <w:jc w:val="left"/>
              <w:rPr>
                <w:rFonts w:ascii="Arial" w:hAnsi="Arial" w:cs="Arial"/>
                <w:color w:val="auto"/>
                <w:sz w:val="16"/>
                <w:szCs w:val="16"/>
              </w:rPr>
            </w:pPr>
            <w:r w:rsidRPr="00655ADE">
              <w:rPr>
                <w:rFonts w:ascii="Arial" w:hAnsi="Arial" w:cs="Arial"/>
                <w:color w:val="auto"/>
                <w:sz w:val="16"/>
                <w:szCs w:val="16"/>
              </w:rPr>
              <w:t xml:space="preserve"> Exempt </w:t>
            </w:r>
          </w:p>
        </w:tc>
        <w:tc>
          <w:tcPr>
            <w:tcW w:w="1143" w:type="dxa"/>
            <w:tcBorders>
              <w:top w:val="nil"/>
              <w:left w:val="nil"/>
              <w:bottom w:val="single" w:sz="4" w:space="0" w:color="auto"/>
              <w:right w:val="nil"/>
            </w:tcBorders>
            <w:shd w:val="clear" w:color="000000" w:fill="FFFFFF"/>
            <w:noWrap/>
            <w:vAlign w:val="bottom"/>
            <w:hideMark/>
          </w:tcPr>
          <w:p w14:paraId="320CFEA8" w14:textId="77777777" w:rsidR="00655ADE" w:rsidRPr="00655ADE" w:rsidRDefault="00655ADE" w:rsidP="00257433">
            <w:pPr>
              <w:spacing w:after="0" w:line="240" w:lineRule="auto"/>
              <w:jc w:val="right"/>
              <w:rPr>
                <w:rFonts w:ascii="Arial" w:hAnsi="Arial" w:cs="Arial"/>
                <w:sz w:val="16"/>
                <w:szCs w:val="16"/>
              </w:rPr>
            </w:pPr>
            <w:r w:rsidRPr="00655ADE">
              <w:rPr>
                <w:rFonts w:ascii="Arial" w:hAnsi="Arial" w:cs="Arial"/>
                <w:sz w:val="16"/>
                <w:szCs w:val="16"/>
              </w:rPr>
              <w:t xml:space="preserve">                                     4 </w:t>
            </w:r>
          </w:p>
        </w:tc>
        <w:tc>
          <w:tcPr>
            <w:tcW w:w="1906" w:type="dxa"/>
            <w:tcBorders>
              <w:top w:val="nil"/>
              <w:left w:val="nil"/>
              <w:bottom w:val="single" w:sz="4" w:space="0" w:color="auto"/>
              <w:right w:val="nil"/>
            </w:tcBorders>
            <w:shd w:val="clear" w:color="000000" w:fill="FFFFFF"/>
            <w:noWrap/>
            <w:vAlign w:val="bottom"/>
            <w:hideMark/>
          </w:tcPr>
          <w:p w14:paraId="37924527" w14:textId="77777777" w:rsidR="00655ADE" w:rsidRPr="00655ADE" w:rsidRDefault="00655ADE" w:rsidP="00257433">
            <w:pPr>
              <w:spacing w:after="0" w:line="240" w:lineRule="auto"/>
              <w:jc w:val="right"/>
              <w:rPr>
                <w:rFonts w:ascii="Arial" w:hAnsi="Arial" w:cs="Arial"/>
                <w:sz w:val="16"/>
                <w:szCs w:val="16"/>
              </w:rPr>
            </w:pPr>
            <w:r w:rsidRPr="00655ADE">
              <w:rPr>
                <w:rFonts w:ascii="Arial" w:hAnsi="Arial" w:cs="Arial"/>
                <w:sz w:val="16"/>
                <w:szCs w:val="16"/>
              </w:rPr>
              <w:t xml:space="preserve">                                           61 </w:t>
            </w:r>
          </w:p>
        </w:tc>
        <w:tc>
          <w:tcPr>
            <w:tcW w:w="1378" w:type="dxa"/>
            <w:tcBorders>
              <w:top w:val="nil"/>
              <w:left w:val="nil"/>
              <w:bottom w:val="single" w:sz="4" w:space="0" w:color="auto"/>
              <w:right w:val="nil"/>
            </w:tcBorders>
            <w:shd w:val="clear" w:color="auto" w:fill="E1E8EB"/>
            <w:noWrap/>
            <w:vAlign w:val="bottom"/>
            <w:hideMark/>
          </w:tcPr>
          <w:p w14:paraId="0173C602" w14:textId="4A8FF923" w:rsidR="00655ADE" w:rsidRPr="00655ADE" w:rsidRDefault="00CB6FCD" w:rsidP="00257433">
            <w:pPr>
              <w:spacing w:after="0" w:line="240" w:lineRule="auto"/>
              <w:jc w:val="right"/>
              <w:rPr>
                <w:rFonts w:ascii="Arial" w:hAnsi="Arial" w:cs="Arial"/>
                <w:color w:val="auto"/>
                <w:sz w:val="16"/>
                <w:szCs w:val="16"/>
              </w:rPr>
            </w:pPr>
            <w:r>
              <w:rPr>
                <w:rFonts w:ascii="Arial" w:hAnsi="Arial" w:cs="Arial"/>
                <w:color w:val="auto"/>
                <w:sz w:val="16"/>
                <w:szCs w:val="16"/>
              </w:rPr>
              <w:t>27</w:t>
            </w:r>
          </w:p>
        </w:tc>
        <w:tc>
          <w:tcPr>
            <w:tcW w:w="1681" w:type="dxa"/>
            <w:tcBorders>
              <w:top w:val="nil"/>
              <w:left w:val="nil"/>
              <w:bottom w:val="single" w:sz="4" w:space="0" w:color="auto"/>
              <w:right w:val="nil"/>
            </w:tcBorders>
            <w:shd w:val="clear" w:color="auto" w:fill="E1E8EB"/>
            <w:noWrap/>
            <w:vAlign w:val="bottom"/>
            <w:hideMark/>
          </w:tcPr>
          <w:p w14:paraId="517FF03A" w14:textId="10558730" w:rsidR="00655ADE" w:rsidRPr="00655ADE" w:rsidRDefault="00CB6FCD" w:rsidP="00257433">
            <w:pPr>
              <w:spacing w:after="0" w:line="240" w:lineRule="auto"/>
              <w:jc w:val="right"/>
              <w:rPr>
                <w:rFonts w:ascii="Arial" w:hAnsi="Arial" w:cs="Arial"/>
                <w:color w:val="auto"/>
                <w:sz w:val="16"/>
                <w:szCs w:val="16"/>
              </w:rPr>
            </w:pPr>
            <w:r>
              <w:rPr>
                <w:rFonts w:ascii="Arial" w:hAnsi="Arial" w:cs="Arial"/>
                <w:color w:val="auto"/>
                <w:sz w:val="16"/>
                <w:szCs w:val="16"/>
              </w:rPr>
              <w:t>45</w:t>
            </w:r>
          </w:p>
        </w:tc>
      </w:tr>
      <w:tr w:rsidR="00655ADE" w:rsidRPr="00655ADE" w14:paraId="01EDAF5E" w14:textId="77777777" w:rsidTr="00257433">
        <w:trPr>
          <w:trHeight w:val="230"/>
        </w:trPr>
        <w:tc>
          <w:tcPr>
            <w:tcW w:w="2292" w:type="dxa"/>
            <w:tcBorders>
              <w:top w:val="nil"/>
              <w:left w:val="nil"/>
              <w:bottom w:val="single" w:sz="4" w:space="0" w:color="auto"/>
              <w:right w:val="nil"/>
            </w:tcBorders>
            <w:shd w:val="clear" w:color="000000" w:fill="FFFFFF"/>
            <w:noWrap/>
            <w:vAlign w:val="bottom"/>
            <w:hideMark/>
          </w:tcPr>
          <w:p w14:paraId="4F582144" w14:textId="77777777" w:rsidR="00655ADE" w:rsidRPr="00655ADE" w:rsidRDefault="00655ADE" w:rsidP="00257433">
            <w:pPr>
              <w:spacing w:after="0" w:line="240" w:lineRule="auto"/>
              <w:jc w:val="left"/>
              <w:rPr>
                <w:rFonts w:ascii="Arial" w:hAnsi="Arial" w:cs="Arial"/>
                <w:b/>
                <w:bCs/>
                <w:color w:val="auto"/>
                <w:sz w:val="16"/>
                <w:szCs w:val="16"/>
              </w:rPr>
            </w:pPr>
            <w:r w:rsidRPr="00655ADE">
              <w:rPr>
                <w:rFonts w:ascii="Arial" w:hAnsi="Arial" w:cs="Arial"/>
                <w:b/>
                <w:bCs/>
                <w:color w:val="auto"/>
                <w:sz w:val="16"/>
                <w:szCs w:val="16"/>
              </w:rPr>
              <w:t xml:space="preserve"> Total considered </w:t>
            </w:r>
          </w:p>
        </w:tc>
        <w:tc>
          <w:tcPr>
            <w:tcW w:w="1143" w:type="dxa"/>
            <w:tcBorders>
              <w:top w:val="nil"/>
              <w:left w:val="nil"/>
              <w:bottom w:val="single" w:sz="4" w:space="0" w:color="auto"/>
              <w:right w:val="nil"/>
            </w:tcBorders>
            <w:shd w:val="clear" w:color="000000" w:fill="FFFFFF"/>
            <w:noWrap/>
            <w:vAlign w:val="bottom"/>
            <w:hideMark/>
          </w:tcPr>
          <w:p w14:paraId="0300FF9B" w14:textId="77777777" w:rsidR="00655ADE" w:rsidRPr="00655ADE" w:rsidRDefault="00655ADE" w:rsidP="00257433">
            <w:pPr>
              <w:spacing w:after="0" w:line="240" w:lineRule="auto"/>
              <w:jc w:val="right"/>
              <w:rPr>
                <w:rFonts w:ascii="Arial" w:hAnsi="Arial" w:cs="Arial"/>
                <w:b/>
                <w:bCs/>
                <w:sz w:val="16"/>
                <w:szCs w:val="16"/>
              </w:rPr>
            </w:pPr>
            <w:r w:rsidRPr="00655ADE">
              <w:rPr>
                <w:rFonts w:ascii="Arial" w:hAnsi="Arial" w:cs="Arial"/>
                <w:b/>
                <w:bCs/>
                <w:sz w:val="16"/>
                <w:szCs w:val="16"/>
              </w:rPr>
              <w:t>150</w:t>
            </w:r>
          </w:p>
        </w:tc>
        <w:tc>
          <w:tcPr>
            <w:tcW w:w="1906" w:type="dxa"/>
            <w:tcBorders>
              <w:top w:val="nil"/>
              <w:left w:val="nil"/>
              <w:bottom w:val="single" w:sz="4" w:space="0" w:color="auto"/>
              <w:right w:val="nil"/>
            </w:tcBorders>
            <w:shd w:val="clear" w:color="000000" w:fill="FFFFFF"/>
            <w:noWrap/>
            <w:vAlign w:val="bottom"/>
            <w:hideMark/>
          </w:tcPr>
          <w:p w14:paraId="585A7EE0" w14:textId="77777777" w:rsidR="00655ADE" w:rsidRPr="00655ADE" w:rsidRDefault="00655ADE" w:rsidP="00257433">
            <w:pPr>
              <w:spacing w:after="0" w:line="240" w:lineRule="auto"/>
              <w:jc w:val="right"/>
              <w:rPr>
                <w:rFonts w:ascii="Arial" w:hAnsi="Arial" w:cs="Arial"/>
                <w:b/>
                <w:bCs/>
                <w:sz w:val="16"/>
                <w:szCs w:val="16"/>
              </w:rPr>
            </w:pPr>
            <w:r w:rsidRPr="00655ADE">
              <w:rPr>
                <w:rFonts w:ascii="Arial" w:hAnsi="Arial" w:cs="Arial"/>
                <w:b/>
                <w:bCs/>
                <w:sz w:val="16"/>
                <w:szCs w:val="16"/>
              </w:rPr>
              <w:t>8,854</w:t>
            </w:r>
          </w:p>
        </w:tc>
        <w:tc>
          <w:tcPr>
            <w:tcW w:w="1378" w:type="dxa"/>
            <w:tcBorders>
              <w:top w:val="nil"/>
              <w:left w:val="nil"/>
              <w:bottom w:val="single" w:sz="4" w:space="0" w:color="auto"/>
              <w:right w:val="nil"/>
            </w:tcBorders>
            <w:shd w:val="clear" w:color="auto" w:fill="E1E8EB"/>
            <w:noWrap/>
            <w:vAlign w:val="bottom"/>
            <w:hideMark/>
          </w:tcPr>
          <w:p w14:paraId="22C23F9B" w14:textId="09162B74" w:rsidR="00655ADE" w:rsidRPr="00655ADE" w:rsidRDefault="00CB6FCD" w:rsidP="00257433">
            <w:pPr>
              <w:spacing w:after="0" w:line="240" w:lineRule="auto"/>
              <w:jc w:val="right"/>
              <w:rPr>
                <w:rFonts w:ascii="Arial" w:hAnsi="Arial" w:cs="Arial"/>
                <w:b/>
                <w:bCs/>
                <w:color w:val="auto"/>
                <w:sz w:val="16"/>
                <w:szCs w:val="16"/>
              </w:rPr>
            </w:pPr>
            <w:r>
              <w:rPr>
                <w:rFonts w:ascii="Arial" w:hAnsi="Arial" w:cs="Arial"/>
                <w:b/>
                <w:bCs/>
                <w:color w:val="auto"/>
                <w:sz w:val="16"/>
                <w:szCs w:val="16"/>
              </w:rPr>
              <w:t>1,225</w:t>
            </w:r>
          </w:p>
        </w:tc>
        <w:tc>
          <w:tcPr>
            <w:tcW w:w="1681" w:type="dxa"/>
            <w:tcBorders>
              <w:top w:val="nil"/>
              <w:left w:val="nil"/>
              <w:bottom w:val="single" w:sz="4" w:space="0" w:color="auto"/>
              <w:right w:val="nil"/>
            </w:tcBorders>
            <w:shd w:val="clear" w:color="auto" w:fill="E1E8EB"/>
            <w:noWrap/>
            <w:vAlign w:val="bottom"/>
            <w:hideMark/>
          </w:tcPr>
          <w:p w14:paraId="110EDAD4" w14:textId="332DCE76" w:rsidR="00655ADE" w:rsidRPr="00655ADE" w:rsidRDefault="00CB6FCD" w:rsidP="00257433">
            <w:pPr>
              <w:spacing w:after="0" w:line="240" w:lineRule="auto"/>
              <w:jc w:val="right"/>
              <w:rPr>
                <w:rFonts w:ascii="Arial" w:hAnsi="Arial" w:cs="Arial"/>
                <w:b/>
                <w:bCs/>
                <w:color w:val="auto"/>
                <w:sz w:val="16"/>
                <w:szCs w:val="16"/>
              </w:rPr>
            </w:pPr>
            <w:r>
              <w:rPr>
                <w:rFonts w:ascii="Arial" w:hAnsi="Arial" w:cs="Arial"/>
                <w:b/>
                <w:bCs/>
                <w:color w:val="auto"/>
                <w:sz w:val="16"/>
                <w:szCs w:val="16"/>
              </w:rPr>
              <w:t>6,389</w:t>
            </w:r>
          </w:p>
        </w:tc>
      </w:tr>
    </w:tbl>
    <w:p w14:paraId="72B1ACED" w14:textId="5E45B930" w:rsidR="005F563A" w:rsidRDefault="00655ADE" w:rsidP="00C64693">
      <w:pPr>
        <w:pStyle w:val="ChartorTableNote"/>
      </w:pPr>
      <w:r w:rsidRPr="00BF48CD">
        <w:t xml:space="preserve">Before republishing this data or comparing between years, thoroughly review the methodological and data caveats in Appendix </w:t>
      </w:r>
      <w:r w:rsidRPr="00F67E13">
        <w:t>B</w:t>
      </w:r>
      <w:r w:rsidRPr="00BF48CD">
        <w:t xml:space="preserve">. </w:t>
      </w:r>
    </w:p>
    <w:p w14:paraId="33DE5E66" w14:textId="77777777" w:rsidR="00C64693" w:rsidRPr="00C64693" w:rsidRDefault="00C64693" w:rsidP="00257433">
      <w:pPr>
        <w:pStyle w:val="SingleParagraph"/>
      </w:pPr>
    </w:p>
    <w:p w14:paraId="49A61617" w14:textId="4036D980" w:rsidR="00DF1B59" w:rsidRPr="00E24A34" w:rsidRDefault="00DF1B59" w:rsidP="00E24A34">
      <w:pPr>
        <w:pStyle w:val="TableMainHeading"/>
      </w:pPr>
      <w:bookmarkStart w:id="105" w:name="_Toc89939937"/>
      <w:r w:rsidRPr="00E24A34">
        <w:t xml:space="preserve">Table </w:t>
      </w:r>
      <w:fldSimple w:instr=" STYLEREF 1 \s ">
        <w:r w:rsidR="0019342F">
          <w:rPr>
            <w:noProof/>
          </w:rPr>
          <w:t>3</w:t>
        </w:r>
      </w:fldSimple>
      <w:r w:rsidR="009812FE" w:rsidRPr="00E24A34">
        <w:t>.</w:t>
      </w:r>
      <w:fldSimple w:instr=" SEQ Table \* ARABIC \s 1 ">
        <w:r w:rsidR="0019342F">
          <w:rPr>
            <w:noProof/>
          </w:rPr>
          <w:t>3</w:t>
        </w:r>
      </w:fldSimple>
      <w:r w:rsidRPr="00E24A34">
        <w:t xml:space="preserve">: Proposals decided </w:t>
      </w:r>
      <w:r w:rsidR="00DC1928">
        <w:t>2017</w:t>
      </w:r>
      <w:r w:rsidR="00DC1928">
        <w:noBreakHyphen/>
        <w:t>18</w:t>
      </w:r>
      <w:r w:rsidRPr="00E24A34">
        <w:t xml:space="preserve"> to </w:t>
      </w:r>
      <w:r w:rsidR="00D76ED2">
        <w:t>2020</w:t>
      </w:r>
      <w:r w:rsidR="00D76ED2">
        <w:noBreakHyphen/>
        <w:t>21</w:t>
      </w:r>
      <w:r w:rsidRPr="00E24A34">
        <w:t xml:space="preserve"> (value of proposed investment)</w:t>
      </w:r>
      <w:bookmarkEnd w:id="105"/>
    </w:p>
    <w:tbl>
      <w:tblPr>
        <w:tblW w:w="5000" w:type="pct"/>
        <w:tblLayout w:type="fixed"/>
        <w:tblLook w:val="04A0" w:firstRow="1" w:lastRow="0" w:firstColumn="1" w:lastColumn="0" w:noHBand="0" w:noVBand="1"/>
      </w:tblPr>
      <w:tblGrid>
        <w:gridCol w:w="3490"/>
        <w:gridCol w:w="1055"/>
        <w:gridCol w:w="1055"/>
        <w:gridCol w:w="1055"/>
        <w:gridCol w:w="1055"/>
      </w:tblGrid>
      <w:tr w:rsidR="009542CF" w:rsidRPr="009542CF" w14:paraId="549F4D2C" w14:textId="77777777" w:rsidTr="00E24A34">
        <w:trPr>
          <w:trHeight w:val="266"/>
        </w:trPr>
        <w:tc>
          <w:tcPr>
            <w:tcW w:w="3490" w:type="dxa"/>
            <w:tcBorders>
              <w:top w:val="single" w:sz="4" w:space="0" w:color="auto"/>
              <w:left w:val="nil"/>
              <w:bottom w:val="nil"/>
              <w:right w:val="nil"/>
            </w:tcBorders>
            <w:shd w:val="clear" w:color="000000" w:fill="FFFFFF"/>
            <w:noWrap/>
            <w:vAlign w:val="bottom"/>
            <w:hideMark/>
          </w:tcPr>
          <w:p w14:paraId="067B8334" w14:textId="77777777" w:rsidR="009542CF" w:rsidRPr="009542CF" w:rsidRDefault="009542CF" w:rsidP="00E24A34">
            <w:pPr>
              <w:spacing w:after="0" w:line="240" w:lineRule="auto"/>
              <w:jc w:val="left"/>
              <w:rPr>
                <w:rFonts w:ascii="Arial" w:hAnsi="Arial" w:cs="Arial"/>
                <w:color w:val="auto"/>
                <w:sz w:val="16"/>
                <w:szCs w:val="16"/>
              </w:rPr>
            </w:pPr>
            <w:r w:rsidRPr="009542CF">
              <w:rPr>
                <w:rFonts w:ascii="Arial" w:hAnsi="Arial" w:cs="Arial"/>
                <w:color w:val="auto"/>
                <w:sz w:val="16"/>
                <w:szCs w:val="16"/>
              </w:rPr>
              <w:t> </w:t>
            </w:r>
          </w:p>
        </w:tc>
        <w:tc>
          <w:tcPr>
            <w:tcW w:w="1055" w:type="dxa"/>
            <w:tcBorders>
              <w:top w:val="single" w:sz="4" w:space="0" w:color="auto"/>
              <w:left w:val="nil"/>
              <w:bottom w:val="single" w:sz="4" w:space="0" w:color="auto"/>
              <w:right w:val="nil"/>
            </w:tcBorders>
            <w:shd w:val="clear" w:color="000000" w:fill="FFFFFF"/>
            <w:noWrap/>
            <w:vAlign w:val="bottom"/>
            <w:hideMark/>
          </w:tcPr>
          <w:p w14:paraId="4B651EF5" w14:textId="7B231B71" w:rsidR="009542CF" w:rsidRPr="009542CF" w:rsidRDefault="00DC1928" w:rsidP="00E24A34">
            <w:pPr>
              <w:spacing w:after="0" w:line="240" w:lineRule="auto"/>
              <w:jc w:val="right"/>
              <w:rPr>
                <w:rFonts w:ascii="Arial" w:hAnsi="Arial" w:cs="Arial"/>
                <w:color w:val="auto"/>
                <w:sz w:val="16"/>
                <w:szCs w:val="16"/>
              </w:rPr>
            </w:pPr>
            <w:r>
              <w:rPr>
                <w:rFonts w:ascii="Arial" w:hAnsi="Arial" w:cs="Arial"/>
                <w:color w:val="auto"/>
                <w:sz w:val="16"/>
                <w:szCs w:val="16"/>
              </w:rPr>
              <w:t>2017</w:t>
            </w:r>
            <w:r>
              <w:rPr>
                <w:rFonts w:ascii="Arial" w:hAnsi="Arial" w:cs="Arial"/>
                <w:color w:val="auto"/>
                <w:sz w:val="16"/>
                <w:szCs w:val="16"/>
              </w:rPr>
              <w:noBreakHyphen/>
              <w:t>18</w:t>
            </w:r>
          </w:p>
        </w:tc>
        <w:tc>
          <w:tcPr>
            <w:tcW w:w="1055" w:type="dxa"/>
            <w:tcBorders>
              <w:top w:val="single" w:sz="4" w:space="0" w:color="auto"/>
              <w:left w:val="nil"/>
              <w:bottom w:val="single" w:sz="4" w:space="0" w:color="auto"/>
              <w:right w:val="nil"/>
            </w:tcBorders>
            <w:shd w:val="clear" w:color="000000" w:fill="FFFFFF"/>
            <w:noWrap/>
            <w:vAlign w:val="bottom"/>
            <w:hideMark/>
          </w:tcPr>
          <w:p w14:paraId="01617845" w14:textId="68435D54" w:rsidR="009542CF" w:rsidRPr="009542CF" w:rsidRDefault="00C17F09" w:rsidP="00E24A34">
            <w:pPr>
              <w:spacing w:after="0" w:line="240" w:lineRule="auto"/>
              <w:jc w:val="right"/>
              <w:rPr>
                <w:rFonts w:ascii="Arial" w:hAnsi="Arial" w:cs="Arial"/>
                <w:color w:val="auto"/>
                <w:sz w:val="16"/>
                <w:szCs w:val="16"/>
              </w:rPr>
            </w:pPr>
            <w:r>
              <w:rPr>
                <w:rFonts w:ascii="Arial" w:hAnsi="Arial" w:cs="Arial"/>
                <w:color w:val="auto"/>
                <w:sz w:val="16"/>
                <w:szCs w:val="16"/>
              </w:rPr>
              <w:t>2018</w:t>
            </w:r>
            <w:r>
              <w:rPr>
                <w:rFonts w:ascii="Arial" w:hAnsi="Arial" w:cs="Arial"/>
                <w:color w:val="auto"/>
                <w:sz w:val="16"/>
                <w:szCs w:val="16"/>
              </w:rPr>
              <w:noBreakHyphen/>
              <w:t>19</w:t>
            </w:r>
          </w:p>
        </w:tc>
        <w:tc>
          <w:tcPr>
            <w:tcW w:w="1055" w:type="dxa"/>
            <w:tcBorders>
              <w:top w:val="single" w:sz="4" w:space="0" w:color="auto"/>
              <w:left w:val="nil"/>
              <w:bottom w:val="single" w:sz="4" w:space="0" w:color="auto"/>
              <w:right w:val="nil"/>
            </w:tcBorders>
            <w:shd w:val="clear" w:color="000000" w:fill="FFFFFF"/>
            <w:noWrap/>
            <w:vAlign w:val="bottom"/>
            <w:hideMark/>
          </w:tcPr>
          <w:p w14:paraId="134FABB0" w14:textId="4774AC30" w:rsidR="009542CF" w:rsidRPr="009542CF" w:rsidRDefault="00D76ED2" w:rsidP="00E24A34">
            <w:pPr>
              <w:spacing w:after="0" w:line="240" w:lineRule="auto"/>
              <w:jc w:val="right"/>
              <w:rPr>
                <w:rFonts w:ascii="Arial" w:hAnsi="Arial" w:cs="Arial"/>
                <w:color w:val="auto"/>
                <w:sz w:val="16"/>
                <w:szCs w:val="16"/>
              </w:rPr>
            </w:pPr>
            <w:r>
              <w:rPr>
                <w:rFonts w:ascii="Arial" w:hAnsi="Arial" w:cs="Arial"/>
                <w:color w:val="auto"/>
                <w:sz w:val="16"/>
                <w:szCs w:val="16"/>
              </w:rPr>
              <w:t>2019</w:t>
            </w:r>
            <w:r>
              <w:rPr>
                <w:rFonts w:ascii="Arial" w:hAnsi="Arial" w:cs="Arial"/>
                <w:color w:val="auto"/>
                <w:sz w:val="16"/>
                <w:szCs w:val="16"/>
              </w:rPr>
              <w:noBreakHyphen/>
              <w:t>20</w:t>
            </w:r>
          </w:p>
        </w:tc>
        <w:tc>
          <w:tcPr>
            <w:tcW w:w="1055" w:type="dxa"/>
            <w:tcBorders>
              <w:top w:val="single" w:sz="4" w:space="0" w:color="auto"/>
              <w:left w:val="nil"/>
              <w:bottom w:val="single" w:sz="4" w:space="0" w:color="auto"/>
              <w:right w:val="nil"/>
            </w:tcBorders>
            <w:shd w:val="clear" w:color="auto" w:fill="E1E8EB"/>
            <w:noWrap/>
            <w:vAlign w:val="bottom"/>
            <w:hideMark/>
          </w:tcPr>
          <w:p w14:paraId="727A3063" w14:textId="2CE58937" w:rsidR="009542CF" w:rsidRPr="009542CF" w:rsidRDefault="00D76ED2" w:rsidP="00E24A34">
            <w:pPr>
              <w:spacing w:after="0" w:line="240" w:lineRule="auto"/>
              <w:jc w:val="right"/>
              <w:rPr>
                <w:rFonts w:ascii="Arial" w:hAnsi="Arial" w:cs="Arial"/>
                <w:color w:val="auto"/>
                <w:sz w:val="16"/>
                <w:szCs w:val="16"/>
              </w:rPr>
            </w:pPr>
            <w:r>
              <w:rPr>
                <w:rFonts w:ascii="Arial" w:hAnsi="Arial" w:cs="Arial"/>
                <w:color w:val="auto"/>
                <w:sz w:val="16"/>
                <w:szCs w:val="16"/>
              </w:rPr>
              <w:t>2020</w:t>
            </w:r>
            <w:r>
              <w:rPr>
                <w:rFonts w:ascii="Arial" w:hAnsi="Arial" w:cs="Arial"/>
                <w:color w:val="auto"/>
                <w:sz w:val="16"/>
                <w:szCs w:val="16"/>
              </w:rPr>
              <w:noBreakHyphen/>
              <w:t>21</w:t>
            </w:r>
          </w:p>
        </w:tc>
      </w:tr>
      <w:tr w:rsidR="009542CF" w:rsidRPr="009542CF" w14:paraId="780105A6" w14:textId="77777777" w:rsidTr="00E24A34">
        <w:trPr>
          <w:trHeight w:val="266"/>
        </w:trPr>
        <w:tc>
          <w:tcPr>
            <w:tcW w:w="3490" w:type="dxa"/>
            <w:tcBorders>
              <w:top w:val="nil"/>
              <w:left w:val="nil"/>
              <w:bottom w:val="single" w:sz="4" w:space="0" w:color="auto"/>
              <w:right w:val="nil"/>
            </w:tcBorders>
            <w:shd w:val="clear" w:color="000000" w:fill="FFFFFF"/>
            <w:noWrap/>
            <w:vAlign w:val="bottom"/>
            <w:hideMark/>
          </w:tcPr>
          <w:p w14:paraId="7E60754F" w14:textId="77777777" w:rsidR="009542CF" w:rsidRPr="009542CF" w:rsidRDefault="009542CF" w:rsidP="00E24A34">
            <w:pPr>
              <w:spacing w:after="0" w:line="240" w:lineRule="auto"/>
              <w:jc w:val="left"/>
              <w:rPr>
                <w:rFonts w:ascii="Arial" w:hAnsi="Arial" w:cs="Arial"/>
                <w:color w:val="auto"/>
                <w:sz w:val="16"/>
                <w:szCs w:val="16"/>
              </w:rPr>
            </w:pPr>
            <w:r w:rsidRPr="009542CF">
              <w:rPr>
                <w:rFonts w:ascii="Arial" w:hAnsi="Arial" w:cs="Arial"/>
                <w:color w:val="auto"/>
                <w:sz w:val="16"/>
                <w:szCs w:val="16"/>
              </w:rPr>
              <w:t>Outcome</w:t>
            </w:r>
          </w:p>
        </w:tc>
        <w:tc>
          <w:tcPr>
            <w:tcW w:w="1055" w:type="dxa"/>
            <w:tcBorders>
              <w:top w:val="single" w:sz="4" w:space="0" w:color="auto"/>
              <w:left w:val="nil"/>
              <w:bottom w:val="single" w:sz="4" w:space="0" w:color="auto"/>
              <w:right w:val="nil"/>
            </w:tcBorders>
            <w:shd w:val="clear" w:color="000000" w:fill="FFFFFF"/>
            <w:noWrap/>
            <w:vAlign w:val="bottom"/>
            <w:hideMark/>
          </w:tcPr>
          <w:p w14:paraId="55816038" w14:textId="77777777" w:rsidR="009542CF" w:rsidRPr="009542CF" w:rsidRDefault="009542CF" w:rsidP="00E24A34">
            <w:pPr>
              <w:spacing w:after="0" w:line="240" w:lineRule="auto"/>
              <w:jc w:val="right"/>
              <w:rPr>
                <w:rFonts w:ascii="Arial" w:hAnsi="Arial" w:cs="Arial"/>
                <w:color w:val="auto"/>
                <w:sz w:val="16"/>
                <w:szCs w:val="16"/>
              </w:rPr>
            </w:pPr>
            <w:r w:rsidRPr="009542CF">
              <w:rPr>
                <w:rFonts w:ascii="Arial" w:hAnsi="Arial" w:cs="Arial"/>
                <w:color w:val="auto"/>
                <w:sz w:val="16"/>
                <w:szCs w:val="16"/>
              </w:rPr>
              <w:t>$b</w:t>
            </w:r>
          </w:p>
        </w:tc>
        <w:tc>
          <w:tcPr>
            <w:tcW w:w="1055" w:type="dxa"/>
            <w:tcBorders>
              <w:top w:val="single" w:sz="4" w:space="0" w:color="auto"/>
              <w:left w:val="nil"/>
              <w:bottom w:val="single" w:sz="4" w:space="0" w:color="auto"/>
              <w:right w:val="nil"/>
            </w:tcBorders>
            <w:shd w:val="clear" w:color="000000" w:fill="FFFFFF"/>
            <w:noWrap/>
            <w:vAlign w:val="bottom"/>
            <w:hideMark/>
          </w:tcPr>
          <w:p w14:paraId="5F551C62" w14:textId="77777777" w:rsidR="009542CF" w:rsidRPr="009542CF" w:rsidRDefault="009542CF" w:rsidP="00E24A34">
            <w:pPr>
              <w:spacing w:after="0" w:line="240" w:lineRule="auto"/>
              <w:jc w:val="right"/>
              <w:rPr>
                <w:rFonts w:ascii="Arial" w:hAnsi="Arial" w:cs="Arial"/>
                <w:color w:val="auto"/>
                <w:sz w:val="16"/>
                <w:szCs w:val="16"/>
              </w:rPr>
            </w:pPr>
            <w:r w:rsidRPr="009542CF">
              <w:rPr>
                <w:rFonts w:ascii="Arial" w:hAnsi="Arial" w:cs="Arial"/>
                <w:color w:val="auto"/>
                <w:sz w:val="16"/>
                <w:szCs w:val="16"/>
              </w:rPr>
              <w:t>$b</w:t>
            </w:r>
          </w:p>
        </w:tc>
        <w:tc>
          <w:tcPr>
            <w:tcW w:w="1055" w:type="dxa"/>
            <w:tcBorders>
              <w:top w:val="single" w:sz="4" w:space="0" w:color="auto"/>
              <w:left w:val="nil"/>
              <w:bottom w:val="single" w:sz="4" w:space="0" w:color="auto"/>
              <w:right w:val="nil"/>
            </w:tcBorders>
            <w:shd w:val="clear" w:color="000000" w:fill="FFFFFF"/>
            <w:noWrap/>
            <w:vAlign w:val="bottom"/>
            <w:hideMark/>
          </w:tcPr>
          <w:p w14:paraId="5F2EC5D9" w14:textId="77777777" w:rsidR="009542CF" w:rsidRPr="009542CF" w:rsidRDefault="009542CF" w:rsidP="00E24A34">
            <w:pPr>
              <w:spacing w:after="0" w:line="240" w:lineRule="auto"/>
              <w:jc w:val="right"/>
              <w:rPr>
                <w:rFonts w:ascii="Arial" w:hAnsi="Arial" w:cs="Arial"/>
                <w:color w:val="auto"/>
                <w:sz w:val="16"/>
                <w:szCs w:val="16"/>
              </w:rPr>
            </w:pPr>
            <w:r w:rsidRPr="009542CF">
              <w:rPr>
                <w:rFonts w:ascii="Arial" w:hAnsi="Arial" w:cs="Arial"/>
                <w:color w:val="auto"/>
                <w:sz w:val="16"/>
                <w:szCs w:val="16"/>
              </w:rPr>
              <w:t>$b</w:t>
            </w:r>
          </w:p>
        </w:tc>
        <w:tc>
          <w:tcPr>
            <w:tcW w:w="1055" w:type="dxa"/>
            <w:tcBorders>
              <w:top w:val="single" w:sz="4" w:space="0" w:color="auto"/>
              <w:left w:val="nil"/>
              <w:bottom w:val="single" w:sz="4" w:space="0" w:color="auto"/>
              <w:right w:val="nil"/>
            </w:tcBorders>
            <w:shd w:val="clear" w:color="auto" w:fill="E1E8EB"/>
            <w:noWrap/>
            <w:vAlign w:val="bottom"/>
            <w:hideMark/>
          </w:tcPr>
          <w:p w14:paraId="20690567" w14:textId="77777777" w:rsidR="009542CF" w:rsidRPr="009542CF" w:rsidRDefault="009542CF" w:rsidP="00E24A34">
            <w:pPr>
              <w:spacing w:after="0" w:line="240" w:lineRule="auto"/>
              <w:jc w:val="right"/>
              <w:rPr>
                <w:rFonts w:ascii="Arial" w:hAnsi="Arial" w:cs="Arial"/>
                <w:color w:val="auto"/>
                <w:sz w:val="16"/>
                <w:szCs w:val="16"/>
              </w:rPr>
            </w:pPr>
            <w:r w:rsidRPr="009542CF">
              <w:rPr>
                <w:rFonts w:ascii="Arial" w:hAnsi="Arial" w:cs="Arial"/>
                <w:color w:val="auto"/>
                <w:sz w:val="16"/>
                <w:szCs w:val="16"/>
              </w:rPr>
              <w:t>$b</w:t>
            </w:r>
          </w:p>
        </w:tc>
      </w:tr>
      <w:tr w:rsidR="009542CF" w:rsidRPr="009542CF" w14:paraId="3A16AB7F" w14:textId="77777777" w:rsidTr="00E24A34">
        <w:trPr>
          <w:trHeight w:val="266"/>
        </w:trPr>
        <w:tc>
          <w:tcPr>
            <w:tcW w:w="3490" w:type="dxa"/>
            <w:tcBorders>
              <w:top w:val="nil"/>
              <w:left w:val="nil"/>
              <w:bottom w:val="nil"/>
              <w:right w:val="nil"/>
            </w:tcBorders>
            <w:shd w:val="clear" w:color="000000" w:fill="FFFFFF"/>
            <w:noWrap/>
            <w:vAlign w:val="bottom"/>
            <w:hideMark/>
          </w:tcPr>
          <w:p w14:paraId="62B133DF" w14:textId="77777777" w:rsidR="009542CF" w:rsidRPr="009542CF" w:rsidRDefault="009542CF" w:rsidP="00E24A34">
            <w:pPr>
              <w:spacing w:after="0" w:line="240" w:lineRule="auto"/>
              <w:jc w:val="left"/>
              <w:rPr>
                <w:rFonts w:ascii="Arial" w:hAnsi="Arial" w:cs="Arial"/>
                <w:color w:val="auto"/>
                <w:sz w:val="16"/>
                <w:szCs w:val="16"/>
              </w:rPr>
            </w:pPr>
            <w:r w:rsidRPr="009542CF">
              <w:rPr>
                <w:rFonts w:ascii="Arial" w:hAnsi="Arial" w:cs="Arial"/>
                <w:color w:val="auto"/>
                <w:sz w:val="16"/>
                <w:szCs w:val="16"/>
              </w:rPr>
              <w:t xml:space="preserve"> Approved without conditions </w:t>
            </w:r>
          </w:p>
        </w:tc>
        <w:tc>
          <w:tcPr>
            <w:tcW w:w="1055" w:type="dxa"/>
            <w:tcBorders>
              <w:top w:val="nil"/>
              <w:left w:val="nil"/>
              <w:bottom w:val="nil"/>
              <w:right w:val="nil"/>
            </w:tcBorders>
            <w:shd w:val="clear" w:color="000000" w:fill="FFFFFF"/>
            <w:noWrap/>
            <w:vAlign w:val="bottom"/>
            <w:hideMark/>
          </w:tcPr>
          <w:p w14:paraId="431FDDAF" w14:textId="77777777" w:rsidR="009542CF" w:rsidRPr="009542CF" w:rsidRDefault="009542CF" w:rsidP="00E24A34">
            <w:pPr>
              <w:spacing w:after="0" w:line="240" w:lineRule="auto"/>
              <w:jc w:val="right"/>
              <w:rPr>
                <w:rFonts w:ascii="Arial" w:hAnsi="Arial" w:cs="Arial"/>
                <w:color w:val="auto"/>
                <w:sz w:val="16"/>
                <w:szCs w:val="16"/>
              </w:rPr>
            </w:pPr>
            <w:r w:rsidRPr="009542CF">
              <w:rPr>
                <w:rFonts w:ascii="Arial" w:hAnsi="Arial" w:cs="Arial"/>
                <w:color w:val="auto"/>
                <w:sz w:val="16"/>
                <w:szCs w:val="16"/>
              </w:rPr>
              <w:t>40.1</w:t>
            </w:r>
          </w:p>
        </w:tc>
        <w:tc>
          <w:tcPr>
            <w:tcW w:w="1055" w:type="dxa"/>
            <w:tcBorders>
              <w:top w:val="nil"/>
              <w:left w:val="nil"/>
              <w:bottom w:val="nil"/>
              <w:right w:val="nil"/>
            </w:tcBorders>
            <w:shd w:val="clear" w:color="000000" w:fill="FFFFFF"/>
            <w:noWrap/>
            <w:vAlign w:val="bottom"/>
            <w:hideMark/>
          </w:tcPr>
          <w:p w14:paraId="38885D17" w14:textId="77777777" w:rsidR="009542CF" w:rsidRPr="009542CF" w:rsidRDefault="009542CF" w:rsidP="00E24A34">
            <w:pPr>
              <w:spacing w:after="0" w:line="240" w:lineRule="auto"/>
              <w:jc w:val="right"/>
              <w:rPr>
                <w:rFonts w:ascii="Arial" w:hAnsi="Arial" w:cs="Arial"/>
                <w:color w:val="auto"/>
                <w:sz w:val="16"/>
                <w:szCs w:val="16"/>
              </w:rPr>
            </w:pPr>
            <w:r w:rsidRPr="009542CF">
              <w:rPr>
                <w:rFonts w:ascii="Arial" w:hAnsi="Arial" w:cs="Arial"/>
                <w:color w:val="auto"/>
                <w:sz w:val="16"/>
                <w:szCs w:val="16"/>
              </w:rPr>
              <w:t>45.9</w:t>
            </w:r>
          </w:p>
        </w:tc>
        <w:tc>
          <w:tcPr>
            <w:tcW w:w="1055" w:type="dxa"/>
            <w:tcBorders>
              <w:top w:val="nil"/>
              <w:left w:val="nil"/>
              <w:bottom w:val="nil"/>
              <w:right w:val="nil"/>
            </w:tcBorders>
            <w:shd w:val="clear" w:color="000000" w:fill="FFFFFF"/>
            <w:noWrap/>
            <w:vAlign w:val="bottom"/>
            <w:hideMark/>
          </w:tcPr>
          <w:p w14:paraId="6267FF04" w14:textId="77777777" w:rsidR="009542CF" w:rsidRPr="009542CF" w:rsidRDefault="009542CF" w:rsidP="00E24A34">
            <w:pPr>
              <w:spacing w:after="0" w:line="240" w:lineRule="auto"/>
              <w:jc w:val="right"/>
              <w:rPr>
                <w:rFonts w:ascii="Arial" w:hAnsi="Arial" w:cs="Arial"/>
                <w:color w:val="auto"/>
                <w:sz w:val="16"/>
                <w:szCs w:val="16"/>
              </w:rPr>
            </w:pPr>
            <w:r w:rsidRPr="009542CF">
              <w:rPr>
                <w:rFonts w:ascii="Arial" w:hAnsi="Arial" w:cs="Arial"/>
                <w:color w:val="auto"/>
                <w:sz w:val="16"/>
                <w:szCs w:val="16"/>
              </w:rPr>
              <w:t>56.5</w:t>
            </w:r>
          </w:p>
        </w:tc>
        <w:tc>
          <w:tcPr>
            <w:tcW w:w="1055" w:type="dxa"/>
            <w:tcBorders>
              <w:top w:val="nil"/>
              <w:left w:val="nil"/>
              <w:bottom w:val="nil"/>
              <w:right w:val="nil"/>
            </w:tcBorders>
            <w:shd w:val="clear" w:color="auto" w:fill="E1E8EB"/>
            <w:noWrap/>
            <w:vAlign w:val="bottom"/>
            <w:hideMark/>
          </w:tcPr>
          <w:p w14:paraId="4AAF171E" w14:textId="7A229CD1" w:rsidR="009542CF" w:rsidRPr="009542CF" w:rsidRDefault="00925CA1" w:rsidP="00E24A34">
            <w:pPr>
              <w:spacing w:after="0" w:line="240" w:lineRule="auto"/>
              <w:jc w:val="right"/>
              <w:rPr>
                <w:rFonts w:ascii="Arial" w:hAnsi="Arial" w:cs="Arial"/>
                <w:color w:val="auto"/>
                <w:sz w:val="16"/>
                <w:szCs w:val="16"/>
              </w:rPr>
            </w:pPr>
            <w:r>
              <w:rPr>
                <w:rFonts w:ascii="Arial" w:hAnsi="Arial" w:cs="Arial"/>
                <w:color w:val="auto"/>
                <w:sz w:val="16"/>
                <w:szCs w:val="16"/>
              </w:rPr>
              <w:t>66.0</w:t>
            </w:r>
          </w:p>
        </w:tc>
      </w:tr>
      <w:tr w:rsidR="009542CF" w:rsidRPr="009542CF" w14:paraId="645A94B6" w14:textId="77777777" w:rsidTr="00E24A34">
        <w:trPr>
          <w:trHeight w:val="266"/>
        </w:trPr>
        <w:tc>
          <w:tcPr>
            <w:tcW w:w="3490" w:type="dxa"/>
            <w:tcBorders>
              <w:top w:val="nil"/>
              <w:left w:val="nil"/>
              <w:bottom w:val="nil"/>
              <w:right w:val="nil"/>
            </w:tcBorders>
            <w:shd w:val="clear" w:color="000000" w:fill="FFFFFF"/>
            <w:noWrap/>
            <w:vAlign w:val="bottom"/>
            <w:hideMark/>
          </w:tcPr>
          <w:p w14:paraId="12BDF990" w14:textId="77777777" w:rsidR="009542CF" w:rsidRPr="009542CF" w:rsidRDefault="009542CF" w:rsidP="00E24A34">
            <w:pPr>
              <w:spacing w:after="0" w:line="240" w:lineRule="auto"/>
              <w:jc w:val="left"/>
              <w:rPr>
                <w:rFonts w:ascii="Arial" w:hAnsi="Arial" w:cs="Arial"/>
                <w:color w:val="auto"/>
                <w:sz w:val="16"/>
                <w:szCs w:val="16"/>
              </w:rPr>
            </w:pPr>
            <w:r w:rsidRPr="009542CF">
              <w:rPr>
                <w:rFonts w:ascii="Arial" w:hAnsi="Arial" w:cs="Arial"/>
                <w:color w:val="auto"/>
                <w:sz w:val="16"/>
                <w:szCs w:val="16"/>
              </w:rPr>
              <w:t xml:space="preserve"> Approved with conditions </w:t>
            </w:r>
          </w:p>
        </w:tc>
        <w:tc>
          <w:tcPr>
            <w:tcW w:w="1055" w:type="dxa"/>
            <w:tcBorders>
              <w:top w:val="nil"/>
              <w:left w:val="nil"/>
              <w:bottom w:val="single" w:sz="4" w:space="0" w:color="auto"/>
              <w:right w:val="nil"/>
            </w:tcBorders>
            <w:shd w:val="clear" w:color="000000" w:fill="FFFFFF"/>
            <w:noWrap/>
            <w:vAlign w:val="bottom"/>
            <w:hideMark/>
          </w:tcPr>
          <w:p w14:paraId="1D1BB54C" w14:textId="77777777" w:rsidR="009542CF" w:rsidRPr="009542CF" w:rsidRDefault="009542CF" w:rsidP="00E24A34">
            <w:pPr>
              <w:spacing w:after="0" w:line="240" w:lineRule="auto"/>
              <w:jc w:val="right"/>
              <w:rPr>
                <w:rFonts w:ascii="Arial" w:hAnsi="Arial" w:cs="Arial"/>
                <w:color w:val="auto"/>
                <w:sz w:val="16"/>
                <w:szCs w:val="16"/>
              </w:rPr>
            </w:pPr>
            <w:r w:rsidRPr="009542CF">
              <w:rPr>
                <w:rFonts w:ascii="Arial" w:hAnsi="Arial" w:cs="Arial"/>
                <w:color w:val="auto"/>
                <w:sz w:val="16"/>
                <w:szCs w:val="16"/>
              </w:rPr>
              <w:t>123.0</w:t>
            </w:r>
          </w:p>
        </w:tc>
        <w:tc>
          <w:tcPr>
            <w:tcW w:w="1055" w:type="dxa"/>
            <w:tcBorders>
              <w:top w:val="nil"/>
              <w:left w:val="nil"/>
              <w:bottom w:val="single" w:sz="4" w:space="0" w:color="auto"/>
              <w:right w:val="nil"/>
            </w:tcBorders>
            <w:shd w:val="clear" w:color="000000" w:fill="FFFFFF"/>
            <w:noWrap/>
            <w:vAlign w:val="bottom"/>
            <w:hideMark/>
          </w:tcPr>
          <w:p w14:paraId="4B06EFFD" w14:textId="77777777" w:rsidR="009542CF" w:rsidRPr="009542CF" w:rsidRDefault="009542CF" w:rsidP="00E24A34">
            <w:pPr>
              <w:spacing w:after="0" w:line="240" w:lineRule="auto"/>
              <w:jc w:val="right"/>
              <w:rPr>
                <w:rFonts w:ascii="Arial" w:hAnsi="Arial" w:cs="Arial"/>
                <w:color w:val="auto"/>
                <w:sz w:val="16"/>
                <w:szCs w:val="16"/>
              </w:rPr>
            </w:pPr>
            <w:r w:rsidRPr="009542CF">
              <w:rPr>
                <w:rFonts w:ascii="Arial" w:hAnsi="Arial" w:cs="Arial"/>
                <w:color w:val="auto"/>
                <w:sz w:val="16"/>
                <w:szCs w:val="16"/>
              </w:rPr>
              <w:t>185.1</w:t>
            </w:r>
          </w:p>
        </w:tc>
        <w:tc>
          <w:tcPr>
            <w:tcW w:w="1055" w:type="dxa"/>
            <w:tcBorders>
              <w:top w:val="nil"/>
              <w:left w:val="nil"/>
              <w:bottom w:val="single" w:sz="4" w:space="0" w:color="auto"/>
              <w:right w:val="nil"/>
            </w:tcBorders>
            <w:shd w:val="clear" w:color="000000" w:fill="FFFFFF"/>
            <w:noWrap/>
            <w:vAlign w:val="bottom"/>
            <w:hideMark/>
          </w:tcPr>
          <w:p w14:paraId="64318C68" w14:textId="77777777" w:rsidR="009542CF" w:rsidRPr="009542CF" w:rsidRDefault="009542CF" w:rsidP="00E24A34">
            <w:pPr>
              <w:spacing w:after="0" w:line="240" w:lineRule="auto"/>
              <w:jc w:val="right"/>
              <w:rPr>
                <w:rFonts w:ascii="Arial" w:hAnsi="Arial" w:cs="Arial"/>
                <w:color w:val="auto"/>
                <w:sz w:val="16"/>
                <w:szCs w:val="16"/>
              </w:rPr>
            </w:pPr>
            <w:r w:rsidRPr="009542CF">
              <w:rPr>
                <w:rFonts w:ascii="Arial" w:hAnsi="Arial" w:cs="Arial"/>
                <w:color w:val="auto"/>
                <w:sz w:val="16"/>
                <w:szCs w:val="16"/>
              </w:rPr>
              <w:t>139.0</w:t>
            </w:r>
          </w:p>
        </w:tc>
        <w:tc>
          <w:tcPr>
            <w:tcW w:w="1055" w:type="dxa"/>
            <w:tcBorders>
              <w:top w:val="nil"/>
              <w:left w:val="nil"/>
              <w:bottom w:val="single" w:sz="4" w:space="0" w:color="auto"/>
              <w:right w:val="nil"/>
            </w:tcBorders>
            <w:shd w:val="clear" w:color="auto" w:fill="E1E8EB"/>
            <w:noWrap/>
            <w:vAlign w:val="bottom"/>
            <w:hideMark/>
          </w:tcPr>
          <w:p w14:paraId="5BE46744" w14:textId="1CE6EA93" w:rsidR="009542CF" w:rsidRPr="009542CF" w:rsidRDefault="00925CA1" w:rsidP="00E24A34">
            <w:pPr>
              <w:spacing w:after="0" w:line="240" w:lineRule="auto"/>
              <w:jc w:val="right"/>
              <w:rPr>
                <w:rFonts w:ascii="Arial" w:hAnsi="Arial" w:cs="Arial"/>
                <w:color w:val="auto"/>
                <w:sz w:val="16"/>
                <w:szCs w:val="16"/>
              </w:rPr>
            </w:pPr>
            <w:r>
              <w:rPr>
                <w:rFonts w:ascii="Arial" w:hAnsi="Arial" w:cs="Arial"/>
                <w:color w:val="auto"/>
                <w:sz w:val="16"/>
                <w:szCs w:val="16"/>
              </w:rPr>
              <w:t>167.1</w:t>
            </w:r>
          </w:p>
        </w:tc>
      </w:tr>
      <w:tr w:rsidR="009542CF" w:rsidRPr="009542CF" w14:paraId="7FBFCE51" w14:textId="77777777" w:rsidTr="00E24A34">
        <w:trPr>
          <w:trHeight w:val="266"/>
        </w:trPr>
        <w:tc>
          <w:tcPr>
            <w:tcW w:w="3490" w:type="dxa"/>
            <w:tcBorders>
              <w:top w:val="nil"/>
              <w:left w:val="nil"/>
              <w:bottom w:val="nil"/>
              <w:right w:val="nil"/>
            </w:tcBorders>
            <w:shd w:val="clear" w:color="000000" w:fill="FFFFFF"/>
            <w:noWrap/>
            <w:vAlign w:val="bottom"/>
            <w:hideMark/>
          </w:tcPr>
          <w:p w14:paraId="0207F15F" w14:textId="77777777" w:rsidR="009542CF" w:rsidRPr="009542CF" w:rsidRDefault="009542CF" w:rsidP="00E24A34">
            <w:pPr>
              <w:spacing w:after="0" w:line="240" w:lineRule="auto"/>
              <w:ind w:firstLineChars="100" w:firstLine="161"/>
              <w:jc w:val="left"/>
              <w:rPr>
                <w:rFonts w:ascii="Arial" w:hAnsi="Arial" w:cs="Arial"/>
                <w:b/>
                <w:bCs/>
                <w:color w:val="auto"/>
                <w:sz w:val="16"/>
                <w:szCs w:val="16"/>
              </w:rPr>
            </w:pPr>
            <w:r w:rsidRPr="009542CF">
              <w:rPr>
                <w:rFonts w:ascii="Arial" w:hAnsi="Arial" w:cs="Arial"/>
                <w:b/>
                <w:bCs/>
                <w:color w:val="auto"/>
                <w:sz w:val="16"/>
                <w:szCs w:val="16"/>
              </w:rPr>
              <w:t xml:space="preserve"> Total approved </w:t>
            </w:r>
          </w:p>
        </w:tc>
        <w:tc>
          <w:tcPr>
            <w:tcW w:w="1055" w:type="dxa"/>
            <w:tcBorders>
              <w:top w:val="nil"/>
              <w:left w:val="nil"/>
              <w:bottom w:val="nil"/>
              <w:right w:val="nil"/>
            </w:tcBorders>
            <w:shd w:val="clear" w:color="000000" w:fill="FFFFFF"/>
            <w:noWrap/>
            <w:vAlign w:val="bottom"/>
            <w:hideMark/>
          </w:tcPr>
          <w:p w14:paraId="05C38888" w14:textId="77777777" w:rsidR="009542CF" w:rsidRPr="009542CF" w:rsidRDefault="009542CF" w:rsidP="00E24A34">
            <w:pPr>
              <w:spacing w:after="0" w:line="240" w:lineRule="auto"/>
              <w:jc w:val="right"/>
              <w:rPr>
                <w:rFonts w:ascii="Arial" w:hAnsi="Arial" w:cs="Arial"/>
                <w:b/>
                <w:bCs/>
                <w:color w:val="auto"/>
                <w:sz w:val="16"/>
                <w:szCs w:val="16"/>
              </w:rPr>
            </w:pPr>
            <w:r w:rsidRPr="009542CF">
              <w:rPr>
                <w:rFonts w:ascii="Arial" w:hAnsi="Arial" w:cs="Arial"/>
                <w:b/>
                <w:bCs/>
                <w:color w:val="auto"/>
                <w:sz w:val="16"/>
                <w:szCs w:val="16"/>
              </w:rPr>
              <w:t>163.1</w:t>
            </w:r>
          </w:p>
        </w:tc>
        <w:tc>
          <w:tcPr>
            <w:tcW w:w="1055" w:type="dxa"/>
            <w:tcBorders>
              <w:top w:val="nil"/>
              <w:left w:val="nil"/>
              <w:bottom w:val="nil"/>
              <w:right w:val="nil"/>
            </w:tcBorders>
            <w:shd w:val="clear" w:color="000000" w:fill="FFFFFF"/>
            <w:noWrap/>
            <w:vAlign w:val="bottom"/>
            <w:hideMark/>
          </w:tcPr>
          <w:p w14:paraId="395973AB" w14:textId="77777777" w:rsidR="009542CF" w:rsidRPr="009542CF" w:rsidRDefault="009542CF" w:rsidP="00E24A34">
            <w:pPr>
              <w:spacing w:after="0" w:line="240" w:lineRule="auto"/>
              <w:jc w:val="right"/>
              <w:rPr>
                <w:rFonts w:ascii="Arial" w:hAnsi="Arial" w:cs="Arial"/>
                <w:b/>
                <w:bCs/>
                <w:color w:val="auto"/>
                <w:sz w:val="16"/>
                <w:szCs w:val="16"/>
              </w:rPr>
            </w:pPr>
            <w:r w:rsidRPr="009542CF">
              <w:rPr>
                <w:rFonts w:ascii="Arial" w:hAnsi="Arial" w:cs="Arial"/>
                <w:b/>
                <w:bCs/>
                <w:color w:val="auto"/>
                <w:sz w:val="16"/>
                <w:szCs w:val="16"/>
              </w:rPr>
              <w:t>231.0</w:t>
            </w:r>
          </w:p>
        </w:tc>
        <w:tc>
          <w:tcPr>
            <w:tcW w:w="1055" w:type="dxa"/>
            <w:tcBorders>
              <w:top w:val="nil"/>
              <w:left w:val="nil"/>
              <w:bottom w:val="nil"/>
              <w:right w:val="nil"/>
            </w:tcBorders>
            <w:shd w:val="clear" w:color="000000" w:fill="FFFFFF"/>
            <w:noWrap/>
            <w:vAlign w:val="bottom"/>
            <w:hideMark/>
          </w:tcPr>
          <w:p w14:paraId="37B742AD" w14:textId="77777777" w:rsidR="009542CF" w:rsidRPr="009542CF" w:rsidRDefault="009542CF" w:rsidP="00E24A34">
            <w:pPr>
              <w:spacing w:after="0" w:line="240" w:lineRule="auto"/>
              <w:jc w:val="right"/>
              <w:rPr>
                <w:rFonts w:ascii="Arial" w:hAnsi="Arial" w:cs="Arial"/>
                <w:b/>
                <w:bCs/>
                <w:color w:val="auto"/>
                <w:sz w:val="16"/>
                <w:szCs w:val="16"/>
              </w:rPr>
            </w:pPr>
            <w:r w:rsidRPr="009542CF">
              <w:rPr>
                <w:rFonts w:ascii="Arial" w:hAnsi="Arial" w:cs="Arial"/>
                <w:b/>
                <w:bCs/>
                <w:color w:val="auto"/>
                <w:sz w:val="16"/>
                <w:szCs w:val="16"/>
              </w:rPr>
              <w:t>195.5</w:t>
            </w:r>
          </w:p>
        </w:tc>
        <w:tc>
          <w:tcPr>
            <w:tcW w:w="1055" w:type="dxa"/>
            <w:tcBorders>
              <w:top w:val="nil"/>
              <w:left w:val="nil"/>
              <w:bottom w:val="nil"/>
              <w:right w:val="nil"/>
            </w:tcBorders>
            <w:shd w:val="clear" w:color="auto" w:fill="E1E8EB"/>
            <w:noWrap/>
            <w:vAlign w:val="bottom"/>
            <w:hideMark/>
          </w:tcPr>
          <w:p w14:paraId="0C85B00E" w14:textId="70FAF550" w:rsidR="009542CF" w:rsidRPr="009542CF" w:rsidRDefault="009542CF" w:rsidP="00E24A34">
            <w:pPr>
              <w:spacing w:after="0" w:line="240" w:lineRule="auto"/>
              <w:jc w:val="right"/>
              <w:rPr>
                <w:rFonts w:ascii="Arial" w:hAnsi="Arial" w:cs="Arial"/>
                <w:b/>
                <w:bCs/>
                <w:color w:val="auto"/>
                <w:sz w:val="16"/>
                <w:szCs w:val="16"/>
              </w:rPr>
            </w:pPr>
            <w:r w:rsidRPr="009542CF">
              <w:rPr>
                <w:rFonts w:ascii="Arial" w:hAnsi="Arial" w:cs="Arial"/>
                <w:b/>
                <w:bCs/>
                <w:color w:val="auto"/>
                <w:sz w:val="16"/>
                <w:szCs w:val="16"/>
              </w:rPr>
              <w:t>23</w:t>
            </w:r>
            <w:r w:rsidR="00925CA1">
              <w:rPr>
                <w:rFonts w:ascii="Arial" w:hAnsi="Arial" w:cs="Arial"/>
                <w:b/>
                <w:bCs/>
                <w:color w:val="auto"/>
                <w:sz w:val="16"/>
                <w:szCs w:val="16"/>
              </w:rPr>
              <w:t>3</w:t>
            </w:r>
            <w:r w:rsidR="000F3C85">
              <w:rPr>
                <w:rFonts w:ascii="Arial" w:hAnsi="Arial" w:cs="Arial"/>
                <w:b/>
                <w:bCs/>
                <w:color w:val="auto"/>
                <w:sz w:val="16"/>
                <w:szCs w:val="16"/>
              </w:rPr>
              <w:t>.0</w:t>
            </w:r>
          </w:p>
        </w:tc>
      </w:tr>
      <w:tr w:rsidR="009542CF" w:rsidRPr="009542CF" w14:paraId="21B47E90" w14:textId="77777777" w:rsidTr="00E24A34">
        <w:trPr>
          <w:trHeight w:val="266"/>
        </w:trPr>
        <w:tc>
          <w:tcPr>
            <w:tcW w:w="3490" w:type="dxa"/>
            <w:tcBorders>
              <w:top w:val="nil"/>
              <w:left w:val="nil"/>
              <w:bottom w:val="nil"/>
              <w:right w:val="nil"/>
            </w:tcBorders>
            <w:shd w:val="clear" w:color="000000" w:fill="FFFFFF"/>
            <w:noWrap/>
            <w:vAlign w:val="bottom"/>
            <w:hideMark/>
          </w:tcPr>
          <w:p w14:paraId="7C5AF355" w14:textId="77777777" w:rsidR="009542CF" w:rsidRPr="009542CF" w:rsidRDefault="009542CF" w:rsidP="00E24A34">
            <w:pPr>
              <w:spacing w:after="0" w:line="240" w:lineRule="auto"/>
              <w:jc w:val="left"/>
              <w:rPr>
                <w:rFonts w:ascii="Arial" w:hAnsi="Arial" w:cs="Arial"/>
                <w:color w:val="auto"/>
                <w:sz w:val="16"/>
                <w:szCs w:val="16"/>
              </w:rPr>
            </w:pPr>
            <w:r w:rsidRPr="009542CF">
              <w:rPr>
                <w:rFonts w:ascii="Arial" w:hAnsi="Arial" w:cs="Arial"/>
                <w:color w:val="auto"/>
                <w:sz w:val="16"/>
                <w:szCs w:val="16"/>
              </w:rPr>
              <w:t xml:space="preserve"> Rejected </w:t>
            </w:r>
          </w:p>
        </w:tc>
        <w:tc>
          <w:tcPr>
            <w:tcW w:w="1055" w:type="dxa"/>
            <w:tcBorders>
              <w:top w:val="nil"/>
              <w:left w:val="nil"/>
              <w:bottom w:val="nil"/>
              <w:right w:val="nil"/>
            </w:tcBorders>
            <w:shd w:val="clear" w:color="000000" w:fill="FFFFFF"/>
            <w:noWrap/>
            <w:vAlign w:val="bottom"/>
            <w:hideMark/>
          </w:tcPr>
          <w:p w14:paraId="4835F219" w14:textId="77777777" w:rsidR="009542CF" w:rsidRPr="009542CF" w:rsidRDefault="009542CF" w:rsidP="00E24A34">
            <w:pPr>
              <w:spacing w:after="0" w:line="240" w:lineRule="auto"/>
              <w:jc w:val="right"/>
              <w:rPr>
                <w:rFonts w:ascii="Arial" w:hAnsi="Arial" w:cs="Arial"/>
                <w:color w:val="auto"/>
                <w:sz w:val="16"/>
                <w:szCs w:val="16"/>
              </w:rPr>
            </w:pPr>
            <w:r w:rsidRPr="009542CF">
              <w:rPr>
                <w:rFonts w:ascii="Arial" w:hAnsi="Arial" w:cs="Arial"/>
                <w:color w:val="auto"/>
                <w:sz w:val="16"/>
                <w:szCs w:val="16"/>
              </w:rPr>
              <w:t>0.1</w:t>
            </w:r>
          </w:p>
        </w:tc>
        <w:tc>
          <w:tcPr>
            <w:tcW w:w="1055" w:type="dxa"/>
            <w:tcBorders>
              <w:top w:val="nil"/>
              <w:left w:val="nil"/>
              <w:bottom w:val="nil"/>
              <w:right w:val="nil"/>
            </w:tcBorders>
            <w:shd w:val="clear" w:color="000000" w:fill="FFFFFF"/>
            <w:noWrap/>
            <w:vAlign w:val="bottom"/>
            <w:hideMark/>
          </w:tcPr>
          <w:p w14:paraId="58958A6A" w14:textId="77777777" w:rsidR="009542CF" w:rsidRPr="009542CF" w:rsidRDefault="009542CF" w:rsidP="00E24A34">
            <w:pPr>
              <w:spacing w:after="0" w:line="240" w:lineRule="auto"/>
              <w:jc w:val="right"/>
              <w:rPr>
                <w:rFonts w:ascii="Arial" w:hAnsi="Arial" w:cs="Arial"/>
                <w:color w:val="auto"/>
                <w:sz w:val="16"/>
                <w:szCs w:val="16"/>
              </w:rPr>
            </w:pPr>
            <w:r w:rsidRPr="009542CF">
              <w:rPr>
                <w:rFonts w:ascii="Arial" w:hAnsi="Arial" w:cs="Arial"/>
                <w:color w:val="auto"/>
                <w:sz w:val="16"/>
                <w:szCs w:val="16"/>
              </w:rPr>
              <w:t>10.0</w:t>
            </w:r>
          </w:p>
        </w:tc>
        <w:tc>
          <w:tcPr>
            <w:tcW w:w="1055" w:type="dxa"/>
            <w:tcBorders>
              <w:top w:val="nil"/>
              <w:left w:val="nil"/>
              <w:bottom w:val="nil"/>
              <w:right w:val="nil"/>
            </w:tcBorders>
            <w:shd w:val="clear" w:color="000000" w:fill="FFFFFF"/>
            <w:noWrap/>
            <w:vAlign w:val="bottom"/>
            <w:hideMark/>
          </w:tcPr>
          <w:p w14:paraId="7BEBDC78" w14:textId="10A44CAF" w:rsidR="009542CF" w:rsidRPr="009542CF" w:rsidRDefault="003E7C79" w:rsidP="00E24A34">
            <w:pPr>
              <w:spacing w:after="0" w:line="240" w:lineRule="auto"/>
              <w:jc w:val="right"/>
              <w:rPr>
                <w:rFonts w:ascii="Arial" w:hAnsi="Arial" w:cs="Arial"/>
                <w:color w:val="auto"/>
                <w:sz w:val="16"/>
                <w:szCs w:val="16"/>
              </w:rPr>
            </w:pPr>
            <w:r>
              <w:rPr>
                <w:rFonts w:ascii="Arial" w:hAnsi="Arial" w:cs="Arial"/>
                <w:color w:val="auto"/>
                <w:sz w:val="16"/>
                <w:szCs w:val="16"/>
              </w:rPr>
              <w:t>–</w:t>
            </w:r>
          </w:p>
        </w:tc>
        <w:tc>
          <w:tcPr>
            <w:tcW w:w="1055" w:type="dxa"/>
            <w:tcBorders>
              <w:top w:val="nil"/>
              <w:left w:val="nil"/>
              <w:bottom w:val="nil"/>
              <w:right w:val="nil"/>
            </w:tcBorders>
            <w:shd w:val="clear" w:color="auto" w:fill="E1E8EB"/>
            <w:noWrap/>
            <w:vAlign w:val="bottom"/>
            <w:hideMark/>
          </w:tcPr>
          <w:p w14:paraId="2275F13D" w14:textId="4F855484" w:rsidR="009542CF" w:rsidRPr="009542CF" w:rsidRDefault="003E7C79" w:rsidP="00E24A34">
            <w:pPr>
              <w:spacing w:after="0" w:line="240" w:lineRule="auto"/>
              <w:jc w:val="right"/>
              <w:rPr>
                <w:rFonts w:ascii="Arial" w:hAnsi="Arial" w:cs="Arial"/>
                <w:color w:val="auto"/>
                <w:sz w:val="16"/>
                <w:szCs w:val="16"/>
              </w:rPr>
            </w:pPr>
            <w:r>
              <w:rPr>
                <w:rFonts w:ascii="Arial" w:hAnsi="Arial" w:cs="Arial"/>
                <w:color w:val="auto"/>
                <w:sz w:val="16"/>
                <w:szCs w:val="16"/>
              </w:rPr>
              <w:t>–</w:t>
            </w:r>
          </w:p>
        </w:tc>
      </w:tr>
      <w:tr w:rsidR="009542CF" w:rsidRPr="009542CF" w14:paraId="0EF2E17B" w14:textId="77777777" w:rsidTr="00E24A34">
        <w:trPr>
          <w:trHeight w:val="266"/>
        </w:trPr>
        <w:tc>
          <w:tcPr>
            <w:tcW w:w="3490" w:type="dxa"/>
            <w:tcBorders>
              <w:top w:val="nil"/>
              <w:left w:val="nil"/>
              <w:bottom w:val="nil"/>
              <w:right w:val="nil"/>
            </w:tcBorders>
            <w:shd w:val="clear" w:color="auto" w:fill="auto"/>
            <w:noWrap/>
            <w:vAlign w:val="bottom"/>
            <w:hideMark/>
          </w:tcPr>
          <w:p w14:paraId="24682624" w14:textId="77777777" w:rsidR="009542CF" w:rsidRPr="009542CF" w:rsidRDefault="009542CF" w:rsidP="00E24A34">
            <w:pPr>
              <w:spacing w:after="0" w:line="240" w:lineRule="auto"/>
              <w:jc w:val="left"/>
              <w:rPr>
                <w:rFonts w:ascii="Arial" w:hAnsi="Arial" w:cs="Arial"/>
                <w:color w:val="auto"/>
                <w:sz w:val="16"/>
                <w:szCs w:val="16"/>
              </w:rPr>
            </w:pPr>
            <w:r w:rsidRPr="009542CF">
              <w:rPr>
                <w:rFonts w:ascii="Arial" w:hAnsi="Arial" w:cs="Arial"/>
                <w:color w:val="auto"/>
                <w:sz w:val="16"/>
                <w:szCs w:val="16"/>
              </w:rPr>
              <w:t xml:space="preserve"> Declined </w:t>
            </w:r>
          </w:p>
        </w:tc>
        <w:tc>
          <w:tcPr>
            <w:tcW w:w="1055" w:type="dxa"/>
            <w:tcBorders>
              <w:top w:val="nil"/>
              <w:left w:val="nil"/>
              <w:bottom w:val="nil"/>
              <w:right w:val="nil"/>
            </w:tcBorders>
            <w:shd w:val="clear" w:color="000000" w:fill="FFFFFF"/>
            <w:noWrap/>
            <w:vAlign w:val="bottom"/>
            <w:hideMark/>
          </w:tcPr>
          <w:p w14:paraId="4A8C0606" w14:textId="77777777" w:rsidR="009542CF" w:rsidRPr="009542CF" w:rsidRDefault="009542CF" w:rsidP="00E24A34">
            <w:pPr>
              <w:spacing w:after="0" w:line="240" w:lineRule="auto"/>
              <w:jc w:val="right"/>
              <w:rPr>
                <w:rFonts w:ascii="Arial" w:hAnsi="Arial" w:cs="Arial"/>
                <w:color w:val="auto"/>
                <w:sz w:val="16"/>
                <w:szCs w:val="16"/>
              </w:rPr>
            </w:pPr>
            <w:r w:rsidRPr="009542CF">
              <w:rPr>
                <w:rFonts w:ascii="Arial" w:hAnsi="Arial" w:cs="Arial"/>
                <w:color w:val="auto"/>
                <w:sz w:val="16"/>
                <w:szCs w:val="16"/>
              </w:rPr>
              <w:t>3.0</w:t>
            </w:r>
          </w:p>
        </w:tc>
        <w:tc>
          <w:tcPr>
            <w:tcW w:w="1055" w:type="dxa"/>
            <w:tcBorders>
              <w:top w:val="nil"/>
              <w:left w:val="nil"/>
              <w:bottom w:val="nil"/>
              <w:right w:val="nil"/>
            </w:tcBorders>
            <w:shd w:val="clear" w:color="000000" w:fill="FFFFFF"/>
            <w:noWrap/>
            <w:vAlign w:val="bottom"/>
            <w:hideMark/>
          </w:tcPr>
          <w:p w14:paraId="78CFF0F0" w14:textId="59EC1F6A" w:rsidR="009542CF" w:rsidRPr="009542CF" w:rsidRDefault="003E7C79" w:rsidP="00E24A34">
            <w:pPr>
              <w:spacing w:after="0" w:line="240" w:lineRule="auto"/>
              <w:jc w:val="right"/>
              <w:rPr>
                <w:rFonts w:ascii="Arial" w:hAnsi="Arial" w:cs="Arial"/>
                <w:color w:val="auto"/>
                <w:sz w:val="16"/>
                <w:szCs w:val="16"/>
              </w:rPr>
            </w:pPr>
            <w:r>
              <w:rPr>
                <w:rFonts w:ascii="Arial" w:hAnsi="Arial" w:cs="Arial"/>
                <w:color w:val="auto"/>
                <w:sz w:val="16"/>
                <w:szCs w:val="16"/>
              </w:rPr>
              <w:t>–</w:t>
            </w:r>
          </w:p>
        </w:tc>
        <w:tc>
          <w:tcPr>
            <w:tcW w:w="1055" w:type="dxa"/>
            <w:tcBorders>
              <w:top w:val="nil"/>
              <w:left w:val="nil"/>
              <w:bottom w:val="nil"/>
              <w:right w:val="nil"/>
            </w:tcBorders>
            <w:shd w:val="clear" w:color="000000" w:fill="FFFFFF"/>
            <w:noWrap/>
            <w:vAlign w:val="bottom"/>
            <w:hideMark/>
          </w:tcPr>
          <w:p w14:paraId="5C5B2271" w14:textId="49C1E816" w:rsidR="009542CF" w:rsidRPr="009542CF" w:rsidRDefault="003E7C79" w:rsidP="00E24A34">
            <w:pPr>
              <w:spacing w:after="0" w:line="240" w:lineRule="auto"/>
              <w:jc w:val="right"/>
              <w:rPr>
                <w:rFonts w:ascii="Arial" w:hAnsi="Arial" w:cs="Arial"/>
                <w:color w:val="auto"/>
                <w:sz w:val="16"/>
                <w:szCs w:val="16"/>
              </w:rPr>
            </w:pPr>
            <w:r>
              <w:rPr>
                <w:rFonts w:ascii="Arial" w:hAnsi="Arial" w:cs="Arial"/>
                <w:color w:val="auto"/>
                <w:sz w:val="16"/>
                <w:szCs w:val="16"/>
              </w:rPr>
              <w:t>–</w:t>
            </w:r>
          </w:p>
        </w:tc>
        <w:tc>
          <w:tcPr>
            <w:tcW w:w="1055" w:type="dxa"/>
            <w:tcBorders>
              <w:top w:val="nil"/>
              <w:left w:val="nil"/>
              <w:bottom w:val="nil"/>
              <w:right w:val="nil"/>
            </w:tcBorders>
            <w:shd w:val="clear" w:color="auto" w:fill="E1E8EB"/>
            <w:noWrap/>
            <w:vAlign w:val="bottom"/>
            <w:hideMark/>
          </w:tcPr>
          <w:p w14:paraId="2F45419D" w14:textId="7EF85715" w:rsidR="009542CF" w:rsidRPr="009542CF" w:rsidRDefault="003E7C79" w:rsidP="00E24A34">
            <w:pPr>
              <w:spacing w:after="0" w:line="240" w:lineRule="auto"/>
              <w:jc w:val="right"/>
              <w:rPr>
                <w:rFonts w:ascii="Arial" w:hAnsi="Arial" w:cs="Arial"/>
                <w:color w:val="auto"/>
                <w:sz w:val="16"/>
                <w:szCs w:val="16"/>
              </w:rPr>
            </w:pPr>
            <w:r>
              <w:rPr>
                <w:rFonts w:ascii="Arial" w:hAnsi="Arial" w:cs="Arial"/>
                <w:color w:val="auto"/>
                <w:sz w:val="16"/>
                <w:szCs w:val="16"/>
              </w:rPr>
              <w:t>–</w:t>
            </w:r>
          </w:p>
        </w:tc>
      </w:tr>
      <w:tr w:rsidR="009542CF" w:rsidRPr="009542CF" w14:paraId="2BC1C279" w14:textId="77777777" w:rsidTr="00E24A34">
        <w:trPr>
          <w:trHeight w:val="266"/>
        </w:trPr>
        <w:tc>
          <w:tcPr>
            <w:tcW w:w="3490" w:type="dxa"/>
            <w:tcBorders>
              <w:top w:val="nil"/>
              <w:left w:val="nil"/>
              <w:bottom w:val="single" w:sz="4" w:space="0" w:color="auto"/>
              <w:right w:val="nil"/>
            </w:tcBorders>
            <w:shd w:val="clear" w:color="000000" w:fill="FFFFFF"/>
            <w:noWrap/>
            <w:vAlign w:val="bottom"/>
            <w:hideMark/>
          </w:tcPr>
          <w:p w14:paraId="16C0DD10" w14:textId="77777777" w:rsidR="009542CF" w:rsidRPr="009542CF" w:rsidRDefault="009542CF" w:rsidP="00E24A34">
            <w:pPr>
              <w:spacing w:after="0" w:line="240" w:lineRule="auto"/>
              <w:ind w:firstLineChars="100" w:firstLine="161"/>
              <w:jc w:val="left"/>
              <w:rPr>
                <w:rFonts w:ascii="Arial" w:hAnsi="Arial" w:cs="Arial"/>
                <w:b/>
                <w:bCs/>
                <w:color w:val="auto"/>
                <w:sz w:val="16"/>
                <w:szCs w:val="16"/>
              </w:rPr>
            </w:pPr>
            <w:r w:rsidRPr="009542CF">
              <w:rPr>
                <w:rFonts w:ascii="Arial" w:hAnsi="Arial" w:cs="Arial"/>
                <w:b/>
                <w:bCs/>
                <w:color w:val="auto"/>
                <w:sz w:val="16"/>
                <w:szCs w:val="16"/>
              </w:rPr>
              <w:t xml:space="preserve"> Total decided </w:t>
            </w:r>
          </w:p>
        </w:tc>
        <w:tc>
          <w:tcPr>
            <w:tcW w:w="1055" w:type="dxa"/>
            <w:tcBorders>
              <w:top w:val="single" w:sz="4" w:space="0" w:color="auto"/>
              <w:left w:val="nil"/>
              <w:bottom w:val="single" w:sz="4" w:space="0" w:color="auto"/>
              <w:right w:val="nil"/>
            </w:tcBorders>
            <w:shd w:val="clear" w:color="000000" w:fill="FFFFFF"/>
            <w:noWrap/>
            <w:vAlign w:val="bottom"/>
            <w:hideMark/>
          </w:tcPr>
          <w:p w14:paraId="7FED7D2F" w14:textId="77777777" w:rsidR="009542CF" w:rsidRPr="009542CF" w:rsidRDefault="009542CF" w:rsidP="00E24A34">
            <w:pPr>
              <w:spacing w:after="0" w:line="240" w:lineRule="auto"/>
              <w:jc w:val="right"/>
              <w:rPr>
                <w:rFonts w:ascii="Arial" w:hAnsi="Arial" w:cs="Arial"/>
                <w:b/>
                <w:bCs/>
                <w:color w:val="auto"/>
                <w:sz w:val="16"/>
                <w:szCs w:val="16"/>
              </w:rPr>
            </w:pPr>
            <w:r w:rsidRPr="009542CF">
              <w:rPr>
                <w:rFonts w:ascii="Arial" w:hAnsi="Arial" w:cs="Arial"/>
                <w:b/>
                <w:bCs/>
                <w:color w:val="auto"/>
                <w:sz w:val="16"/>
                <w:szCs w:val="16"/>
              </w:rPr>
              <w:t>166.1</w:t>
            </w:r>
          </w:p>
        </w:tc>
        <w:tc>
          <w:tcPr>
            <w:tcW w:w="1055" w:type="dxa"/>
            <w:tcBorders>
              <w:top w:val="single" w:sz="4" w:space="0" w:color="auto"/>
              <w:left w:val="nil"/>
              <w:bottom w:val="single" w:sz="4" w:space="0" w:color="auto"/>
              <w:right w:val="nil"/>
            </w:tcBorders>
            <w:shd w:val="clear" w:color="000000" w:fill="FFFFFF"/>
            <w:noWrap/>
            <w:vAlign w:val="bottom"/>
            <w:hideMark/>
          </w:tcPr>
          <w:p w14:paraId="54E87420" w14:textId="77777777" w:rsidR="009542CF" w:rsidRPr="009542CF" w:rsidRDefault="009542CF" w:rsidP="00E24A34">
            <w:pPr>
              <w:spacing w:after="0" w:line="240" w:lineRule="auto"/>
              <w:jc w:val="right"/>
              <w:rPr>
                <w:rFonts w:ascii="Arial" w:hAnsi="Arial" w:cs="Arial"/>
                <w:b/>
                <w:bCs/>
                <w:color w:val="auto"/>
                <w:sz w:val="16"/>
                <w:szCs w:val="16"/>
              </w:rPr>
            </w:pPr>
            <w:r w:rsidRPr="009542CF">
              <w:rPr>
                <w:rFonts w:ascii="Arial" w:hAnsi="Arial" w:cs="Arial"/>
                <w:b/>
                <w:bCs/>
                <w:color w:val="auto"/>
                <w:sz w:val="16"/>
                <w:szCs w:val="16"/>
              </w:rPr>
              <w:t>241.0</w:t>
            </w:r>
          </w:p>
        </w:tc>
        <w:tc>
          <w:tcPr>
            <w:tcW w:w="1055" w:type="dxa"/>
            <w:tcBorders>
              <w:top w:val="single" w:sz="4" w:space="0" w:color="auto"/>
              <w:left w:val="nil"/>
              <w:bottom w:val="single" w:sz="4" w:space="0" w:color="auto"/>
              <w:right w:val="nil"/>
            </w:tcBorders>
            <w:shd w:val="clear" w:color="000000" w:fill="FFFFFF"/>
            <w:noWrap/>
            <w:vAlign w:val="bottom"/>
            <w:hideMark/>
          </w:tcPr>
          <w:p w14:paraId="74BBD9CC" w14:textId="77777777" w:rsidR="009542CF" w:rsidRPr="009542CF" w:rsidRDefault="009542CF" w:rsidP="00E24A34">
            <w:pPr>
              <w:spacing w:after="0" w:line="240" w:lineRule="auto"/>
              <w:jc w:val="right"/>
              <w:rPr>
                <w:rFonts w:ascii="Arial" w:hAnsi="Arial" w:cs="Arial"/>
                <w:b/>
                <w:bCs/>
                <w:color w:val="auto"/>
                <w:sz w:val="16"/>
                <w:szCs w:val="16"/>
              </w:rPr>
            </w:pPr>
            <w:r w:rsidRPr="009542CF">
              <w:rPr>
                <w:rFonts w:ascii="Arial" w:hAnsi="Arial" w:cs="Arial"/>
                <w:b/>
                <w:bCs/>
                <w:color w:val="auto"/>
                <w:sz w:val="16"/>
                <w:szCs w:val="16"/>
              </w:rPr>
              <w:t>195.5</w:t>
            </w:r>
          </w:p>
        </w:tc>
        <w:tc>
          <w:tcPr>
            <w:tcW w:w="1055" w:type="dxa"/>
            <w:tcBorders>
              <w:top w:val="single" w:sz="4" w:space="0" w:color="auto"/>
              <w:left w:val="nil"/>
              <w:bottom w:val="single" w:sz="4" w:space="0" w:color="auto"/>
              <w:right w:val="nil"/>
            </w:tcBorders>
            <w:shd w:val="clear" w:color="auto" w:fill="E1E8EB"/>
            <w:noWrap/>
            <w:vAlign w:val="bottom"/>
            <w:hideMark/>
          </w:tcPr>
          <w:p w14:paraId="659F4FB5" w14:textId="6E84D561" w:rsidR="009542CF" w:rsidRPr="009542CF" w:rsidRDefault="009542CF" w:rsidP="00E24A34">
            <w:pPr>
              <w:spacing w:after="0" w:line="240" w:lineRule="auto"/>
              <w:jc w:val="right"/>
              <w:rPr>
                <w:rFonts w:ascii="Arial" w:hAnsi="Arial" w:cs="Arial"/>
                <w:b/>
                <w:bCs/>
                <w:color w:val="auto"/>
                <w:sz w:val="16"/>
                <w:szCs w:val="16"/>
              </w:rPr>
            </w:pPr>
            <w:r w:rsidRPr="009542CF">
              <w:rPr>
                <w:rFonts w:ascii="Arial" w:hAnsi="Arial" w:cs="Arial"/>
                <w:b/>
                <w:bCs/>
                <w:color w:val="auto"/>
                <w:sz w:val="16"/>
                <w:szCs w:val="16"/>
              </w:rPr>
              <w:t>23</w:t>
            </w:r>
            <w:r w:rsidR="00925CA1">
              <w:rPr>
                <w:rFonts w:ascii="Arial" w:hAnsi="Arial" w:cs="Arial"/>
                <w:b/>
                <w:bCs/>
                <w:color w:val="auto"/>
                <w:sz w:val="16"/>
                <w:szCs w:val="16"/>
              </w:rPr>
              <w:t>3</w:t>
            </w:r>
            <w:r w:rsidR="000F3C85">
              <w:rPr>
                <w:rFonts w:ascii="Arial" w:hAnsi="Arial" w:cs="Arial"/>
                <w:b/>
                <w:bCs/>
                <w:color w:val="auto"/>
                <w:sz w:val="16"/>
                <w:szCs w:val="16"/>
              </w:rPr>
              <w:t>.0</w:t>
            </w:r>
          </w:p>
        </w:tc>
      </w:tr>
    </w:tbl>
    <w:p w14:paraId="25FDFAC0" w14:textId="49F8CD2D" w:rsidR="00D065E2" w:rsidRDefault="009542CF" w:rsidP="00E16BCD">
      <w:pPr>
        <w:pStyle w:val="ChartorTableNote"/>
      </w:pPr>
      <w:r w:rsidRPr="00BF48CD">
        <w:t xml:space="preserve">Before republishing this data or comparing between years, thoroughly review the methodological and data caveats in Appendix </w:t>
      </w:r>
      <w:r w:rsidRPr="00F67E13">
        <w:t>B</w:t>
      </w:r>
      <w:r w:rsidRPr="00BF48CD">
        <w:t xml:space="preserve">. </w:t>
      </w:r>
    </w:p>
    <w:p w14:paraId="60FC0CEE" w14:textId="28D92CEE" w:rsidR="00E24A34" w:rsidRDefault="00E24A34">
      <w:pPr>
        <w:spacing w:after="0" w:line="240" w:lineRule="auto"/>
        <w:jc w:val="left"/>
      </w:pPr>
      <w:r>
        <w:br w:type="page"/>
      </w:r>
    </w:p>
    <w:p w14:paraId="5EBB110C" w14:textId="0541CD14" w:rsidR="00DF1B59" w:rsidRPr="00E24A34" w:rsidRDefault="00DF1B59" w:rsidP="00E24A34">
      <w:pPr>
        <w:pStyle w:val="TableMainHeading"/>
      </w:pPr>
      <w:bookmarkStart w:id="106" w:name="_Toc89939938"/>
      <w:r w:rsidRPr="00E24A34">
        <w:lastRenderedPageBreak/>
        <w:t xml:space="preserve">Table </w:t>
      </w:r>
      <w:fldSimple w:instr=" STYLEREF 1 \s ">
        <w:r w:rsidR="0019342F">
          <w:rPr>
            <w:noProof/>
          </w:rPr>
          <w:t>3</w:t>
        </w:r>
      </w:fldSimple>
      <w:r w:rsidR="009812FE" w:rsidRPr="00E24A34">
        <w:t>.</w:t>
      </w:r>
      <w:fldSimple w:instr=" SEQ Table \* ARABIC \s 1 ">
        <w:r w:rsidR="0019342F">
          <w:rPr>
            <w:noProof/>
          </w:rPr>
          <w:t>4</w:t>
        </w:r>
      </w:fldSimple>
      <w:r w:rsidRPr="00E24A34">
        <w:t xml:space="preserve">: Proposals considered in </w:t>
      </w:r>
      <w:r w:rsidR="00D76ED2">
        <w:t>2019</w:t>
      </w:r>
      <w:r w:rsidR="00D76ED2">
        <w:noBreakHyphen/>
        <w:t>20</w:t>
      </w:r>
      <w:r w:rsidRPr="00E24A34">
        <w:t xml:space="preserve"> and </w:t>
      </w:r>
      <w:r w:rsidR="00D76ED2">
        <w:t>2020</w:t>
      </w:r>
      <w:r w:rsidR="00D76ED2">
        <w:noBreakHyphen/>
        <w:t>21</w:t>
      </w:r>
      <w:r w:rsidRPr="00E24A34">
        <w:t>, by zero dollar threshold and non</w:t>
      </w:r>
      <w:r w:rsidR="003E7C79" w:rsidRPr="00E24A34">
        <w:t>–</w:t>
      </w:r>
      <w:r w:rsidRPr="00E24A34">
        <w:t>zero dollar threshold proposals (value of proposed investment)</w:t>
      </w:r>
      <w:bookmarkEnd w:id="106"/>
    </w:p>
    <w:tbl>
      <w:tblPr>
        <w:tblW w:w="5000" w:type="pct"/>
        <w:tblLook w:val="04A0" w:firstRow="1" w:lastRow="0" w:firstColumn="1" w:lastColumn="0" w:noHBand="0" w:noVBand="1"/>
      </w:tblPr>
      <w:tblGrid>
        <w:gridCol w:w="2079"/>
        <w:gridCol w:w="1052"/>
        <w:gridCol w:w="1621"/>
        <w:gridCol w:w="1336"/>
        <w:gridCol w:w="1622"/>
      </w:tblGrid>
      <w:tr w:rsidR="00892737" w:rsidRPr="00892737" w14:paraId="753B3C50" w14:textId="77777777" w:rsidTr="00E24A34">
        <w:trPr>
          <w:trHeight w:val="251"/>
        </w:trPr>
        <w:tc>
          <w:tcPr>
            <w:tcW w:w="2146" w:type="dxa"/>
            <w:tcBorders>
              <w:top w:val="single" w:sz="4" w:space="0" w:color="auto"/>
              <w:left w:val="nil"/>
              <w:right w:val="nil"/>
            </w:tcBorders>
            <w:shd w:val="clear" w:color="000000" w:fill="FFFFFF"/>
            <w:noWrap/>
            <w:vAlign w:val="center"/>
            <w:hideMark/>
          </w:tcPr>
          <w:p w14:paraId="20A65727" w14:textId="77777777" w:rsidR="00892737" w:rsidRPr="00892737" w:rsidRDefault="00892737" w:rsidP="00892737">
            <w:pPr>
              <w:spacing w:after="0" w:line="240" w:lineRule="auto"/>
              <w:jc w:val="left"/>
              <w:rPr>
                <w:rFonts w:ascii="Arial" w:hAnsi="Arial" w:cs="Arial"/>
                <w:color w:val="auto"/>
                <w:sz w:val="16"/>
                <w:szCs w:val="16"/>
              </w:rPr>
            </w:pPr>
            <w:r w:rsidRPr="00892737">
              <w:rPr>
                <w:rFonts w:ascii="Arial" w:hAnsi="Arial" w:cs="Arial"/>
                <w:color w:val="auto"/>
                <w:sz w:val="16"/>
                <w:szCs w:val="16"/>
              </w:rPr>
              <w:t> </w:t>
            </w:r>
          </w:p>
        </w:tc>
        <w:tc>
          <w:tcPr>
            <w:tcW w:w="2753" w:type="dxa"/>
            <w:gridSpan w:val="2"/>
            <w:tcBorders>
              <w:top w:val="single" w:sz="4" w:space="0" w:color="auto"/>
              <w:left w:val="nil"/>
              <w:bottom w:val="single" w:sz="4" w:space="0" w:color="auto"/>
              <w:right w:val="nil"/>
            </w:tcBorders>
            <w:shd w:val="clear" w:color="000000" w:fill="FFFFFF"/>
            <w:noWrap/>
            <w:vAlign w:val="center"/>
            <w:hideMark/>
          </w:tcPr>
          <w:p w14:paraId="286A42D2" w14:textId="1CF26362" w:rsidR="00892737" w:rsidRPr="00892737" w:rsidRDefault="00892737" w:rsidP="00892737">
            <w:pPr>
              <w:spacing w:after="0" w:line="240" w:lineRule="auto"/>
              <w:jc w:val="center"/>
              <w:rPr>
                <w:rFonts w:ascii="Arial" w:hAnsi="Arial" w:cs="Arial"/>
                <w:color w:val="auto"/>
                <w:sz w:val="16"/>
                <w:szCs w:val="16"/>
              </w:rPr>
            </w:pPr>
            <w:r w:rsidRPr="00892737">
              <w:rPr>
                <w:rFonts w:ascii="Arial" w:hAnsi="Arial" w:cs="Arial"/>
                <w:color w:val="auto"/>
                <w:sz w:val="16"/>
                <w:szCs w:val="16"/>
              </w:rPr>
              <w:t xml:space="preserve"> </w:t>
            </w:r>
            <w:r w:rsidR="00D76ED2">
              <w:rPr>
                <w:rFonts w:ascii="Arial" w:hAnsi="Arial" w:cs="Arial"/>
                <w:color w:val="auto"/>
                <w:sz w:val="16"/>
                <w:szCs w:val="16"/>
              </w:rPr>
              <w:t>2019</w:t>
            </w:r>
            <w:r w:rsidR="00D76ED2">
              <w:rPr>
                <w:rFonts w:ascii="Arial" w:hAnsi="Arial" w:cs="Arial"/>
                <w:color w:val="auto"/>
                <w:sz w:val="16"/>
                <w:szCs w:val="16"/>
              </w:rPr>
              <w:noBreakHyphen/>
              <w:t>20</w:t>
            </w:r>
            <w:r w:rsidRPr="00892737">
              <w:rPr>
                <w:rFonts w:ascii="Arial" w:hAnsi="Arial" w:cs="Arial"/>
                <w:color w:val="auto"/>
                <w:sz w:val="16"/>
                <w:szCs w:val="16"/>
              </w:rPr>
              <w:t xml:space="preserve"> </w:t>
            </w:r>
          </w:p>
        </w:tc>
        <w:tc>
          <w:tcPr>
            <w:tcW w:w="3048" w:type="dxa"/>
            <w:gridSpan w:val="2"/>
            <w:tcBorders>
              <w:top w:val="single" w:sz="4" w:space="0" w:color="auto"/>
              <w:left w:val="nil"/>
              <w:bottom w:val="single" w:sz="4" w:space="0" w:color="auto"/>
              <w:right w:val="nil"/>
            </w:tcBorders>
            <w:shd w:val="clear" w:color="auto" w:fill="E1E8EB"/>
            <w:noWrap/>
            <w:vAlign w:val="center"/>
            <w:hideMark/>
          </w:tcPr>
          <w:p w14:paraId="0F9228FD" w14:textId="1A1FEE66" w:rsidR="00892737" w:rsidRPr="00892737" w:rsidRDefault="00892737" w:rsidP="00892737">
            <w:pPr>
              <w:spacing w:after="0" w:line="240" w:lineRule="auto"/>
              <w:jc w:val="center"/>
              <w:rPr>
                <w:rFonts w:ascii="Arial" w:hAnsi="Arial" w:cs="Arial"/>
                <w:color w:val="auto"/>
                <w:sz w:val="16"/>
                <w:szCs w:val="16"/>
              </w:rPr>
            </w:pPr>
            <w:r w:rsidRPr="00892737">
              <w:rPr>
                <w:rFonts w:ascii="Arial" w:hAnsi="Arial" w:cs="Arial"/>
                <w:color w:val="auto"/>
                <w:sz w:val="16"/>
                <w:szCs w:val="16"/>
              </w:rPr>
              <w:t xml:space="preserve"> </w:t>
            </w:r>
            <w:r w:rsidR="00D76ED2">
              <w:rPr>
                <w:rFonts w:ascii="Arial" w:hAnsi="Arial" w:cs="Arial"/>
                <w:color w:val="auto"/>
                <w:sz w:val="16"/>
                <w:szCs w:val="16"/>
              </w:rPr>
              <w:t>2020</w:t>
            </w:r>
            <w:r w:rsidR="00D76ED2">
              <w:rPr>
                <w:rFonts w:ascii="Arial" w:hAnsi="Arial" w:cs="Arial"/>
                <w:color w:val="auto"/>
                <w:sz w:val="16"/>
                <w:szCs w:val="16"/>
              </w:rPr>
              <w:noBreakHyphen/>
              <w:t>21</w:t>
            </w:r>
            <w:r w:rsidRPr="00892737">
              <w:rPr>
                <w:rFonts w:ascii="Arial" w:hAnsi="Arial" w:cs="Arial"/>
                <w:color w:val="auto"/>
                <w:sz w:val="16"/>
                <w:szCs w:val="16"/>
              </w:rPr>
              <w:t xml:space="preserve"> </w:t>
            </w:r>
          </w:p>
        </w:tc>
      </w:tr>
      <w:tr w:rsidR="00892737" w:rsidRPr="00892737" w14:paraId="1F831E62" w14:textId="77777777" w:rsidTr="00E24A34">
        <w:trPr>
          <w:trHeight w:val="251"/>
        </w:trPr>
        <w:tc>
          <w:tcPr>
            <w:tcW w:w="2146" w:type="dxa"/>
            <w:tcBorders>
              <w:left w:val="nil"/>
              <w:bottom w:val="nil"/>
              <w:right w:val="nil"/>
            </w:tcBorders>
            <w:shd w:val="clear" w:color="000000" w:fill="FFFFFF"/>
            <w:noWrap/>
            <w:vAlign w:val="center"/>
            <w:hideMark/>
          </w:tcPr>
          <w:p w14:paraId="7C85B10F" w14:textId="77777777" w:rsidR="00892737" w:rsidRPr="00892737" w:rsidRDefault="00892737" w:rsidP="00892737">
            <w:pPr>
              <w:spacing w:after="0" w:line="240" w:lineRule="auto"/>
              <w:jc w:val="left"/>
              <w:rPr>
                <w:rFonts w:ascii="Arial" w:hAnsi="Arial" w:cs="Arial"/>
                <w:color w:val="auto"/>
                <w:sz w:val="16"/>
                <w:szCs w:val="16"/>
              </w:rPr>
            </w:pPr>
            <w:r w:rsidRPr="00892737">
              <w:rPr>
                <w:rFonts w:ascii="Arial" w:hAnsi="Arial" w:cs="Arial"/>
                <w:color w:val="auto"/>
                <w:sz w:val="16"/>
                <w:szCs w:val="16"/>
              </w:rPr>
              <w:t> </w:t>
            </w:r>
          </w:p>
        </w:tc>
        <w:tc>
          <w:tcPr>
            <w:tcW w:w="1082" w:type="dxa"/>
            <w:tcBorders>
              <w:top w:val="nil"/>
              <w:left w:val="nil"/>
              <w:bottom w:val="nil"/>
              <w:right w:val="nil"/>
            </w:tcBorders>
            <w:shd w:val="clear" w:color="000000" w:fill="FFFFFF"/>
            <w:noWrap/>
            <w:vAlign w:val="center"/>
            <w:hideMark/>
          </w:tcPr>
          <w:p w14:paraId="2FE69126" w14:textId="77777777" w:rsidR="00892737" w:rsidRPr="00892737" w:rsidRDefault="00892737" w:rsidP="00892737">
            <w:pPr>
              <w:spacing w:after="0" w:line="240" w:lineRule="auto"/>
              <w:jc w:val="right"/>
              <w:rPr>
                <w:rFonts w:ascii="Arial" w:hAnsi="Arial" w:cs="Arial"/>
                <w:color w:val="auto"/>
                <w:sz w:val="16"/>
                <w:szCs w:val="16"/>
              </w:rPr>
            </w:pPr>
            <w:r w:rsidRPr="00892737">
              <w:rPr>
                <w:rFonts w:ascii="Arial" w:hAnsi="Arial" w:cs="Arial"/>
                <w:color w:val="auto"/>
                <w:sz w:val="16"/>
                <w:szCs w:val="16"/>
              </w:rPr>
              <w:t xml:space="preserve"> Zero dollar threshold </w:t>
            </w:r>
          </w:p>
        </w:tc>
        <w:tc>
          <w:tcPr>
            <w:tcW w:w="1671" w:type="dxa"/>
            <w:tcBorders>
              <w:top w:val="nil"/>
              <w:left w:val="nil"/>
              <w:bottom w:val="nil"/>
              <w:right w:val="nil"/>
            </w:tcBorders>
            <w:shd w:val="clear" w:color="000000" w:fill="FFFFFF"/>
            <w:noWrap/>
            <w:vAlign w:val="center"/>
            <w:hideMark/>
          </w:tcPr>
          <w:p w14:paraId="3B5B2CA8" w14:textId="2B26AC29" w:rsidR="00892737" w:rsidRPr="00892737" w:rsidRDefault="00892737" w:rsidP="00892737">
            <w:pPr>
              <w:spacing w:after="0" w:line="240" w:lineRule="auto"/>
              <w:jc w:val="right"/>
              <w:rPr>
                <w:rFonts w:ascii="Arial" w:hAnsi="Arial" w:cs="Arial"/>
                <w:color w:val="auto"/>
                <w:sz w:val="16"/>
                <w:szCs w:val="16"/>
              </w:rPr>
            </w:pPr>
            <w:r w:rsidRPr="00892737">
              <w:rPr>
                <w:rFonts w:ascii="Arial" w:hAnsi="Arial" w:cs="Arial"/>
                <w:color w:val="auto"/>
                <w:sz w:val="16"/>
                <w:szCs w:val="16"/>
              </w:rPr>
              <w:t xml:space="preserve"> Non</w:t>
            </w:r>
            <w:r w:rsidR="003E7C79">
              <w:rPr>
                <w:rFonts w:ascii="Arial" w:hAnsi="Arial" w:cs="Arial"/>
                <w:color w:val="auto"/>
                <w:sz w:val="16"/>
                <w:szCs w:val="16"/>
              </w:rPr>
              <w:t>–</w:t>
            </w:r>
            <w:r w:rsidRPr="00892737">
              <w:rPr>
                <w:rFonts w:ascii="Arial" w:hAnsi="Arial" w:cs="Arial"/>
                <w:color w:val="auto"/>
                <w:sz w:val="16"/>
                <w:szCs w:val="16"/>
              </w:rPr>
              <w:t xml:space="preserve">zero dollar threshold </w:t>
            </w:r>
          </w:p>
        </w:tc>
        <w:tc>
          <w:tcPr>
            <w:tcW w:w="1376" w:type="dxa"/>
            <w:tcBorders>
              <w:top w:val="nil"/>
              <w:left w:val="nil"/>
              <w:bottom w:val="nil"/>
              <w:right w:val="nil"/>
            </w:tcBorders>
            <w:shd w:val="clear" w:color="auto" w:fill="E1E8EB"/>
            <w:noWrap/>
            <w:vAlign w:val="center"/>
            <w:hideMark/>
          </w:tcPr>
          <w:p w14:paraId="33CCF84E" w14:textId="77777777" w:rsidR="00892737" w:rsidRPr="00892737" w:rsidRDefault="00892737" w:rsidP="00892737">
            <w:pPr>
              <w:spacing w:after="0" w:line="240" w:lineRule="auto"/>
              <w:jc w:val="right"/>
              <w:rPr>
                <w:rFonts w:ascii="Arial" w:hAnsi="Arial" w:cs="Arial"/>
                <w:color w:val="auto"/>
                <w:sz w:val="16"/>
                <w:szCs w:val="16"/>
              </w:rPr>
            </w:pPr>
            <w:r w:rsidRPr="00892737">
              <w:rPr>
                <w:rFonts w:ascii="Arial" w:hAnsi="Arial" w:cs="Arial"/>
                <w:color w:val="auto"/>
                <w:sz w:val="16"/>
                <w:szCs w:val="16"/>
              </w:rPr>
              <w:t xml:space="preserve"> Zero dollar threshold </w:t>
            </w:r>
          </w:p>
        </w:tc>
        <w:tc>
          <w:tcPr>
            <w:tcW w:w="1672" w:type="dxa"/>
            <w:tcBorders>
              <w:top w:val="nil"/>
              <w:left w:val="nil"/>
              <w:bottom w:val="nil"/>
              <w:right w:val="nil"/>
            </w:tcBorders>
            <w:shd w:val="clear" w:color="auto" w:fill="E1E8EB"/>
            <w:noWrap/>
            <w:vAlign w:val="center"/>
            <w:hideMark/>
          </w:tcPr>
          <w:p w14:paraId="595EA8EB" w14:textId="036763A1" w:rsidR="00892737" w:rsidRPr="00892737" w:rsidRDefault="00892737" w:rsidP="00892737">
            <w:pPr>
              <w:spacing w:after="0" w:line="240" w:lineRule="auto"/>
              <w:jc w:val="right"/>
              <w:rPr>
                <w:rFonts w:ascii="Arial" w:hAnsi="Arial" w:cs="Arial"/>
                <w:color w:val="auto"/>
                <w:sz w:val="16"/>
                <w:szCs w:val="16"/>
              </w:rPr>
            </w:pPr>
            <w:r w:rsidRPr="00892737">
              <w:rPr>
                <w:rFonts w:ascii="Arial" w:hAnsi="Arial" w:cs="Arial"/>
                <w:color w:val="auto"/>
                <w:sz w:val="16"/>
                <w:szCs w:val="16"/>
              </w:rPr>
              <w:t xml:space="preserve"> Non</w:t>
            </w:r>
            <w:r w:rsidR="003E7C79">
              <w:rPr>
                <w:rFonts w:ascii="Arial" w:hAnsi="Arial" w:cs="Arial"/>
                <w:color w:val="auto"/>
                <w:sz w:val="16"/>
                <w:szCs w:val="16"/>
              </w:rPr>
              <w:t>–</w:t>
            </w:r>
            <w:r w:rsidRPr="00892737">
              <w:rPr>
                <w:rFonts w:ascii="Arial" w:hAnsi="Arial" w:cs="Arial"/>
                <w:color w:val="auto"/>
                <w:sz w:val="16"/>
                <w:szCs w:val="16"/>
              </w:rPr>
              <w:t xml:space="preserve">zero dollar threshold </w:t>
            </w:r>
          </w:p>
        </w:tc>
      </w:tr>
      <w:tr w:rsidR="00892737" w:rsidRPr="00892737" w14:paraId="00089312" w14:textId="77777777" w:rsidTr="00E24A34">
        <w:trPr>
          <w:trHeight w:val="251"/>
        </w:trPr>
        <w:tc>
          <w:tcPr>
            <w:tcW w:w="2146" w:type="dxa"/>
            <w:tcBorders>
              <w:top w:val="nil"/>
              <w:left w:val="nil"/>
              <w:bottom w:val="single" w:sz="4" w:space="0" w:color="000000"/>
              <w:right w:val="nil"/>
            </w:tcBorders>
            <w:shd w:val="clear" w:color="000000" w:fill="FFFFFF"/>
            <w:noWrap/>
            <w:vAlign w:val="bottom"/>
            <w:hideMark/>
          </w:tcPr>
          <w:p w14:paraId="0431555F" w14:textId="77777777" w:rsidR="00892737" w:rsidRPr="00892737" w:rsidRDefault="00892737" w:rsidP="00892737">
            <w:pPr>
              <w:spacing w:after="0" w:line="240" w:lineRule="auto"/>
              <w:jc w:val="left"/>
              <w:rPr>
                <w:rFonts w:ascii="Arial" w:hAnsi="Arial" w:cs="Arial"/>
                <w:color w:val="auto"/>
                <w:sz w:val="16"/>
                <w:szCs w:val="16"/>
              </w:rPr>
            </w:pPr>
            <w:r w:rsidRPr="00892737">
              <w:rPr>
                <w:rFonts w:ascii="Arial" w:hAnsi="Arial" w:cs="Arial"/>
                <w:color w:val="auto"/>
                <w:sz w:val="16"/>
                <w:szCs w:val="16"/>
              </w:rPr>
              <w:t xml:space="preserve"> Outcome </w:t>
            </w:r>
          </w:p>
        </w:tc>
        <w:tc>
          <w:tcPr>
            <w:tcW w:w="1082" w:type="dxa"/>
            <w:tcBorders>
              <w:top w:val="nil"/>
              <w:left w:val="nil"/>
              <w:bottom w:val="single" w:sz="4" w:space="0" w:color="auto"/>
              <w:right w:val="nil"/>
            </w:tcBorders>
            <w:shd w:val="clear" w:color="000000" w:fill="FFFFFF"/>
            <w:noWrap/>
            <w:vAlign w:val="center"/>
            <w:hideMark/>
          </w:tcPr>
          <w:p w14:paraId="73A4C0BA" w14:textId="77777777" w:rsidR="00892737" w:rsidRPr="00892737" w:rsidRDefault="00892737" w:rsidP="00892737">
            <w:pPr>
              <w:spacing w:after="0" w:line="240" w:lineRule="auto"/>
              <w:jc w:val="right"/>
              <w:rPr>
                <w:rFonts w:ascii="Arial" w:hAnsi="Arial" w:cs="Arial"/>
                <w:sz w:val="16"/>
                <w:szCs w:val="16"/>
              </w:rPr>
            </w:pPr>
            <w:r w:rsidRPr="00892737">
              <w:rPr>
                <w:rFonts w:ascii="Arial" w:hAnsi="Arial" w:cs="Arial"/>
                <w:sz w:val="16"/>
                <w:szCs w:val="16"/>
              </w:rPr>
              <w:t>$b</w:t>
            </w:r>
          </w:p>
        </w:tc>
        <w:tc>
          <w:tcPr>
            <w:tcW w:w="1671" w:type="dxa"/>
            <w:tcBorders>
              <w:top w:val="nil"/>
              <w:left w:val="nil"/>
              <w:bottom w:val="single" w:sz="4" w:space="0" w:color="auto"/>
              <w:right w:val="nil"/>
            </w:tcBorders>
            <w:shd w:val="clear" w:color="000000" w:fill="FFFFFF"/>
            <w:noWrap/>
            <w:vAlign w:val="center"/>
            <w:hideMark/>
          </w:tcPr>
          <w:p w14:paraId="128287A6" w14:textId="77777777" w:rsidR="00892737" w:rsidRPr="00892737" w:rsidRDefault="00892737" w:rsidP="00892737">
            <w:pPr>
              <w:spacing w:after="0" w:line="240" w:lineRule="auto"/>
              <w:jc w:val="right"/>
              <w:rPr>
                <w:rFonts w:ascii="Arial" w:hAnsi="Arial" w:cs="Arial"/>
                <w:sz w:val="16"/>
                <w:szCs w:val="16"/>
              </w:rPr>
            </w:pPr>
            <w:r w:rsidRPr="00892737">
              <w:rPr>
                <w:rFonts w:ascii="Arial" w:hAnsi="Arial" w:cs="Arial"/>
                <w:sz w:val="16"/>
                <w:szCs w:val="16"/>
              </w:rPr>
              <w:t>$b</w:t>
            </w:r>
          </w:p>
        </w:tc>
        <w:tc>
          <w:tcPr>
            <w:tcW w:w="1376" w:type="dxa"/>
            <w:tcBorders>
              <w:top w:val="nil"/>
              <w:left w:val="nil"/>
              <w:bottom w:val="single" w:sz="4" w:space="0" w:color="auto"/>
              <w:right w:val="nil"/>
            </w:tcBorders>
            <w:shd w:val="clear" w:color="auto" w:fill="E1E8EB"/>
            <w:noWrap/>
            <w:vAlign w:val="center"/>
            <w:hideMark/>
          </w:tcPr>
          <w:p w14:paraId="349AAA52" w14:textId="77777777" w:rsidR="00892737" w:rsidRPr="00892737" w:rsidRDefault="00892737" w:rsidP="00892737">
            <w:pPr>
              <w:spacing w:after="0" w:line="240" w:lineRule="auto"/>
              <w:jc w:val="right"/>
              <w:rPr>
                <w:rFonts w:ascii="Arial" w:hAnsi="Arial" w:cs="Arial"/>
                <w:sz w:val="16"/>
                <w:szCs w:val="16"/>
              </w:rPr>
            </w:pPr>
            <w:r w:rsidRPr="00892737">
              <w:rPr>
                <w:rFonts w:ascii="Arial" w:hAnsi="Arial" w:cs="Arial"/>
                <w:sz w:val="16"/>
                <w:szCs w:val="16"/>
              </w:rPr>
              <w:t>$b</w:t>
            </w:r>
          </w:p>
        </w:tc>
        <w:tc>
          <w:tcPr>
            <w:tcW w:w="1672" w:type="dxa"/>
            <w:tcBorders>
              <w:top w:val="nil"/>
              <w:left w:val="nil"/>
              <w:bottom w:val="single" w:sz="4" w:space="0" w:color="auto"/>
              <w:right w:val="nil"/>
            </w:tcBorders>
            <w:shd w:val="clear" w:color="auto" w:fill="E1E8EB"/>
            <w:noWrap/>
            <w:vAlign w:val="center"/>
            <w:hideMark/>
          </w:tcPr>
          <w:p w14:paraId="2C84DC6A" w14:textId="77777777" w:rsidR="00892737" w:rsidRPr="00892737" w:rsidRDefault="00892737" w:rsidP="00892737">
            <w:pPr>
              <w:spacing w:after="0" w:line="240" w:lineRule="auto"/>
              <w:jc w:val="right"/>
              <w:rPr>
                <w:rFonts w:ascii="Arial" w:hAnsi="Arial" w:cs="Arial"/>
                <w:sz w:val="16"/>
                <w:szCs w:val="16"/>
              </w:rPr>
            </w:pPr>
            <w:r w:rsidRPr="00892737">
              <w:rPr>
                <w:rFonts w:ascii="Arial" w:hAnsi="Arial" w:cs="Arial"/>
                <w:sz w:val="16"/>
                <w:szCs w:val="16"/>
              </w:rPr>
              <w:t>$b</w:t>
            </w:r>
          </w:p>
        </w:tc>
      </w:tr>
      <w:tr w:rsidR="00892737" w:rsidRPr="00892737" w14:paraId="64ECA1F9" w14:textId="77777777" w:rsidTr="00E24A34">
        <w:trPr>
          <w:trHeight w:val="251"/>
        </w:trPr>
        <w:tc>
          <w:tcPr>
            <w:tcW w:w="2146" w:type="dxa"/>
            <w:tcBorders>
              <w:top w:val="nil"/>
              <w:left w:val="nil"/>
              <w:bottom w:val="nil"/>
              <w:right w:val="nil"/>
            </w:tcBorders>
            <w:shd w:val="clear" w:color="000000" w:fill="FFFFFF"/>
            <w:noWrap/>
            <w:vAlign w:val="bottom"/>
            <w:hideMark/>
          </w:tcPr>
          <w:p w14:paraId="63FED4BB" w14:textId="77777777" w:rsidR="00892737" w:rsidRPr="00892737" w:rsidRDefault="00892737" w:rsidP="00892737">
            <w:pPr>
              <w:spacing w:after="0" w:line="240" w:lineRule="auto"/>
              <w:jc w:val="left"/>
              <w:rPr>
                <w:rFonts w:ascii="Arial" w:hAnsi="Arial" w:cs="Arial"/>
                <w:color w:val="auto"/>
                <w:sz w:val="16"/>
                <w:szCs w:val="16"/>
              </w:rPr>
            </w:pPr>
            <w:r w:rsidRPr="00892737">
              <w:rPr>
                <w:rFonts w:ascii="Arial" w:hAnsi="Arial" w:cs="Arial"/>
                <w:color w:val="auto"/>
                <w:sz w:val="16"/>
                <w:szCs w:val="16"/>
              </w:rPr>
              <w:t> </w:t>
            </w:r>
          </w:p>
        </w:tc>
        <w:tc>
          <w:tcPr>
            <w:tcW w:w="1082" w:type="dxa"/>
            <w:tcBorders>
              <w:top w:val="nil"/>
              <w:left w:val="nil"/>
              <w:bottom w:val="nil"/>
              <w:right w:val="nil"/>
            </w:tcBorders>
            <w:shd w:val="clear" w:color="000000" w:fill="FFFFFF"/>
            <w:noWrap/>
            <w:vAlign w:val="bottom"/>
            <w:hideMark/>
          </w:tcPr>
          <w:p w14:paraId="4233F6CE" w14:textId="77777777" w:rsidR="00892737" w:rsidRPr="00892737" w:rsidRDefault="00892737" w:rsidP="00892737">
            <w:pPr>
              <w:spacing w:after="0" w:line="240" w:lineRule="auto"/>
              <w:jc w:val="right"/>
              <w:rPr>
                <w:rFonts w:ascii="Arial" w:hAnsi="Arial" w:cs="Arial"/>
                <w:color w:val="auto"/>
                <w:sz w:val="16"/>
                <w:szCs w:val="16"/>
              </w:rPr>
            </w:pPr>
            <w:r w:rsidRPr="00892737">
              <w:rPr>
                <w:rFonts w:ascii="Arial" w:hAnsi="Arial" w:cs="Arial"/>
                <w:color w:val="auto"/>
                <w:sz w:val="16"/>
                <w:szCs w:val="16"/>
              </w:rPr>
              <w:t> </w:t>
            </w:r>
          </w:p>
        </w:tc>
        <w:tc>
          <w:tcPr>
            <w:tcW w:w="1671" w:type="dxa"/>
            <w:tcBorders>
              <w:top w:val="nil"/>
              <w:left w:val="nil"/>
              <w:bottom w:val="nil"/>
              <w:right w:val="nil"/>
            </w:tcBorders>
            <w:shd w:val="clear" w:color="000000" w:fill="FFFFFF"/>
            <w:noWrap/>
            <w:vAlign w:val="bottom"/>
            <w:hideMark/>
          </w:tcPr>
          <w:p w14:paraId="5E902163" w14:textId="77777777" w:rsidR="00892737" w:rsidRPr="00892737" w:rsidRDefault="00892737" w:rsidP="00892737">
            <w:pPr>
              <w:spacing w:after="0" w:line="240" w:lineRule="auto"/>
              <w:jc w:val="right"/>
              <w:rPr>
                <w:rFonts w:ascii="Arial" w:hAnsi="Arial" w:cs="Arial"/>
                <w:color w:val="auto"/>
                <w:sz w:val="16"/>
                <w:szCs w:val="16"/>
              </w:rPr>
            </w:pPr>
            <w:r w:rsidRPr="00892737">
              <w:rPr>
                <w:rFonts w:ascii="Arial" w:hAnsi="Arial" w:cs="Arial"/>
                <w:color w:val="auto"/>
                <w:sz w:val="16"/>
                <w:szCs w:val="16"/>
              </w:rPr>
              <w:t> </w:t>
            </w:r>
          </w:p>
        </w:tc>
        <w:tc>
          <w:tcPr>
            <w:tcW w:w="1376" w:type="dxa"/>
            <w:tcBorders>
              <w:top w:val="nil"/>
              <w:left w:val="nil"/>
              <w:bottom w:val="nil"/>
              <w:right w:val="nil"/>
            </w:tcBorders>
            <w:shd w:val="clear" w:color="auto" w:fill="E1E8EB"/>
            <w:noWrap/>
            <w:vAlign w:val="bottom"/>
            <w:hideMark/>
          </w:tcPr>
          <w:p w14:paraId="5A5DCA06" w14:textId="77777777" w:rsidR="00892737" w:rsidRPr="00892737" w:rsidRDefault="00892737" w:rsidP="00892737">
            <w:pPr>
              <w:spacing w:after="0" w:line="240" w:lineRule="auto"/>
              <w:jc w:val="right"/>
              <w:rPr>
                <w:rFonts w:ascii="Arial" w:hAnsi="Arial" w:cs="Arial"/>
                <w:sz w:val="16"/>
                <w:szCs w:val="16"/>
              </w:rPr>
            </w:pPr>
            <w:r w:rsidRPr="00892737">
              <w:rPr>
                <w:rFonts w:ascii="Arial" w:hAnsi="Arial" w:cs="Arial"/>
                <w:sz w:val="16"/>
                <w:szCs w:val="16"/>
              </w:rPr>
              <w:t> </w:t>
            </w:r>
          </w:p>
        </w:tc>
        <w:tc>
          <w:tcPr>
            <w:tcW w:w="1672" w:type="dxa"/>
            <w:tcBorders>
              <w:top w:val="nil"/>
              <w:left w:val="nil"/>
              <w:bottom w:val="nil"/>
              <w:right w:val="nil"/>
            </w:tcBorders>
            <w:shd w:val="clear" w:color="auto" w:fill="E1E8EB"/>
            <w:noWrap/>
            <w:vAlign w:val="bottom"/>
            <w:hideMark/>
          </w:tcPr>
          <w:p w14:paraId="5B1C3A12" w14:textId="77777777" w:rsidR="00892737" w:rsidRPr="00892737" w:rsidRDefault="00892737" w:rsidP="00892737">
            <w:pPr>
              <w:spacing w:after="0" w:line="240" w:lineRule="auto"/>
              <w:jc w:val="right"/>
              <w:rPr>
                <w:rFonts w:ascii="Arial" w:hAnsi="Arial" w:cs="Arial"/>
                <w:sz w:val="16"/>
                <w:szCs w:val="16"/>
              </w:rPr>
            </w:pPr>
            <w:r w:rsidRPr="00892737">
              <w:rPr>
                <w:rFonts w:ascii="Arial" w:hAnsi="Arial" w:cs="Arial"/>
                <w:sz w:val="16"/>
                <w:szCs w:val="16"/>
              </w:rPr>
              <w:t> </w:t>
            </w:r>
          </w:p>
        </w:tc>
      </w:tr>
      <w:tr w:rsidR="0007600B" w:rsidRPr="00892737" w14:paraId="719E2358" w14:textId="77777777" w:rsidTr="00E24A34">
        <w:trPr>
          <w:trHeight w:val="251"/>
        </w:trPr>
        <w:tc>
          <w:tcPr>
            <w:tcW w:w="2146" w:type="dxa"/>
            <w:tcBorders>
              <w:top w:val="nil"/>
              <w:left w:val="nil"/>
              <w:bottom w:val="nil"/>
              <w:right w:val="nil"/>
            </w:tcBorders>
            <w:shd w:val="clear" w:color="000000" w:fill="FFFFFF"/>
            <w:noWrap/>
            <w:vAlign w:val="center"/>
            <w:hideMark/>
          </w:tcPr>
          <w:p w14:paraId="650EBAB3" w14:textId="77777777" w:rsidR="0007600B" w:rsidRPr="00892737" w:rsidRDefault="0007600B" w:rsidP="0007600B">
            <w:pPr>
              <w:spacing w:after="0" w:line="240" w:lineRule="auto"/>
              <w:jc w:val="left"/>
              <w:rPr>
                <w:rFonts w:ascii="Arial" w:hAnsi="Arial" w:cs="Arial"/>
                <w:color w:val="auto"/>
                <w:sz w:val="16"/>
                <w:szCs w:val="16"/>
              </w:rPr>
            </w:pPr>
            <w:r w:rsidRPr="00892737">
              <w:rPr>
                <w:rFonts w:ascii="Arial" w:hAnsi="Arial" w:cs="Arial"/>
                <w:color w:val="auto"/>
                <w:sz w:val="16"/>
                <w:szCs w:val="16"/>
              </w:rPr>
              <w:t xml:space="preserve"> Approved without conditions </w:t>
            </w:r>
          </w:p>
        </w:tc>
        <w:tc>
          <w:tcPr>
            <w:tcW w:w="1082" w:type="dxa"/>
            <w:tcBorders>
              <w:top w:val="nil"/>
              <w:left w:val="nil"/>
              <w:bottom w:val="nil"/>
              <w:right w:val="nil"/>
            </w:tcBorders>
            <w:shd w:val="clear" w:color="000000" w:fill="FFFFFF"/>
            <w:noWrap/>
            <w:vAlign w:val="center"/>
            <w:hideMark/>
          </w:tcPr>
          <w:p w14:paraId="011D5ECA" w14:textId="77777777" w:rsidR="0007600B" w:rsidRPr="00892737" w:rsidRDefault="0007600B" w:rsidP="0007600B">
            <w:pPr>
              <w:spacing w:after="0" w:line="240" w:lineRule="auto"/>
              <w:jc w:val="right"/>
              <w:rPr>
                <w:rFonts w:ascii="Arial" w:hAnsi="Arial" w:cs="Arial"/>
                <w:color w:val="auto"/>
                <w:sz w:val="16"/>
                <w:szCs w:val="16"/>
              </w:rPr>
            </w:pPr>
            <w:r w:rsidRPr="00892737">
              <w:rPr>
                <w:rFonts w:ascii="Arial" w:hAnsi="Arial" w:cs="Arial"/>
                <w:color w:val="auto"/>
                <w:sz w:val="16"/>
                <w:szCs w:val="16"/>
              </w:rPr>
              <w:t>2.2</w:t>
            </w:r>
          </w:p>
        </w:tc>
        <w:tc>
          <w:tcPr>
            <w:tcW w:w="1671" w:type="dxa"/>
            <w:tcBorders>
              <w:top w:val="nil"/>
              <w:left w:val="nil"/>
              <w:bottom w:val="nil"/>
              <w:right w:val="nil"/>
            </w:tcBorders>
            <w:shd w:val="clear" w:color="000000" w:fill="FFFFFF"/>
            <w:noWrap/>
            <w:vAlign w:val="center"/>
            <w:hideMark/>
          </w:tcPr>
          <w:p w14:paraId="5ECA253A" w14:textId="77777777" w:rsidR="0007600B" w:rsidRPr="00892737" w:rsidRDefault="0007600B" w:rsidP="0007600B">
            <w:pPr>
              <w:spacing w:after="0" w:line="240" w:lineRule="auto"/>
              <w:jc w:val="right"/>
              <w:rPr>
                <w:rFonts w:ascii="Arial" w:hAnsi="Arial" w:cs="Arial"/>
                <w:color w:val="auto"/>
                <w:sz w:val="16"/>
                <w:szCs w:val="16"/>
              </w:rPr>
            </w:pPr>
            <w:r w:rsidRPr="00892737">
              <w:rPr>
                <w:rFonts w:ascii="Arial" w:hAnsi="Arial" w:cs="Arial"/>
                <w:color w:val="auto"/>
                <w:sz w:val="16"/>
                <w:szCs w:val="16"/>
              </w:rPr>
              <w:t>54.3</w:t>
            </w:r>
          </w:p>
        </w:tc>
        <w:tc>
          <w:tcPr>
            <w:tcW w:w="1376" w:type="dxa"/>
            <w:tcBorders>
              <w:top w:val="nil"/>
              <w:left w:val="nil"/>
              <w:bottom w:val="nil"/>
              <w:right w:val="nil"/>
            </w:tcBorders>
            <w:shd w:val="clear" w:color="auto" w:fill="E1E8EB"/>
            <w:noWrap/>
            <w:vAlign w:val="bottom"/>
            <w:hideMark/>
          </w:tcPr>
          <w:p w14:paraId="0C03049B" w14:textId="394CB64E" w:rsidR="0007600B" w:rsidRPr="00892737" w:rsidRDefault="0007600B" w:rsidP="0007600B">
            <w:pPr>
              <w:spacing w:after="0" w:line="240" w:lineRule="auto"/>
              <w:jc w:val="right"/>
              <w:rPr>
                <w:rFonts w:ascii="Arial" w:hAnsi="Arial" w:cs="Arial"/>
                <w:color w:val="auto"/>
                <w:sz w:val="16"/>
                <w:szCs w:val="16"/>
              </w:rPr>
            </w:pPr>
            <w:r w:rsidRPr="004B6C22">
              <w:rPr>
                <w:rFonts w:ascii="Arial" w:hAnsi="Arial" w:cs="Arial"/>
                <w:sz w:val="16"/>
                <w:szCs w:val="16"/>
              </w:rPr>
              <w:t>9.9</w:t>
            </w:r>
          </w:p>
        </w:tc>
        <w:tc>
          <w:tcPr>
            <w:tcW w:w="1672" w:type="dxa"/>
            <w:tcBorders>
              <w:top w:val="nil"/>
              <w:left w:val="nil"/>
              <w:bottom w:val="nil"/>
              <w:right w:val="nil"/>
            </w:tcBorders>
            <w:shd w:val="clear" w:color="auto" w:fill="E1E8EB"/>
            <w:noWrap/>
            <w:vAlign w:val="bottom"/>
            <w:hideMark/>
          </w:tcPr>
          <w:p w14:paraId="6AD467C7" w14:textId="37CC7FF1" w:rsidR="0007600B" w:rsidRPr="00892737" w:rsidRDefault="0007600B" w:rsidP="0007600B">
            <w:pPr>
              <w:spacing w:after="0" w:line="240" w:lineRule="auto"/>
              <w:jc w:val="right"/>
              <w:rPr>
                <w:rFonts w:ascii="Arial" w:hAnsi="Arial" w:cs="Arial"/>
                <w:color w:val="auto"/>
                <w:sz w:val="16"/>
                <w:szCs w:val="16"/>
              </w:rPr>
            </w:pPr>
            <w:r w:rsidRPr="004B6C22">
              <w:rPr>
                <w:rFonts w:ascii="Arial" w:hAnsi="Arial" w:cs="Arial"/>
                <w:sz w:val="16"/>
                <w:szCs w:val="16"/>
              </w:rPr>
              <w:t>56.1</w:t>
            </w:r>
          </w:p>
        </w:tc>
      </w:tr>
      <w:tr w:rsidR="0007600B" w:rsidRPr="00892737" w14:paraId="495CA0ED" w14:textId="77777777" w:rsidTr="00E24A34">
        <w:trPr>
          <w:trHeight w:val="251"/>
        </w:trPr>
        <w:tc>
          <w:tcPr>
            <w:tcW w:w="2146" w:type="dxa"/>
            <w:tcBorders>
              <w:top w:val="nil"/>
              <w:left w:val="nil"/>
              <w:bottom w:val="nil"/>
              <w:right w:val="nil"/>
            </w:tcBorders>
            <w:shd w:val="clear" w:color="000000" w:fill="FFFFFF"/>
            <w:noWrap/>
            <w:vAlign w:val="center"/>
            <w:hideMark/>
          </w:tcPr>
          <w:p w14:paraId="5ABED018" w14:textId="77777777" w:rsidR="0007600B" w:rsidRPr="00892737" w:rsidRDefault="0007600B" w:rsidP="0007600B">
            <w:pPr>
              <w:spacing w:after="0" w:line="240" w:lineRule="auto"/>
              <w:jc w:val="left"/>
              <w:rPr>
                <w:rFonts w:ascii="Arial" w:hAnsi="Arial" w:cs="Arial"/>
                <w:color w:val="auto"/>
                <w:sz w:val="16"/>
                <w:szCs w:val="16"/>
              </w:rPr>
            </w:pPr>
            <w:r w:rsidRPr="00892737">
              <w:rPr>
                <w:rFonts w:ascii="Arial" w:hAnsi="Arial" w:cs="Arial"/>
                <w:color w:val="auto"/>
                <w:sz w:val="16"/>
                <w:szCs w:val="16"/>
              </w:rPr>
              <w:t xml:space="preserve"> Approved with conditions </w:t>
            </w:r>
          </w:p>
        </w:tc>
        <w:tc>
          <w:tcPr>
            <w:tcW w:w="1082" w:type="dxa"/>
            <w:tcBorders>
              <w:top w:val="nil"/>
              <w:left w:val="nil"/>
              <w:bottom w:val="single" w:sz="4" w:space="0" w:color="auto"/>
              <w:right w:val="nil"/>
            </w:tcBorders>
            <w:shd w:val="clear" w:color="000000" w:fill="FFFFFF"/>
            <w:noWrap/>
            <w:vAlign w:val="center"/>
            <w:hideMark/>
          </w:tcPr>
          <w:p w14:paraId="6541FC90" w14:textId="77777777" w:rsidR="0007600B" w:rsidRPr="00892737" w:rsidRDefault="0007600B" w:rsidP="0007600B">
            <w:pPr>
              <w:spacing w:after="0" w:line="240" w:lineRule="auto"/>
              <w:jc w:val="right"/>
              <w:rPr>
                <w:rFonts w:ascii="Arial" w:hAnsi="Arial" w:cs="Arial"/>
                <w:color w:val="auto"/>
                <w:sz w:val="16"/>
                <w:szCs w:val="16"/>
              </w:rPr>
            </w:pPr>
            <w:r w:rsidRPr="00892737">
              <w:rPr>
                <w:rFonts w:ascii="Arial" w:hAnsi="Arial" w:cs="Arial"/>
                <w:color w:val="auto"/>
                <w:sz w:val="16"/>
                <w:szCs w:val="16"/>
              </w:rPr>
              <w:t>0.5</w:t>
            </w:r>
          </w:p>
        </w:tc>
        <w:tc>
          <w:tcPr>
            <w:tcW w:w="1671" w:type="dxa"/>
            <w:tcBorders>
              <w:top w:val="nil"/>
              <w:left w:val="nil"/>
              <w:bottom w:val="single" w:sz="4" w:space="0" w:color="auto"/>
              <w:right w:val="nil"/>
            </w:tcBorders>
            <w:shd w:val="clear" w:color="000000" w:fill="FFFFFF"/>
            <w:noWrap/>
            <w:vAlign w:val="center"/>
            <w:hideMark/>
          </w:tcPr>
          <w:p w14:paraId="2F8303F8" w14:textId="77777777" w:rsidR="0007600B" w:rsidRPr="00892737" w:rsidRDefault="0007600B" w:rsidP="0007600B">
            <w:pPr>
              <w:spacing w:after="0" w:line="240" w:lineRule="auto"/>
              <w:jc w:val="right"/>
              <w:rPr>
                <w:rFonts w:ascii="Arial" w:hAnsi="Arial" w:cs="Arial"/>
                <w:color w:val="auto"/>
                <w:sz w:val="16"/>
                <w:szCs w:val="16"/>
              </w:rPr>
            </w:pPr>
            <w:r w:rsidRPr="00892737">
              <w:rPr>
                <w:rFonts w:ascii="Arial" w:hAnsi="Arial" w:cs="Arial"/>
                <w:color w:val="auto"/>
                <w:sz w:val="16"/>
                <w:szCs w:val="16"/>
              </w:rPr>
              <w:t>138.5</w:t>
            </w:r>
          </w:p>
        </w:tc>
        <w:tc>
          <w:tcPr>
            <w:tcW w:w="1376" w:type="dxa"/>
            <w:tcBorders>
              <w:top w:val="nil"/>
              <w:left w:val="nil"/>
              <w:bottom w:val="single" w:sz="4" w:space="0" w:color="auto"/>
              <w:right w:val="nil"/>
            </w:tcBorders>
            <w:shd w:val="clear" w:color="auto" w:fill="E1E8EB"/>
            <w:noWrap/>
            <w:vAlign w:val="bottom"/>
            <w:hideMark/>
          </w:tcPr>
          <w:p w14:paraId="503C0AE6" w14:textId="4EFAA0AE" w:rsidR="0007600B" w:rsidRPr="00892737" w:rsidRDefault="0007600B" w:rsidP="0007600B">
            <w:pPr>
              <w:spacing w:after="0" w:line="240" w:lineRule="auto"/>
              <w:jc w:val="right"/>
              <w:rPr>
                <w:rFonts w:ascii="Arial" w:hAnsi="Arial" w:cs="Arial"/>
                <w:color w:val="auto"/>
                <w:sz w:val="16"/>
                <w:szCs w:val="16"/>
              </w:rPr>
            </w:pPr>
            <w:r w:rsidRPr="004B6C22">
              <w:rPr>
                <w:rFonts w:ascii="Arial" w:hAnsi="Arial" w:cs="Arial"/>
                <w:sz w:val="16"/>
                <w:szCs w:val="16"/>
              </w:rPr>
              <w:t>4.6</w:t>
            </w:r>
          </w:p>
        </w:tc>
        <w:tc>
          <w:tcPr>
            <w:tcW w:w="1672" w:type="dxa"/>
            <w:tcBorders>
              <w:top w:val="nil"/>
              <w:left w:val="nil"/>
              <w:bottom w:val="single" w:sz="4" w:space="0" w:color="auto"/>
              <w:right w:val="nil"/>
            </w:tcBorders>
            <w:shd w:val="clear" w:color="auto" w:fill="E1E8EB"/>
            <w:noWrap/>
            <w:vAlign w:val="bottom"/>
            <w:hideMark/>
          </w:tcPr>
          <w:p w14:paraId="2A7AF02C" w14:textId="3B551B5D" w:rsidR="0007600B" w:rsidRPr="00892737" w:rsidRDefault="0007600B" w:rsidP="0007600B">
            <w:pPr>
              <w:spacing w:after="0" w:line="240" w:lineRule="auto"/>
              <w:jc w:val="right"/>
              <w:rPr>
                <w:rFonts w:ascii="Arial" w:hAnsi="Arial" w:cs="Arial"/>
                <w:color w:val="auto"/>
                <w:sz w:val="16"/>
                <w:szCs w:val="16"/>
              </w:rPr>
            </w:pPr>
            <w:r w:rsidRPr="004B6C22">
              <w:rPr>
                <w:rFonts w:ascii="Arial" w:hAnsi="Arial" w:cs="Arial"/>
                <w:sz w:val="16"/>
                <w:szCs w:val="16"/>
              </w:rPr>
              <w:t>162.4</w:t>
            </w:r>
          </w:p>
        </w:tc>
      </w:tr>
      <w:tr w:rsidR="0007600B" w:rsidRPr="00892737" w14:paraId="26C7B9DB" w14:textId="77777777" w:rsidTr="00E24A34">
        <w:trPr>
          <w:trHeight w:val="251"/>
        </w:trPr>
        <w:tc>
          <w:tcPr>
            <w:tcW w:w="2146" w:type="dxa"/>
            <w:tcBorders>
              <w:top w:val="nil"/>
              <w:left w:val="nil"/>
              <w:bottom w:val="nil"/>
              <w:right w:val="nil"/>
            </w:tcBorders>
            <w:shd w:val="clear" w:color="000000" w:fill="FFFFFF"/>
            <w:noWrap/>
            <w:vAlign w:val="center"/>
            <w:hideMark/>
          </w:tcPr>
          <w:p w14:paraId="01966EE1" w14:textId="77777777" w:rsidR="0007600B" w:rsidRPr="00892737" w:rsidRDefault="0007600B" w:rsidP="0007600B">
            <w:pPr>
              <w:spacing w:after="0" w:line="240" w:lineRule="auto"/>
              <w:jc w:val="left"/>
              <w:rPr>
                <w:rFonts w:ascii="Arial" w:hAnsi="Arial" w:cs="Arial"/>
                <w:b/>
                <w:bCs/>
                <w:color w:val="auto"/>
                <w:sz w:val="16"/>
                <w:szCs w:val="16"/>
              </w:rPr>
            </w:pPr>
            <w:r w:rsidRPr="00892737">
              <w:rPr>
                <w:rFonts w:ascii="Arial" w:hAnsi="Arial" w:cs="Arial"/>
                <w:b/>
                <w:bCs/>
                <w:color w:val="auto"/>
                <w:sz w:val="16"/>
                <w:szCs w:val="16"/>
              </w:rPr>
              <w:t xml:space="preserve">   Total approved </w:t>
            </w:r>
          </w:p>
        </w:tc>
        <w:tc>
          <w:tcPr>
            <w:tcW w:w="1082" w:type="dxa"/>
            <w:tcBorders>
              <w:top w:val="nil"/>
              <w:left w:val="nil"/>
              <w:bottom w:val="nil"/>
              <w:right w:val="nil"/>
            </w:tcBorders>
            <w:shd w:val="clear" w:color="000000" w:fill="FFFFFF"/>
            <w:noWrap/>
            <w:vAlign w:val="center"/>
            <w:hideMark/>
          </w:tcPr>
          <w:p w14:paraId="03286BDC" w14:textId="77777777" w:rsidR="0007600B" w:rsidRPr="00892737" w:rsidRDefault="0007600B" w:rsidP="0007600B">
            <w:pPr>
              <w:spacing w:after="0" w:line="240" w:lineRule="auto"/>
              <w:jc w:val="right"/>
              <w:rPr>
                <w:rFonts w:ascii="Arial" w:hAnsi="Arial" w:cs="Arial"/>
                <w:b/>
                <w:bCs/>
                <w:color w:val="auto"/>
                <w:sz w:val="16"/>
                <w:szCs w:val="16"/>
              </w:rPr>
            </w:pPr>
            <w:r w:rsidRPr="00892737">
              <w:rPr>
                <w:rFonts w:ascii="Arial" w:hAnsi="Arial" w:cs="Arial"/>
                <w:b/>
                <w:bCs/>
                <w:color w:val="auto"/>
                <w:sz w:val="16"/>
                <w:szCs w:val="16"/>
              </w:rPr>
              <w:t>2.7</w:t>
            </w:r>
          </w:p>
        </w:tc>
        <w:tc>
          <w:tcPr>
            <w:tcW w:w="1671" w:type="dxa"/>
            <w:tcBorders>
              <w:top w:val="nil"/>
              <w:left w:val="nil"/>
              <w:bottom w:val="nil"/>
              <w:right w:val="nil"/>
            </w:tcBorders>
            <w:shd w:val="clear" w:color="000000" w:fill="FFFFFF"/>
            <w:noWrap/>
            <w:vAlign w:val="center"/>
            <w:hideMark/>
          </w:tcPr>
          <w:p w14:paraId="40BE7A4A" w14:textId="77777777" w:rsidR="0007600B" w:rsidRPr="00892737" w:rsidRDefault="0007600B" w:rsidP="0007600B">
            <w:pPr>
              <w:spacing w:after="0" w:line="240" w:lineRule="auto"/>
              <w:jc w:val="right"/>
              <w:rPr>
                <w:rFonts w:ascii="Arial" w:hAnsi="Arial" w:cs="Arial"/>
                <w:b/>
                <w:bCs/>
                <w:color w:val="auto"/>
                <w:sz w:val="16"/>
                <w:szCs w:val="16"/>
              </w:rPr>
            </w:pPr>
            <w:r w:rsidRPr="00892737">
              <w:rPr>
                <w:rFonts w:ascii="Arial" w:hAnsi="Arial" w:cs="Arial"/>
                <w:b/>
                <w:bCs/>
                <w:color w:val="auto"/>
                <w:sz w:val="16"/>
                <w:szCs w:val="16"/>
              </w:rPr>
              <w:t>192.8</w:t>
            </w:r>
          </w:p>
        </w:tc>
        <w:tc>
          <w:tcPr>
            <w:tcW w:w="1376" w:type="dxa"/>
            <w:tcBorders>
              <w:top w:val="nil"/>
              <w:left w:val="nil"/>
              <w:bottom w:val="nil"/>
              <w:right w:val="nil"/>
            </w:tcBorders>
            <w:shd w:val="clear" w:color="auto" w:fill="E1E8EB"/>
            <w:noWrap/>
            <w:vAlign w:val="bottom"/>
            <w:hideMark/>
          </w:tcPr>
          <w:p w14:paraId="66664407" w14:textId="32B367B4" w:rsidR="0007600B" w:rsidRPr="00892737" w:rsidRDefault="0007600B" w:rsidP="0007600B">
            <w:pPr>
              <w:spacing w:after="0" w:line="240" w:lineRule="auto"/>
              <w:jc w:val="right"/>
              <w:rPr>
                <w:rFonts w:ascii="Arial" w:hAnsi="Arial" w:cs="Arial"/>
                <w:b/>
                <w:bCs/>
                <w:color w:val="auto"/>
                <w:sz w:val="16"/>
                <w:szCs w:val="16"/>
              </w:rPr>
            </w:pPr>
            <w:r w:rsidRPr="004B6C22">
              <w:rPr>
                <w:rFonts w:ascii="Arial" w:hAnsi="Arial" w:cs="Arial"/>
                <w:b/>
                <w:bCs/>
                <w:sz w:val="16"/>
                <w:szCs w:val="16"/>
              </w:rPr>
              <w:t>14.4</w:t>
            </w:r>
          </w:p>
        </w:tc>
        <w:tc>
          <w:tcPr>
            <w:tcW w:w="1672" w:type="dxa"/>
            <w:tcBorders>
              <w:top w:val="nil"/>
              <w:left w:val="nil"/>
              <w:bottom w:val="nil"/>
              <w:right w:val="nil"/>
            </w:tcBorders>
            <w:shd w:val="clear" w:color="auto" w:fill="E1E8EB"/>
            <w:noWrap/>
            <w:vAlign w:val="bottom"/>
            <w:hideMark/>
          </w:tcPr>
          <w:p w14:paraId="7C4CBBA6" w14:textId="279E365D" w:rsidR="0007600B" w:rsidRPr="00892737" w:rsidRDefault="0007600B" w:rsidP="0007600B">
            <w:pPr>
              <w:spacing w:after="0" w:line="240" w:lineRule="auto"/>
              <w:jc w:val="right"/>
              <w:rPr>
                <w:rFonts w:ascii="Arial" w:hAnsi="Arial" w:cs="Arial"/>
                <w:b/>
                <w:bCs/>
                <w:color w:val="auto"/>
                <w:sz w:val="16"/>
                <w:szCs w:val="16"/>
              </w:rPr>
            </w:pPr>
            <w:r w:rsidRPr="004B6C22">
              <w:rPr>
                <w:rFonts w:ascii="Arial" w:hAnsi="Arial" w:cs="Arial"/>
                <w:b/>
                <w:bCs/>
                <w:sz w:val="16"/>
                <w:szCs w:val="16"/>
              </w:rPr>
              <w:t>218.5</w:t>
            </w:r>
          </w:p>
        </w:tc>
      </w:tr>
      <w:tr w:rsidR="00892737" w:rsidRPr="00892737" w14:paraId="52D9851D" w14:textId="77777777" w:rsidTr="00E24A34">
        <w:trPr>
          <w:trHeight w:val="251"/>
        </w:trPr>
        <w:tc>
          <w:tcPr>
            <w:tcW w:w="2146" w:type="dxa"/>
            <w:tcBorders>
              <w:top w:val="nil"/>
              <w:left w:val="nil"/>
              <w:bottom w:val="nil"/>
              <w:right w:val="nil"/>
            </w:tcBorders>
            <w:shd w:val="clear" w:color="000000" w:fill="FFFFFF"/>
            <w:noWrap/>
            <w:vAlign w:val="center"/>
            <w:hideMark/>
          </w:tcPr>
          <w:p w14:paraId="5731C56C" w14:textId="77777777" w:rsidR="00892737" w:rsidRPr="00892737" w:rsidRDefault="00892737" w:rsidP="00892737">
            <w:pPr>
              <w:spacing w:after="0" w:line="240" w:lineRule="auto"/>
              <w:jc w:val="left"/>
              <w:rPr>
                <w:rFonts w:ascii="Arial" w:hAnsi="Arial" w:cs="Arial"/>
                <w:color w:val="auto"/>
                <w:sz w:val="16"/>
                <w:szCs w:val="16"/>
              </w:rPr>
            </w:pPr>
            <w:r w:rsidRPr="00892737">
              <w:rPr>
                <w:rFonts w:ascii="Arial" w:hAnsi="Arial" w:cs="Arial"/>
                <w:color w:val="auto"/>
                <w:sz w:val="16"/>
                <w:szCs w:val="16"/>
              </w:rPr>
              <w:t xml:space="preserve"> Rejected </w:t>
            </w:r>
          </w:p>
        </w:tc>
        <w:tc>
          <w:tcPr>
            <w:tcW w:w="1082" w:type="dxa"/>
            <w:tcBorders>
              <w:top w:val="nil"/>
              <w:left w:val="nil"/>
              <w:bottom w:val="nil"/>
              <w:right w:val="nil"/>
            </w:tcBorders>
            <w:shd w:val="clear" w:color="000000" w:fill="FFFFFF"/>
            <w:noWrap/>
            <w:vAlign w:val="center"/>
            <w:hideMark/>
          </w:tcPr>
          <w:p w14:paraId="2B6FA949" w14:textId="4DF9E273" w:rsidR="00892737" w:rsidRPr="00892737" w:rsidRDefault="003E7C79" w:rsidP="00892737">
            <w:pPr>
              <w:spacing w:after="0" w:line="240" w:lineRule="auto"/>
              <w:jc w:val="right"/>
              <w:rPr>
                <w:rFonts w:ascii="Arial" w:hAnsi="Arial" w:cs="Arial"/>
                <w:color w:val="auto"/>
                <w:sz w:val="16"/>
                <w:szCs w:val="16"/>
              </w:rPr>
            </w:pPr>
            <w:r>
              <w:rPr>
                <w:rFonts w:ascii="Arial" w:hAnsi="Arial" w:cs="Arial"/>
                <w:color w:val="auto"/>
                <w:sz w:val="16"/>
                <w:szCs w:val="16"/>
              </w:rPr>
              <w:t>–</w:t>
            </w:r>
          </w:p>
        </w:tc>
        <w:tc>
          <w:tcPr>
            <w:tcW w:w="1671" w:type="dxa"/>
            <w:tcBorders>
              <w:top w:val="nil"/>
              <w:left w:val="nil"/>
              <w:bottom w:val="nil"/>
              <w:right w:val="nil"/>
            </w:tcBorders>
            <w:shd w:val="clear" w:color="000000" w:fill="FFFFFF"/>
            <w:noWrap/>
            <w:vAlign w:val="center"/>
            <w:hideMark/>
          </w:tcPr>
          <w:p w14:paraId="75BE2251" w14:textId="429AEB46" w:rsidR="00892737" w:rsidRPr="00892737" w:rsidRDefault="003E7C79" w:rsidP="00892737">
            <w:pPr>
              <w:spacing w:after="0" w:line="240" w:lineRule="auto"/>
              <w:jc w:val="right"/>
              <w:rPr>
                <w:rFonts w:ascii="Arial" w:hAnsi="Arial" w:cs="Arial"/>
                <w:color w:val="auto"/>
                <w:sz w:val="16"/>
                <w:szCs w:val="16"/>
              </w:rPr>
            </w:pPr>
            <w:r>
              <w:rPr>
                <w:rFonts w:ascii="Arial" w:hAnsi="Arial" w:cs="Arial"/>
                <w:color w:val="auto"/>
                <w:sz w:val="16"/>
                <w:szCs w:val="16"/>
              </w:rPr>
              <w:t>–</w:t>
            </w:r>
          </w:p>
        </w:tc>
        <w:tc>
          <w:tcPr>
            <w:tcW w:w="1376" w:type="dxa"/>
            <w:tcBorders>
              <w:top w:val="nil"/>
              <w:left w:val="nil"/>
              <w:bottom w:val="nil"/>
              <w:right w:val="nil"/>
            </w:tcBorders>
            <w:shd w:val="clear" w:color="auto" w:fill="E1E8EB"/>
            <w:noWrap/>
            <w:vAlign w:val="center"/>
            <w:hideMark/>
          </w:tcPr>
          <w:p w14:paraId="1A378499" w14:textId="683E9684" w:rsidR="00892737" w:rsidRPr="00892737" w:rsidRDefault="003E7C79" w:rsidP="00892737">
            <w:pPr>
              <w:spacing w:after="0" w:line="240" w:lineRule="auto"/>
              <w:jc w:val="right"/>
              <w:rPr>
                <w:rFonts w:ascii="Arial" w:hAnsi="Arial" w:cs="Arial"/>
                <w:color w:val="auto"/>
                <w:sz w:val="16"/>
                <w:szCs w:val="16"/>
              </w:rPr>
            </w:pPr>
            <w:r>
              <w:rPr>
                <w:rFonts w:ascii="Arial" w:hAnsi="Arial" w:cs="Arial"/>
                <w:color w:val="auto"/>
                <w:sz w:val="16"/>
                <w:szCs w:val="16"/>
              </w:rPr>
              <w:t>–</w:t>
            </w:r>
          </w:p>
        </w:tc>
        <w:tc>
          <w:tcPr>
            <w:tcW w:w="1672" w:type="dxa"/>
            <w:tcBorders>
              <w:top w:val="nil"/>
              <w:left w:val="nil"/>
              <w:bottom w:val="nil"/>
              <w:right w:val="nil"/>
            </w:tcBorders>
            <w:shd w:val="clear" w:color="auto" w:fill="E1E8EB"/>
            <w:noWrap/>
            <w:vAlign w:val="center"/>
            <w:hideMark/>
          </w:tcPr>
          <w:p w14:paraId="5EE6AF22" w14:textId="46577A36" w:rsidR="00892737" w:rsidRPr="00892737" w:rsidRDefault="003E7C79" w:rsidP="00892737">
            <w:pPr>
              <w:spacing w:after="0" w:line="240" w:lineRule="auto"/>
              <w:jc w:val="right"/>
              <w:rPr>
                <w:rFonts w:ascii="Arial" w:hAnsi="Arial" w:cs="Arial"/>
                <w:color w:val="auto"/>
                <w:sz w:val="16"/>
                <w:szCs w:val="16"/>
              </w:rPr>
            </w:pPr>
            <w:r>
              <w:rPr>
                <w:rFonts w:ascii="Arial" w:hAnsi="Arial" w:cs="Arial"/>
                <w:color w:val="auto"/>
                <w:sz w:val="16"/>
                <w:szCs w:val="16"/>
              </w:rPr>
              <w:t>–</w:t>
            </w:r>
          </w:p>
        </w:tc>
      </w:tr>
      <w:tr w:rsidR="00892737" w:rsidRPr="00892737" w14:paraId="42AED99E" w14:textId="77777777" w:rsidTr="00E24A34">
        <w:trPr>
          <w:trHeight w:val="251"/>
        </w:trPr>
        <w:tc>
          <w:tcPr>
            <w:tcW w:w="2146" w:type="dxa"/>
            <w:tcBorders>
              <w:top w:val="nil"/>
              <w:left w:val="nil"/>
              <w:bottom w:val="nil"/>
              <w:right w:val="nil"/>
            </w:tcBorders>
            <w:shd w:val="clear" w:color="auto" w:fill="auto"/>
            <w:noWrap/>
            <w:vAlign w:val="center"/>
            <w:hideMark/>
          </w:tcPr>
          <w:p w14:paraId="7DD49A99" w14:textId="77777777" w:rsidR="00892737" w:rsidRPr="00892737" w:rsidRDefault="00892737" w:rsidP="00892737">
            <w:pPr>
              <w:spacing w:after="0" w:line="240" w:lineRule="auto"/>
              <w:jc w:val="left"/>
              <w:rPr>
                <w:rFonts w:ascii="Arial" w:hAnsi="Arial" w:cs="Arial"/>
                <w:color w:val="auto"/>
                <w:sz w:val="16"/>
                <w:szCs w:val="16"/>
              </w:rPr>
            </w:pPr>
            <w:r w:rsidRPr="00892737">
              <w:rPr>
                <w:rFonts w:ascii="Arial" w:hAnsi="Arial" w:cs="Arial"/>
                <w:color w:val="auto"/>
                <w:sz w:val="16"/>
                <w:szCs w:val="16"/>
              </w:rPr>
              <w:t xml:space="preserve"> Declined </w:t>
            </w:r>
          </w:p>
        </w:tc>
        <w:tc>
          <w:tcPr>
            <w:tcW w:w="1082" w:type="dxa"/>
            <w:tcBorders>
              <w:top w:val="nil"/>
              <w:left w:val="nil"/>
              <w:bottom w:val="nil"/>
              <w:right w:val="nil"/>
            </w:tcBorders>
            <w:shd w:val="clear" w:color="000000" w:fill="FFFFFF"/>
            <w:noWrap/>
            <w:vAlign w:val="center"/>
            <w:hideMark/>
          </w:tcPr>
          <w:p w14:paraId="603BE374" w14:textId="62497C4C" w:rsidR="00892737" w:rsidRPr="00892737" w:rsidRDefault="003E7C79" w:rsidP="00892737">
            <w:pPr>
              <w:spacing w:after="0" w:line="240" w:lineRule="auto"/>
              <w:jc w:val="right"/>
              <w:rPr>
                <w:rFonts w:ascii="Arial" w:hAnsi="Arial" w:cs="Arial"/>
                <w:color w:val="auto"/>
                <w:sz w:val="16"/>
                <w:szCs w:val="16"/>
              </w:rPr>
            </w:pPr>
            <w:r>
              <w:rPr>
                <w:rFonts w:ascii="Arial" w:hAnsi="Arial" w:cs="Arial"/>
                <w:color w:val="auto"/>
                <w:sz w:val="16"/>
                <w:szCs w:val="16"/>
              </w:rPr>
              <w:t>–</w:t>
            </w:r>
          </w:p>
        </w:tc>
        <w:tc>
          <w:tcPr>
            <w:tcW w:w="1671" w:type="dxa"/>
            <w:tcBorders>
              <w:top w:val="nil"/>
              <w:left w:val="nil"/>
              <w:bottom w:val="nil"/>
              <w:right w:val="nil"/>
            </w:tcBorders>
            <w:shd w:val="clear" w:color="000000" w:fill="FFFFFF"/>
            <w:noWrap/>
            <w:vAlign w:val="center"/>
            <w:hideMark/>
          </w:tcPr>
          <w:p w14:paraId="7491CD5A" w14:textId="7D860372" w:rsidR="00892737" w:rsidRPr="00892737" w:rsidRDefault="003E7C79" w:rsidP="00892737">
            <w:pPr>
              <w:spacing w:after="0" w:line="240" w:lineRule="auto"/>
              <w:jc w:val="right"/>
              <w:rPr>
                <w:rFonts w:ascii="Arial" w:hAnsi="Arial" w:cs="Arial"/>
                <w:color w:val="auto"/>
                <w:sz w:val="16"/>
                <w:szCs w:val="16"/>
              </w:rPr>
            </w:pPr>
            <w:r>
              <w:rPr>
                <w:rFonts w:ascii="Arial" w:hAnsi="Arial" w:cs="Arial"/>
                <w:color w:val="auto"/>
                <w:sz w:val="16"/>
                <w:szCs w:val="16"/>
              </w:rPr>
              <w:t>–</w:t>
            </w:r>
          </w:p>
        </w:tc>
        <w:tc>
          <w:tcPr>
            <w:tcW w:w="1376" w:type="dxa"/>
            <w:tcBorders>
              <w:top w:val="nil"/>
              <w:left w:val="nil"/>
              <w:bottom w:val="nil"/>
              <w:right w:val="nil"/>
            </w:tcBorders>
            <w:shd w:val="clear" w:color="auto" w:fill="E1E8EB"/>
            <w:noWrap/>
            <w:vAlign w:val="center"/>
            <w:hideMark/>
          </w:tcPr>
          <w:p w14:paraId="187FEB56" w14:textId="24E7DA72" w:rsidR="00892737" w:rsidRPr="00892737" w:rsidRDefault="003E7C79" w:rsidP="00892737">
            <w:pPr>
              <w:spacing w:after="0" w:line="240" w:lineRule="auto"/>
              <w:jc w:val="right"/>
              <w:rPr>
                <w:rFonts w:ascii="Arial" w:hAnsi="Arial" w:cs="Arial"/>
                <w:color w:val="auto"/>
                <w:sz w:val="16"/>
                <w:szCs w:val="16"/>
              </w:rPr>
            </w:pPr>
            <w:r>
              <w:rPr>
                <w:rFonts w:ascii="Arial" w:hAnsi="Arial" w:cs="Arial"/>
                <w:color w:val="auto"/>
                <w:sz w:val="16"/>
                <w:szCs w:val="16"/>
              </w:rPr>
              <w:t>–</w:t>
            </w:r>
          </w:p>
        </w:tc>
        <w:tc>
          <w:tcPr>
            <w:tcW w:w="1672" w:type="dxa"/>
            <w:tcBorders>
              <w:top w:val="nil"/>
              <w:left w:val="nil"/>
              <w:bottom w:val="nil"/>
              <w:right w:val="nil"/>
            </w:tcBorders>
            <w:shd w:val="clear" w:color="auto" w:fill="E1E8EB"/>
            <w:noWrap/>
            <w:vAlign w:val="center"/>
            <w:hideMark/>
          </w:tcPr>
          <w:p w14:paraId="7E73FC9C" w14:textId="2DA12382" w:rsidR="00892737" w:rsidRPr="00892737" w:rsidRDefault="003E7C79" w:rsidP="00892737">
            <w:pPr>
              <w:spacing w:after="0" w:line="240" w:lineRule="auto"/>
              <w:jc w:val="right"/>
              <w:rPr>
                <w:rFonts w:ascii="Arial" w:hAnsi="Arial" w:cs="Arial"/>
                <w:color w:val="auto"/>
                <w:sz w:val="16"/>
                <w:szCs w:val="16"/>
              </w:rPr>
            </w:pPr>
            <w:r>
              <w:rPr>
                <w:rFonts w:ascii="Arial" w:hAnsi="Arial" w:cs="Arial"/>
                <w:color w:val="auto"/>
                <w:sz w:val="16"/>
                <w:szCs w:val="16"/>
              </w:rPr>
              <w:t>–</w:t>
            </w:r>
          </w:p>
        </w:tc>
      </w:tr>
      <w:tr w:rsidR="00D44B1E" w:rsidRPr="00892737" w14:paraId="60B5C83C" w14:textId="77777777" w:rsidTr="00E24A34">
        <w:trPr>
          <w:trHeight w:val="251"/>
        </w:trPr>
        <w:tc>
          <w:tcPr>
            <w:tcW w:w="2146" w:type="dxa"/>
            <w:tcBorders>
              <w:top w:val="nil"/>
              <w:left w:val="nil"/>
              <w:bottom w:val="single" w:sz="4" w:space="0" w:color="auto"/>
              <w:right w:val="nil"/>
            </w:tcBorders>
            <w:shd w:val="clear" w:color="000000" w:fill="FFFFFF"/>
            <w:noWrap/>
            <w:vAlign w:val="center"/>
            <w:hideMark/>
          </w:tcPr>
          <w:p w14:paraId="48DF606F" w14:textId="77777777" w:rsidR="00D44B1E" w:rsidRPr="00892737" w:rsidRDefault="00D44B1E" w:rsidP="00D44B1E">
            <w:pPr>
              <w:spacing w:after="0" w:line="240" w:lineRule="auto"/>
              <w:ind w:firstLineChars="100" w:firstLine="161"/>
              <w:jc w:val="left"/>
              <w:rPr>
                <w:rFonts w:ascii="Arial" w:hAnsi="Arial" w:cs="Arial"/>
                <w:b/>
                <w:bCs/>
                <w:color w:val="auto"/>
                <w:sz w:val="16"/>
                <w:szCs w:val="16"/>
              </w:rPr>
            </w:pPr>
            <w:r w:rsidRPr="00892737">
              <w:rPr>
                <w:rFonts w:ascii="Arial" w:hAnsi="Arial" w:cs="Arial"/>
                <w:b/>
                <w:bCs/>
                <w:color w:val="auto"/>
                <w:sz w:val="16"/>
                <w:szCs w:val="16"/>
              </w:rPr>
              <w:t xml:space="preserve">   Total decided </w:t>
            </w:r>
          </w:p>
        </w:tc>
        <w:tc>
          <w:tcPr>
            <w:tcW w:w="1082" w:type="dxa"/>
            <w:tcBorders>
              <w:top w:val="single" w:sz="4" w:space="0" w:color="auto"/>
              <w:left w:val="nil"/>
              <w:bottom w:val="single" w:sz="4" w:space="0" w:color="auto"/>
              <w:right w:val="nil"/>
            </w:tcBorders>
            <w:shd w:val="clear" w:color="000000" w:fill="FFFFFF"/>
            <w:noWrap/>
            <w:vAlign w:val="center"/>
            <w:hideMark/>
          </w:tcPr>
          <w:p w14:paraId="3C835A97" w14:textId="77777777" w:rsidR="00D44B1E" w:rsidRPr="00892737" w:rsidRDefault="00D44B1E" w:rsidP="00D44B1E">
            <w:pPr>
              <w:spacing w:after="0" w:line="240" w:lineRule="auto"/>
              <w:jc w:val="right"/>
              <w:rPr>
                <w:rFonts w:ascii="Arial" w:hAnsi="Arial" w:cs="Arial"/>
                <w:b/>
                <w:bCs/>
                <w:color w:val="auto"/>
                <w:sz w:val="16"/>
                <w:szCs w:val="16"/>
              </w:rPr>
            </w:pPr>
            <w:r w:rsidRPr="00892737">
              <w:rPr>
                <w:rFonts w:ascii="Arial" w:hAnsi="Arial" w:cs="Arial"/>
                <w:b/>
                <w:bCs/>
                <w:color w:val="auto"/>
                <w:sz w:val="16"/>
                <w:szCs w:val="16"/>
              </w:rPr>
              <w:t>2.7</w:t>
            </w:r>
          </w:p>
        </w:tc>
        <w:tc>
          <w:tcPr>
            <w:tcW w:w="1671" w:type="dxa"/>
            <w:tcBorders>
              <w:top w:val="single" w:sz="4" w:space="0" w:color="auto"/>
              <w:left w:val="nil"/>
              <w:bottom w:val="single" w:sz="4" w:space="0" w:color="auto"/>
              <w:right w:val="nil"/>
            </w:tcBorders>
            <w:shd w:val="clear" w:color="000000" w:fill="FFFFFF"/>
            <w:noWrap/>
            <w:vAlign w:val="center"/>
            <w:hideMark/>
          </w:tcPr>
          <w:p w14:paraId="16372BA6" w14:textId="77777777" w:rsidR="00D44B1E" w:rsidRPr="00892737" w:rsidRDefault="00D44B1E" w:rsidP="00D44B1E">
            <w:pPr>
              <w:spacing w:after="0" w:line="240" w:lineRule="auto"/>
              <w:jc w:val="right"/>
              <w:rPr>
                <w:rFonts w:ascii="Arial" w:hAnsi="Arial" w:cs="Arial"/>
                <w:b/>
                <w:bCs/>
                <w:color w:val="auto"/>
                <w:sz w:val="16"/>
                <w:szCs w:val="16"/>
              </w:rPr>
            </w:pPr>
            <w:r w:rsidRPr="00892737">
              <w:rPr>
                <w:rFonts w:ascii="Arial" w:hAnsi="Arial" w:cs="Arial"/>
                <w:b/>
                <w:bCs/>
                <w:color w:val="auto"/>
                <w:sz w:val="16"/>
                <w:szCs w:val="16"/>
              </w:rPr>
              <w:t>192.8</w:t>
            </w:r>
          </w:p>
        </w:tc>
        <w:tc>
          <w:tcPr>
            <w:tcW w:w="1376" w:type="dxa"/>
            <w:tcBorders>
              <w:top w:val="single" w:sz="4" w:space="0" w:color="auto"/>
              <w:left w:val="nil"/>
              <w:bottom w:val="single" w:sz="4" w:space="0" w:color="auto"/>
              <w:right w:val="nil"/>
            </w:tcBorders>
            <w:shd w:val="clear" w:color="auto" w:fill="E1E8EB"/>
            <w:noWrap/>
            <w:vAlign w:val="bottom"/>
            <w:hideMark/>
          </w:tcPr>
          <w:p w14:paraId="5D923C25" w14:textId="3EF1EF0B" w:rsidR="00D44B1E" w:rsidRPr="00892737" w:rsidRDefault="00D44B1E" w:rsidP="00D44B1E">
            <w:pPr>
              <w:spacing w:after="0" w:line="240" w:lineRule="auto"/>
              <w:jc w:val="right"/>
              <w:rPr>
                <w:rFonts w:ascii="Arial" w:hAnsi="Arial" w:cs="Arial"/>
                <w:b/>
                <w:bCs/>
                <w:color w:val="auto"/>
                <w:sz w:val="16"/>
                <w:szCs w:val="16"/>
              </w:rPr>
            </w:pPr>
            <w:r w:rsidRPr="004B6C22">
              <w:rPr>
                <w:rFonts w:ascii="Arial" w:hAnsi="Arial" w:cs="Arial"/>
                <w:b/>
                <w:bCs/>
                <w:sz w:val="16"/>
                <w:szCs w:val="16"/>
              </w:rPr>
              <w:t>14.4</w:t>
            </w:r>
          </w:p>
        </w:tc>
        <w:tc>
          <w:tcPr>
            <w:tcW w:w="1672" w:type="dxa"/>
            <w:tcBorders>
              <w:top w:val="single" w:sz="4" w:space="0" w:color="auto"/>
              <w:left w:val="nil"/>
              <w:bottom w:val="single" w:sz="4" w:space="0" w:color="auto"/>
              <w:right w:val="nil"/>
            </w:tcBorders>
            <w:shd w:val="clear" w:color="auto" w:fill="E1E8EB"/>
            <w:noWrap/>
            <w:vAlign w:val="bottom"/>
            <w:hideMark/>
          </w:tcPr>
          <w:p w14:paraId="4E1A4429" w14:textId="626C499E" w:rsidR="00D44B1E" w:rsidRPr="00892737" w:rsidRDefault="00D44B1E" w:rsidP="00D44B1E">
            <w:pPr>
              <w:spacing w:after="0" w:line="240" w:lineRule="auto"/>
              <w:jc w:val="right"/>
              <w:rPr>
                <w:rFonts w:ascii="Arial" w:hAnsi="Arial" w:cs="Arial"/>
                <w:b/>
                <w:bCs/>
                <w:color w:val="auto"/>
                <w:sz w:val="16"/>
                <w:szCs w:val="16"/>
              </w:rPr>
            </w:pPr>
            <w:r w:rsidRPr="004B6C22">
              <w:rPr>
                <w:rFonts w:ascii="Arial" w:hAnsi="Arial" w:cs="Arial"/>
                <w:b/>
                <w:bCs/>
                <w:sz w:val="16"/>
                <w:szCs w:val="16"/>
              </w:rPr>
              <w:t>218.5</w:t>
            </w:r>
          </w:p>
        </w:tc>
      </w:tr>
    </w:tbl>
    <w:p w14:paraId="68DF2002" w14:textId="73253948" w:rsidR="00A61506" w:rsidRDefault="00892737" w:rsidP="00C64693">
      <w:pPr>
        <w:pStyle w:val="ChartorTableNote"/>
      </w:pPr>
      <w:r w:rsidRPr="00BF48CD">
        <w:t xml:space="preserve">Before republishing this data or comparing between years, thoroughly review the methodological and data caveats in Appendix </w:t>
      </w:r>
      <w:r w:rsidRPr="00F67E13">
        <w:t>B</w:t>
      </w:r>
      <w:r w:rsidRPr="00BF48CD">
        <w:t xml:space="preserve">. </w:t>
      </w:r>
    </w:p>
    <w:p w14:paraId="40E79C47" w14:textId="77777777" w:rsidR="00A61506" w:rsidRPr="00C77975" w:rsidRDefault="00A61506" w:rsidP="00E24A34">
      <w:pPr>
        <w:pStyle w:val="SingleParagraph"/>
      </w:pPr>
    </w:p>
    <w:p w14:paraId="58704A42" w14:textId="724D8BDC" w:rsidR="00DF1B59" w:rsidRPr="00E24A34" w:rsidRDefault="00DF1B59" w:rsidP="00E24A34">
      <w:pPr>
        <w:pStyle w:val="TableMainHeading"/>
      </w:pPr>
      <w:bookmarkStart w:id="107" w:name="_Toc89939939"/>
      <w:r w:rsidRPr="00E24A34">
        <w:t xml:space="preserve">Table </w:t>
      </w:r>
      <w:fldSimple w:instr=" STYLEREF 1 \s ">
        <w:r w:rsidR="0019342F">
          <w:rPr>
            <w:noProof/>
          </w:rPr>
          <w:t>3</w:t>
        </w:r>
      </w:fldSimple>
      <w:r w:rsidR="009812FE" w:rsidRPr="00E24A34">
        <w:t>.</w:t>
      </w:r>
      <w:fldSimple w:instr=" SEQ Table \* ARABIC \s 1 ">
        <w:r w:rsidR="0019342F">
          <w:rPr>
            <w:noProof/>
          </w:rPr>
          <w:t>5</w:t>
        </w:r>
      </w:fldSimple>
      <w:r w:rsidRPr="00E24A34">
        <w:t xml:space="preserve">: Total approvals by value of proposed investment range </w:t>
      </w:r>
      <w:r w:rsidR="00DC1928">
        <w:t>2017</w:t>
      </w:r>
      <w:r w:rsidR="00DC1928">
        <w:noBreakHyphen/>
        <w:t>18</w:t>
      </w:r>
      <w:r w:rsidRPr="00E24A34">
        <w:t xml:space="preserve"> to 2020</w:t>
      </w:r>
      <w:r w:rsidR="00065800" w:rsidRPr="00E24A34">
        <w:noBreakHyphen/>
      </w:r>
      <w:r w:rsidRPr="00E24A34">
        <w:t>21 (number and value of approvals)</w:t>
      </w:r>
      <w:bookmarkEnd w:id="107"/>
    </w:p>
    <w:tbl>
      <w:tblPr>
        <w:tblW w:w="5000" w:type="pct"/>
        <w:tblLook w:val="04A0" w:firstRow="1" w:lastRow="0" w:firstColumn="1" w:lastColumn="0" w:noHBand="0" w:noVBand="1"/>
      </w:tblPr>
      <w:tblGrid>
        <w:gridCol w:w="2391"/>
        <w:gridCol w:w="261"/>
        <w:gridCol w:w="706"/>
        <w:gridCol w:w="622"/>
        <w:gridCol w:w="620"/>
        <w:gridCol w:w="625"/>
        <w:gridCol w:w="620"/>
        <w:gridCol w:w="625"/>
        <w:gridCol w:w="620"/>
        <w:gridCol w:w="620"/>
      </w:tblGrid>
      <w:tr w:rsidR="00406F17" w:rsidRPr="009C2514" w14:paraId="4493DE42" w14:textId="77777777" w:rsidTr="00E24A34">
        <w:trPr>
          <w:trHeight w:val="263"/>
        </w:trPr>
        <w:tc>
          <w:tcPr>
            <w:tcW w:w="1551" w:type="pct"/>
            <w:tcBorders>
              <w:top w:val="single" w:sz="4" w:space="0" w:color="auto"/>
              <w:left w:val="nil"/>
              <w:bottom w:val="nil"/>
              <w:right w:val="nil"/>
            </w:tcBorders>
            <w:shd w:val="clear" w:color="000000" w:fill="FFFFFF"/>
            <w:noWrap/>
            <w:vAlign w:val="center"/>
            <w:hideMark/>
          </w:tcPr>
          <w:p w14:paraId="3A7BFDF8"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 </w:t>
            </w:r>
          </w:p>
        </w:tc>
        <w:tc>
          <w:tcPr>
            <w:tcW w:w="169" w:type="pct"/>
            <w:tcBorders>
              <w:top w:val="single" w:sz="4" w:space="0" w:color="auto"/>
              <w:left w:val="nil"/>
              <w:bottom w:val="nil"/>
              <w:right w:val="nil"/>
            </w:tcBorders>
            <w:shd w:val="clear" w:color="000000" w:fill="FFFFFF"/>
            <w:noWrap/>
            <w:vAlign w:val="center"/>
            <w:hideMark/>
          </w:tcPr>
          <w:p w14:paraId="41CADF39"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 </w:t>
            </w:r>
          </w:p>
        </w:tc>
        <w:tc>
          <w:tcPr>
            <w:tcW w:w="862" w:type="pct"/>
            <w:gridSpan w:val="2"/>
            <w:tcBorders>
              <w:top w:val="single" w:sz="4" w:space="0" w:color="auto"/>
              <w:left w:val="nil"/>
              <w:bottom w:val="nil"/>
              <w:right w:val="nil"/>
            </w:tcBorders>
            <w:shd w:val="clear" w:color="000000" w:fill="FFFFFF"/>
            <w:noWrap/>
            <w:vAlign w:val="center"/>
            <w:hideMark/>
          </w:tcPr>
          <w:p w14:paraId="1EE2562A" w14:textId="3D9C0939" w:rsidR="00406F17" w:rsidRPr="009C2514" w:rsidRDefault="00DC1928" w:rsidP="006B32E3">
            <w:pPr>
              <w:spacing w:after="0" w:line="240" w:lineRule="auto"/>
              <w:jc w:val="center"/>
              <w:rPr>
                <w:rFonts w:ascii="Arial" w:hAnsi="Arial" w:cs="Arial"/>
                <w:sz w:val="16"/>
                <w:szCs w:val="16"/>
              </w:rPr>
            </w:pPr>
            <w:r>
              <w:rPr>
                <w:rFonts w:ascii="Arial" w:hAnsi="Arial" w:cs="Arial"/>
                <w:sz w:val="16"/>
                <w:szCs w:val="16"/>
              </w:rPr>
              <w:t>2017</w:t>
            </w:r>
            <w:r>
              <w:rPr>
                <w:rFonts w:ascii="Arial" w:hAnsi="Arial" w:cs="Arial"/>
                <w:sz w:val="16"/>
                <w:szCs w:val="16"/>
              </w:rPr>
              <w:noBreakHyphen/>
              <w:t>18</w:t>
            </w:r>
          </w:p>
        </w:tc>
        <w:tc>
          <w:tcPr>
            <w:tcW w:w="807" w:type="pct"/>
            <w:gridSpan w:val="2"/>
            <w:tcBorders>
              <w:top w:val="single" w:sz="4" w:space="0" w:color="auto"/>
              <w:left w:val="nil"/>
              <w:bottom w:val="nil"/>
              <w:right w:val="nil"/>
            </w:tcBorders>
            <w:shd w:val="clear" w:color="000000" w:fill="FFFFFF"/>
            <w:noWrap/>
            <w:vAlign w:val="center"/>
            <w:hideMark/>
          </w:tcPr>
          <w:p w14:paraId="6C105588" w14:textId="3651408D" w:rsidR="00406F17" w:rsidRPr="009C2514" w:rsidRDefault="00C17F09" w:rsidP="006B32E3">
            <w:pPr>
              <w:spacing w:after="0" w:line="240" w:lineRule="auto"/>
              <w:jc w:val="center"/>
              <w:rPr>
                <w:rFonts w:ascii="Arial" w:hAnsi="Arial" w:cs="Arial"/>
                <w:sz w:val="16"/>
                <w:szCs w:val="16"/>
              </w:rPr>
            </w:pPr>
            <w:r>
              <w:rPr>
                <w:rFonts w:ascii="Arial" w:hAnsi="Arial" w:cs="Arial"/>
                <w:sz w:val="16"/>
                <w:szCs w:val="16"/>
              </w:rPr>
              <w:t>2018</w:t>
            </w:r>
            <w:r>
              <w:rPr>
                <w:rFonts w:ascii="Arial" w:hAnsi="Arial" w:cs="Arial"/>
                <w:sz w:val="16"/>
                <w:szCs w:val="16"/>
              </w:rPr>
              <w:noBreakHyphen/>
              <w:t>19</w:t>
            </w:r>
          </w:p>
        </w:tc>
        <w:tc>
          <w:tcPr>
            <w:tcW w:w="807" w:type="pct"/>
            <w:gridSpan w:val="2"/>
            <w:tcBorders>
              <w:top w:val="single" w:sz="4" w:space="0" w:color="auto"/>
              <w:left w:val="nil"/>
              <w:bottom w:val="nil"/>
              <w:right w:val="nil"/>
            </w:tcBorders>
            <w:shd w:val="clear" w:color="000000" w:fill="FFFFFF"/>
            <w:noWrap/>
            <w:vAlign w:val="center"/>
            <w:hideMark/>
          </w:tcPr>
          <w:p w14:paraId="49AE3F29" w14:textId="1021172C" w:rsidR="00406F17" w:rsidRPr="009C2514" w:rsidRDefault="00D76ED2" w:rsidP="006B32E3">
            <w:pPr>
              <w:spacing w:after="0" w:line="240" w:lineRule="auto"/>
              <w:jc w:val="center"/>
              <w:rPr>
                <w:rFonts w:ascii="Arial" w:hAnsi="Arial" w:cs="Arial"/>
                <w:sz w:val="16"/>
                <w:szCs w:val="16"/>
              </w:rPr>
            </w:pPr>
            <w:r>
              <w:rPr>
                <w:rFonts w:ascii="Arial" w:hAnsi="Arial" w:cs="Arial"/>
                <w:sz w:val="16"/>
                <w:szCs w:val="16"/>
              </w:rPr>
              <w:t>2019</w:t>
            </w:r>
            <w:r>
              <w:rPr>
                <w:rFonts w:ascii="Arial" w:hAnsi="Arial" w:cs="Arial"/>
                <w:sz w:val="16"/>
                <w:szCs w:val="16"/>
              </w:rPr>
              <w:noBreakHyphen/>
              <w:t>20</w:t>
            </w:r>
          </w:p>
        </w:tc>
        <w:tc>
          <w:tcPr>
            <w:tcW w:w="805" w:type="pct"/>
            <w:gridSpan w:val="2"/>
            <w:tcBorders>
              <w:top w:val="single" w:sz="4" w:space="0" w:color="auto"/>
              <w:left w:val="nil"/>
              <w:bottom w:val="nil"/>
              <w:right w:val="nil"/>
            </w:tcBorders>
            <w:shd w:val="clear" w:color="auto" w:fill="E1E8EB"/>
            <w:noWrap/>
            <w:vAlign w:val="center"/>
            <w:hideMark/>
          </w:tcPr>
          <w:p w14:paraId="3CB9F25E" w14:textId="42C0C57C" w:rsidR="00406F17" w:rsidRPr="009C2514" w:rsidRDefault="00D76ED2" w:rsidP="006B32E3">
            <w:pPr>
              <w:spacing w:after="0" w:line="240" w:lineRule="auto"/>
              <w:jc w:val="center"/>
              <w:rPr>
                <w:rFonts w:ascii="Arial" w:hAnsi="Arial" w:cs="Arial"/>
                <w:sz w:val="16"/>
                <w:szCs w:val="16"/>
              </w:rPr>
            </w:pPr>
            <w:r>
              <w:rPr>
                <w:rFonts w:ascii="Arial" w:hAnsi="Arial" w:cs="Arial"/>
                <w:sz w:val="16"/>
                <w:szCs w:val="16"/>
              </w:rPr>
              <w:t>2020</w:t>
            </w:r>
            <w:r>
              <w:rPr>
                <w:rFonts w:ascii="Arial" w:hAnsi="Arial" w:cs="Arial"/>
                <w:sz w:val="16"/>
                <w:szCs w:val="16"/>
              </w:rPr>
              <w:noBreakHyphen/>
              <w:t>21</w:t>
            </w:r>
          </w:p>
        </w:tc>
      </w:tr>
      <w:tr w:rsidR="00406F17" w:rsidRPr="009C2514" w14:paraId="2884DFAD" w14:textId="77777777" w:rsidTr="00E24A34">
        <w:trPr>
          <w:trHeight w:val="263"/>
        </w:trPr>
        <w:tc>
          <w:tcPr>
            <w:tcW w:w="1551" w:type="pct"/>
            <w:tcBorders>
              <w:top w:val="nil"/>
              <w:left w:val="nil"/>
              <w:bottom w:val="nil"/>
              <w:right w:val="nil"/>
            </w:tcBorders>
            <w:shd w:val="clear" w:color="000000" w:fill="FFFFFF"/>
            <w:noWrap/>
            <w:vAlign w:val="center"/>
            <w:hideMark/>
          </w:tcPr>
          <w:p w14:paraId="77C26935" w14:textId="77777777" w:rsidR="00406F17" w:rsidRPr="009C2514" w:rsidRDefault="00406F17" w:rsidP="006B32E3">
            <w:pPr>
              <w:spacing w:after="0" w:line="240" w:lineRule="auto"/>
              <w:rPr>
                <w:rFonts w:ascii="Arial" w:hAnsi="Arial" w:cs="Arial"/>
                <w:sz w:val="16"/>
                <w:szCs w:val="16"/>
              </w:rPr>
            </w:pPr>
            <w:r w:rsidRPr="009C2514">
              <w:rPr>
                <w:rFonts w:ascii="Arial" w:hAnsi="Arial" w:cs="Arial"/>
                <w:sz w:val="16"/>
                <w:szCs w:val="16"/>
              </w:rPr>
              <w:t>Value of approval</w:t>
            </w:r>
          </w:p>
        </w:tc>
        <w:tc>
          <w:tcPr>
            <w:tcW w:w="169" w:type="pct"/>
            <w:tcBorders>
              <w:top w:val="nil"/>
              <w:left w:val="nil"/>
              <w:bottom w:val="nil"/>
              <w:right w:val="nil"/>
            </w:tcBorders>
            <w:shd w:val="clear" w:color="000000" w:fill="FFFFFF"/>
            <w:noWrap/>
            <w:vAlign w:val="center"/>
            <w:hideMark/>
          </w:tcPr>
          <w:p w14:paraId="784B1148"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 </w:t>
            </w:r>
          </w:p>
        </w:tc>
        <w:tc>
          <w:tcPr>
            <w:tcW w:w="458" w:type="pct"/>
            <w:tcBorders>
              <w:top w:val="single" w:sz="4" w:space="0" w:color="auto"/>
              <w:left w:val="nil"/>
              <w:bottom w:val="nil"/>
              <w:right w:val="nil"/>
            </w:tcBorders>
            <w:shd w:val="clear" w:color="000000" w:fill="FFFFFF"/>
            <w:noWrap/>
            <w:vAlign w:val="center"/>
            <w:hideMark/>
          </w:tcPr>
          <w:p w14:paraId="72E3013F"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No.</w:t>
            </w:r>
          </w:p>
        </w:tc>
        <w:tc>
          <w:tcPr>
            <w:tcW w:w="404" w:type="pct"/>
            <w:tcBorders>
              <w:top w:val="single" w:sz="4" w:space="0" w:color="auto"/>
              <w:left w:val="nil"/>
              <w:bottom w:val="nil"/>
              <w:right w:val="nil"/>
            </w:tcBorders>
            <w:shd w:val="clear" w:color="000000" w:fill="FFFFFF"/>
            <w:noWrap/>
            <w:vAlign w:val="center"/>
            <w:hideMark/>
          </w:tcPr>
          <w:p w14:paraId="09B3C51A"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$b</w:t>
            </w:r>
          </w:p>
        </w:tc>
        <w:tc>
          <w:tcPr>
            <w:tcW w:w="402" w:type="pct"/>
            <w:tcBorders>
              <w:top w:val="single" w:sz="4" w:space="0" w:color="auto"/>
              <w:left w:val="nil"/>
              <w:bottom w:val="nil"/>
              <w:right w:val="nil"/>
            </w:tcBorders>
            <w:shd w:val="clear" w:color="000000" w:fill="FFFFFF"/>
            <w:noWrap/>
            <w:vAlign w:val="center"/>
            <w:hideMark/>
          </w:tcPr>
          <w:p w14:paraId="509D299F"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No.</w:t>
            </w:r>
          </w:p>
        </w:tc>
        <w:tc>
          <w:tcPr>
            <w:tcW w:w="405" w:type="pct"/>
            <w:tcBorders>
              <w:top w:val="single" w:sz="4" w:space="0" w:color="auto"/>
              <w:left w:val="nil"/>
              <w:bottom w:val="nil"/>
              <w:right w:val="nil"/>
            </w:tcBorders>
            <w:shd w:val="clear" w:color="000000" w:fill="FFFFFF"/>
            <w:noWrap/>
            <w:vAlign w:val="center"/>
            <w:hideMark/>
          </w:tcPr>
          <w:p w14:paraId="385294ED"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$b</w:t>
            </w:r>
          </w:p>
        </w:tc>
        <w:tc>
          <w:tcPr>
            <w:tcW w:w="402" w:type="pct"/>
            <w:tcBorders>
              <w:top w:val="single" w:sz="4" w:space="0" w:color="auto"/>
              <w:left w:val="nil"/>
              <w:bottom w:val="nil"/>
              <w:right w:val="nil"/>
            </w:tcBorders>
            <w:shd w:val="clear" w:color="000000" w:fill="FFFFFF"/>
            <w:noWrap/>
            <w:vAlign w:val="center"/>
            <w:hideMark/>
          </w:tcPr>
          <w:p w14:paraId="53280B9B"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No.</w:t>
            </w:r>
          </w:p>
        </w:tc>
        <w:tc>
          <w:tcPr>
            <w:tcW w:w="405" w:type="pct"/>
            <w:tcBorders>
              <w:top w:val="single" w:sz="4" w:space="0" w:color="auto"/>
              <w:left w:val="nil"/>
              <w:bottom w:val="nil"/>
              <w:right w:val="nil"/>
            </w:tcBorders>
            <w:shd w:val="clear" w:color="000000" w:fill="FFFFFF"/>
            <w:noWrap/>
            <w:vAlign w:val="center"/>
            <w:hideMark/>
          </w:tcPr>
          <w:p w14:paraId="42522C66"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$b</w:t>
            </w:r>
          </w:p>
        </w:tc>
        <w:tc>
          <w:tcPr>
            <w:tcW w:w="402" w:type="pct"/>
            <w:tcBorders>
              <w:top w:val="single" w:sz="4" w:space="0" w:color="auto"/>
              <w:left w:val="nil"/>
              <w:bottom w:val="nil"/>
              <w:right w:val="nil"/>
            </w:tcBorders>
            <w:shd w:val="clear" w:color="auto" w:fill="E1E8EB"/>
            <w:noWrap/>
            <w:vAlign w:val="center"/>
            <w:hideMark/>
          </w:tcPr>
          <w:p w14:paraId="657E1EE4"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No.</w:t>
            </w:r>
          </w:p>
        </w:tc>
        <w:tc>
          <w:tcPr>
            <w:tcW w:w="403" w:type="pct"/>
            <w:tcBorders>
              <w:top w:val="single" w:sz="4" w:space="0" w:color="auto"/>
              <w:left w:val="nil"/>
              <w:bottom w:val="nil"/>
              <w:right w:val="nil"/>
            </w:tcBorders>
            <w:shd w:val="clear" w:color="auto" w:fill="E1E8EB"/>
            <w:noWrap/>
            <w:vAlign w:val="center"/>
            <w:hideMark/>
          </w:tcPr>
          <w:p w14:paraId="327408DD"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$b</w:t>
            </w:r>
          </w:p>
        </w:tc>
      </w:tr>
      <w:tr w:rsidR="00406F17" w:rsidRPr="009C2514" w14:paraId="6C409F7D" w14:textId="77777777" w:rsidTr="00E24A34">
        <w:trPr>
          <w:trHeight w:val="263"/>
        </w:trPr>
        <w:tc>
          <w:tcPr>
            <w:tcW w:w="1551" w:type="pct"/>
            <w:tcBorders>
              <w:top w:val="single" w:sz="4" w:space="0" w:color="auto"/>
              <w:left w:val="nil"/>
              <w:bottom w:val="nil"/>
              <w:right w:val="nil"/>
            </w:tcBorders>
            <w:shd w:val="clear" w:color="000000" w:fill="FFFFFF"/>
            <w:noWrap/>
            <w:vAlign w:val="center"/>
            <w:hideMark/>
          </w:tcPr>
          <w:p w14:paraId="0C85BE14" w14:textId="77777777" w:rsidR="00406F17" w:rsidRPr="009C2514" w:rsidRDefault="00406F17" w:rsidP="006B32E3">
            <w:pPr>
              <w:spacing w:after="0" w:line="240" w:lineRule="auto"/>
              <w:rPr>
                <w:rFonts w:ascii="Arial" w:hAnsi="Arial" w:cs="Arial"/>
                <w:sz w:val="16"/>
                <w:szCs w:val="16"/>
              </w:rPr>
            </w:pPr>
            <w:r w:rsidRPr="009C2514">
              <w:rPr>
                <w:rFonts w:ascii="Arial" w:hAnsi="Arial" w:cs="Arial"/>
                <w:sz w:val="16"/>
                <w:szCs w:val="16"/>
              </w:rPr>
              <w:t>&lt; $1 million</w:t>
            </w:r>
          </w:p>
        </w:tc>
        <w:tc>
          <w:tcPr>
            <w:tcW w:w="169" w:type="pct"/>
            <w:tcBorders>
              <w:top w:val="nil"/>
              <w:left w:val="nil"/>
              <w:bottom w:val="nil"/>
              <w:right w:val="nil"/>
            </w:tcBorders>
            <w:shd w:val="clear" w:color="000000" w:fill="FFFFFF"/>
            <w:noWrap/>
            <w:vAlign w:val="center"/>
            <w:hideMark/>
          </w:tcPr>
          <w:p w14:paraId="01D9AAA9"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 </w:t>
            </w:r>
          </w:p>
        </w:tc>
        <w:tc>
          <w:tcPr>
            <w:tcW w:w="458" w:type="pct"/>
            <w:tcBorders>
              <w:top w:val="single" w:sz="4" w:space="0" w:color="auto"/>
              <w:left w:val="nil"/>
              <w:bottom w:val="nil"/>
              <w:right w:val="nil"/>
            </w:tcBorders>
            <w:shd w:val="clear" w:color="000000" w:fill="FFFFFF"/>
            <w:noWrap/>
            <w:vAlign w:val="center"/>
            <w:hideMark/>
          </w:tcPr>
          <w:p w14:paraId="1674BB03"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7,618</w:t>
            </w:r>
          </w:p>
        </w:tc>
        <w:tc>
          <w:tcPr>
            <w:tcW w:w="404" w:type="pct"/>
            <w:tcBorders>
              <w:top w:val="single" w:sz="4" w:space="0" w:color="auto"/>
              <w:left w:val="nil"/>
              <w:bottom w:val="nil"/>
              <w:right w:val="nil"/>
            </w:tcBorders>
            <w:shd w:val="clear" w:color="000000" w:fill="FFFFFF"/>
            <w:noWrap/>
            <w:vAlign w:val="center"/>
            <w:hideMark/>
          </w:tcPr>
          <w:p w14:paraId="17371C9D"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4.1</w:t>
            </w:r>
          </w:p>
        </w:tc>
        <w:tc>
          <w:tcPr>
            <w:tcW w:w="402" w:type="pct"/>
            <w:tcBorders>
              <w:top w:val="single" w:sz="4" w:space="0" w:color="auto"/>
              <w:left w:val="nil"/>
              <w:bottom w:val="nil"/>
              <w:right w:val="nil"/>
            </w:tcBorders>
            <w:shd w:val="clear" w:color="000000" w:fill="FFFFFF"/>
            <w:noWrap/>
            <w:vAlign w:val="center"/>
            <w:hideMark/>
          </w:tcPr>
          <w:p w14:paraId="38517832"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6,021</w:t>
            </w:r>
          </w:p>
        </w:tc>
        <w:tc>
          <w:tcPr>
            <w:tcW w:w="405" w:type="pct"/>
            <w:tcBorders>
              <w:top w:val="single" w:sz="4" w:space="0" w:color="auto"/>
              <w:left w:val="nil"/>
              <w:bottom w:val="nil"/>
              <w:right w:val="nil"/>
            </w:tcBorders>
            <w:shd w:val="clear" w:color="000000" w:fill="FFFFFF"/>
            <w:noWrap/>
            <w:vAlign w:val="center"/>
            <w:hideMark/>
          </w:tcPr>
          <w:p w14:paraId="287CE2BE"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3.1</w:t>
            </w:r>
          </w:p>
        </w:tc>
        <w:tc>
          <w:tcPr>
            <w:tcW w:w="402" w:type="pct"/>
            <w:tcBorders>
              <w:top w:val="single" w:sz="4" w:space="0" w:color="auto"/>
              <w:left w:val="nil"/>
              <w:bottom w:val="nil"/>
              <w:right w:val="nil"/>
            </w:tcBorders>
            <w:shd w:val="clear" w:color="000000" w:fill="FFFFFF"/>
            <w:noWrap/>
            <w:vAlign w:val="center"/>
            <w:hideMark/>
          </w:tcPr>
          <w:p w14:paraId="5A135EED"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5,665</w:t>
            </w:r>
          </w:p>
        </w:tc>
        <w:tc>
          <w:tcPr>
            <w:tcW w:w="405" w:type="pct"/>
            <w:tcBorders>
              <w:top w:val="single" w:sz="4" w:space="0" w:color="auto"/>
              <w:left w:val="nil"/>
              <w:bottom w:val="nil"/>
              <w:right w:val="nil"/>
            </w:tcBorders>
            <w:shd w:val="clear" w:color="000000" w:fill="FFFFFF"/>
            <w:noWrap/>
            <w:vAlign w:val="center"/>
            <w:hideMark/>
          </w:tcPr>
          <w:p w14:paraId="342D8403"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3.0</w:t>
            </w:r>
          </w:p>
        </w:tc>
        <w:tc>
          <w:tcPr>
            <w:tcW w:w="402" w:type="pct"/>
            <w:tcBorders>
              <w:top w:val="single" w:sz="4" w:space="0" w:color="auto"/>
              <w:left w:val="nil"/>
              <w:bottom w:val="nil"/>
              <w:right w:val="nil"/>
            </w:tcBorders>
            <w:shd w:val="clear" w:color="auto" w:fill="E1E8EB"/>
            <w:noWrap/>
            <w:vAlign w:val="center"/>
            <w:hideMark/>
          </w:tcPr>
          <w:p w14:paraId="512E3FBB"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3,982</w:t>
            </w:r>
          </w:p>
        </w:tc>
        <w:tc>
          <w:tcPr>
            <w:tcW w:w="403" w:type="pct"/>
            <w:tcBorders>
              <w:top w:val="single" w:sz="4" w:space="0" w:color="auto"/>
              <w:left w:val="nil"/>
              <w:bottom w:val="nil"/>
              <w:right w:val="nil"/>
            </w:tcBorders>
            <w:shd w:val="clear" w:color="auto" w:fill="E1E8EB"/>
            <w:noWrap/>
            <w:vAlign w:val="center"/>
            <w:hideMark/>
          </w:tcPr>
          <w:p w14:paraId="764FBE33"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2.0</w:t>
            </w:r>
          </w:p>
        </w:tc>
      </w:tr>
      <w:tr w:rsidR="00406F17" w:rsidRPr="009C2514" w14:paraId="7B2A716C" w14:textId="77777777" w:rsidTr="00E24A34">
        <w:trPr>
          <w:trHeight w:val="263"/>
        </w:trPr>
        <w:tc>
          <w:tcPr>
            <w:tcW w:w="1551" w:type="pct"/>
            <w:tcBorders>
              <w:top w:val="nil"/>
              <w:left w:val="nil"/>
              <w:bottom w:val="nil"/>
              <w:right w:val="nil"/>
            </w:tcBorders>
            <w:shd w:val="clear" w:color="000000" w:fill="FFFFFF"/>
            <w:noWrap/>
            <w:vAlign w:val="center"/>
            <w:hideMark/>
          </w:tcPr>
          <w:p w14:paraId="06336D15" w14:textId="77777777" w:rsidR="00406F17" w:rsidRPr="009C2514" w:rsidRDefault="00406F17" w:rsidP="006B32E3">
            <w:pPr>
              <w:spacing w:after="0" w:line="240" w:lineRule="auto"/>
              <w:rPr>
                <w:rFonts w:ascii="Arial" w:hAnsi="Arial" w:cs="Arial"/>
                <w:sz w:val="16"/>
                <w:szCs w:val="16"/>
              </w:rPr>
            </w:pPr>
            <w:r w:rsidRPr="009C2514">
              <w:rPr>
                <w:rFonts w:ascii="Arial" w:hAnsi="Arial" w:cs="Arial"/>
                <w:sz w:val="16"/>
                <w:szCs w:val="16"/>
              </w:rPr>
              <w:t>≥ $1 million &amp; &lt; $50 million</w:t>
            </w:r>
          </w:p>
        </w:tc>
        <w:tc>
          <w:tcPr>
            <w:tcW w:w="169" w:type="pct"/>
            <w:tcBorders>
              <w:top w:val="nil"/>
              <w:left w:val="nil"/>
              <w:bottom w:val="nil"/>
              <w:right w:val="nil"/>
            </w:tcBorders>
            <w:shd w:val="clear" w:color="000000" w:fill="FFFFFF"/>
            <w:noWrap/>
            <w:vAlign w:val="center"/>
            <w:hideMark/>
          </w:tcPr>
          <w:p w14:paraId="7DEC7D0A"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 </w:t>
            </w:r>
          </w:p>
        </w:tc>
        <w:tc>
          <w:tcPr>
            <w:tcW w:w="458" w:type="pct"/>
            <w:tcBorders>
              <w:top w:val="nil"/>
              <w:left w:val="nil"/>
              <w:bottom w:val="nil"/>
              <w:right w:val="nil"/>
            </w:tcBorders>
            <w:shd w:val="clear" w:color="000000" w:fill="FFFFFF"/>
            <w:noWrap/>
            <w:vAlign w:val="center"/>
            <w:hideMark/>
          </w:tcPr>
          <w:p w14:paraId="7485F499"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2,995</w:t>
            </w:r>
          </w:p>
        </w:tc>
        <w:tc>
          <w:tcPr>
            <w:tcW w:w="404" w:type="pct"/>
            <w:tcBorders>
              <w:top w:val="nil"/>
              <w:left w:val="nil"/>
              <w:bottom w:val="nil"/>
              <w:right w:val="nil"/>
            </w:tcBorders>
            <w:shd w:val="clear" w:color="000000" w:fill="FFFFFF"/>
            <w:noWrap/>
            <w:vAlign w:val="center"/>
            <w:hideMark/>
          </w:tcPr>
          <w:p w14:paraId="5205771C"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11.3</w:t>
            </w:r>
          </w:p>
        </w:tc>
        <w:tc>
          <w:tcPr>
            <w:tcW w:w="402" w:type="pct"/>
            <w:tcBorders>
              <w:top w:val="nil"/>
              <w:left w:val="nil"/>
              <w:bottom w:val="nil"/>
              <w:right w:val="nil"/>
            </w:tcBorders>
            <w:shd w:val="clear" w:color="000000" w:fill="FFFFFF"/>
            <w:noWrap/>
            <w:vAlign w:val="center"/>
            <w:hideMark/>
          </w:tcPr>
          <w:p w14:paraId="36B74BCF"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2,160</w:t>
            </w:r>
          </w:p>
        </w:tc>
        <w:tc>
          <w:tcPr>
            <w:tcW w:w="405" w:type="pct"/>
            <w:tcBorders>
              <w:top w:val="nil"/>
              <w:left w:val="nil"/>
              <w:bottom w:val="nil"/>
              <w:right w:val="nil"/>
            </w:tcBorders>
            <w:shd w:val="clear" w:color="000000" w:fill="FFFFFF"/>
            <w:noWrap/>
            <w:vAlign w:val="center"/>
            <w:hideMark/>
          </w:tcPr>
          <w:p w14:paraId="30E4077C"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10.0</w:t>
            </w:r>
          </w:p>
        </w:tc>
        <w:tc>
          <w:tcPr>
            <w:tcW w:w="402" w:type="pct"/>
            <w:tcBorders>
              <w:top w:val="nil"/>
              <w:left w:val="nil"/>
              <w:bottom w:val="nil"/>
              <w:right w:val="nil"/>
            </w:tcBorders>
            <w:shd w:val="clear" w:color="000000" w:fill="FFFFFF"/>
            <w:noWrap/>
            <w:vAlign w:val="center"/>
            <w:hideMark/>
          </w:tcPr>
          <w:p w14:paraId="36FFFE3C"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2,062</w:t>
            </w:r>
          </w:p>
        </w:tc>
        <w:tc>
          <w:tcPr>
            <w:tcW w:w="405" w:type="pct"/>
            <w:tcBorders>
              <w:top w:val="nil"/>
              <w:left w:val="nil"/>
              <w:bottom w:val="nil"/>
              <w:right w:val="nil"/>
            </w:tcBorders>
            <w:shd w:val="clear" w:color="000000" w:fill="FFFFFF"/>
            <w:noWrap/>
            <w:vAlign w:val="center"/>
            <w:hideMark/>
          </w:tcPr>
          <w:p w14:paraId="15C903A4"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9.7</w:t>
            </w:r>
          </w:p>
        </w:tc>
        <w:tc>
          <w:tcPr>
            <w:tcW w:w="402" w:type="pct"/>
            <w:tcBorders>
              <w:top w:val="nil"/>
              <w:left w:val="nil"/>
              <w:bottom w:val="nil"/>
              <w:right w:val="nil"/>
            </w:tcBorders>
            <w:shd w:val="clear" w:color="auto" w:fill="E1E8EB"/>
            <w:noWrap/>
            <w:vAlign w:val="center"/>
            <w:hideMark/>
          </w:tcPr>
          <w:p w14:paraId="5B9D54C3"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1,958</w:t>
            </w:r>
          </w:p>
        </w:tc>
        <w:tc>
          <w:tcPr>
            <w:tcW w:w="403" w:type="pct"/>
            <w:tcBorders>
              <w:top w:val="nil"/>
              <w:left w:val="nil"/>
              <w:bottom w:val="nil"/>
              <w:right w:val="nil"/>
            </w:tcBorders>
            <w:shd w:val="clear" w:color="auto" w:fill="E1E8EB"/>
            <w:noWrap/>
            <w:vAlign w:val="center"/>
            <w:hideMark/>
          </w:tcPr>
          <w:p w14:paraId="3DC9A0CB"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14.3</w:t>
            </w:r>
          </w:p>
        </w:tc>
      </w:tr>
      <w:tr w:rsidR="00406F17" w:rsidRPr="009C2514" w14:paraId="09709491" w14:textId="77777777" w:rsidTr="00E24A34">
        <w:trPr>
          <w:trHeight w:val="263"/>
        </w:trPr>
        <w:tc>
          <w:tcPr>
            <w:tcW w:w="1551" w:type="pct"/>
            <w:tcBorders>
              <w:top w:val="nil"/>
              <w:left w:val="nil"/>
              <w:bottom w:val="nil"/>
              <w:right w:val="nil"/>
            </w:tcBorders>
            <w:shd w:val="clear" w:color="000000" w:fill="FFFFFF"/>
            <w:noWrap/>
            <w:vAlign w:val="center"/>
            <w:hideMark/>
          </w:tcPr>
          <w:p w14:paraId="264E28BC" w14:textId="77777777" w:rsidR="00406F17" w:rsidRPr="009C2514" w:rsidRDefault="00406F17" w:rsidP="006B32E3">
            <w:pPr>
              <w:spacing w:after="0" w:line="240" w:lineRule="auto"/>
              <w:rPr>
                <w:rFonts w:ascii="Arial" w:hAnsi="Arial" w:cs="Arial"/>
                <w:sz w:val="16"/>
                <w:szCs w:val="16"/>
              </w:rPr>
            </w:pPr>
            <w:r w:rsidRPr="009C2514">
              <w:rPr>
                <w:rFonts w:ascii="Arial" w:hAnsi="Arial" w:cs="Arial"/>
                <w:sz w:val="16"/>
                <w:szCs w:val="16"/>
              </w:rPr>
              <w:t>≥ $50 million &amp; &lt; $100 million</w:t>
            </w:r>
          </w:p>
        </w:tc>
        <w:tc>
          <w:tcPr>
            <w:tcW w:w="169" w:type="pct"/>
            <w:tcBorders>
              <w:top w:val="nil"/>
              <w:left w:val="nil"/>
              <w:bottom w:val="nil"/>
              <w:right w:val="nil"/>
            </w:tcBorders>
            <w:shd w:val="clear" w:color="000000" w:fill="FFFFFF"/>
            <w:noWrap/>
            <w:vAlign w:val="center"/>
            <w:hideMark/>
          </w:tcPr>
          <w:p w14:paraId="1F7D6860"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 </w:t>
            </w:r>
          </w:p>
        </w:tc>
        <w:tc>
          <w:tcPr>
            <w:tcW w:w="458" w:type="pct"/>
            <w:tcBorders>
              <w:top w:val="nil"/>
              <w:left w:val="nil"/>
              <w:bottom w:val="nil"/>
              <w:right w:val="nil"/>
            </w:tcBorders>
            <w:shd w:val="clear" w:color="000000" w:fill="FFFFFF"/>
            <w:noWrap/>
            <w:vAlign w:val="center"/>
            <w:hideMark/>
          </w:tcPr>
          <w:p w14:paraId="2919E792"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103</w:t>
            </w:r>
          </w:p>
        </w:tc>
        <w:tc>
          <w:tcPr>
            <w:tcW w:w="404" w:type="pct"/>
            <w:tcBorders>
              <w:top w:val="nil"/>
              <w:left w:val="nil"/>
              <w:bottom w:val="nil"/>
              <w:right w:val="nil"/>
            </w:tcBorders>
            <w:shd w:val="clear" w:color="000000" w:fill="FFFFFF"/>
            <w:noWrap/>
            <w:vAlign w:val="center"/>
            <w:hideMark/>
          </w:tcPr>
          <w:p w14:paraId="61D58475"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7.3</w:t>
            </w:r>
          </w:p>
        </w:tc>
        <w:tc>
          <w:tcPr>
            <w:tcW w:w="402" w:type="pct"/>
            <w:tcBorders>
              <w:top w:val="nil"/>
              <w:left w:val="nil"/>
              <w:bottom w:val="nil"/>
              <w:right w:val="nil"/>
            </w:tcBorders>
            <w:shd w:val="clear" w:color="000000" w:fill="FFFFFF"/>
            <w:noWrap/>
            <w:vAlign w:val="center"/>
            <w:hideMark/>
          </w:tcPr>
          <w:p w14:paraId="57477417"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103</w:t>
            </w:r>
          </w:p>
        </w:tc>
        <w:tc>
          <w:tcPr>
            <w:tcW w:w="405" w:type="pct"/>
            <w:tcBorders>
              <w:top w:val="nil"/>
              <w:left w:val="nil"/>
              <w:bottom w:val="nil"/>
              <w:right w:val="nil"/>
            </w:tcBorders>
            <w:shd w:val="clear" w:color="000000" w:fill="FFFFFF"/>
            <w:noWrap/>
            <w:vAlign w:val="center"/>
            <w:hideMark/>
          </w:tcPr>
          <w:p w14:paraId="6B3D6C4C"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7.2</w:t>
            </w:r>
          </w:p>
        </w:tc>
        <w:tc>
          <w:tcPr>
            <w:tcW w:w="402" w:type="pct"/>
            <w:tcBorders>
              <w:top w:val="nil"/>
              <w:left w:val="nil"/>
              <w:bottom w:val="nil"/>
              <w:right w:val="nil"/>
            </w:tcBorders>
            <w:shd w:val="clear" w:color="000000" w:fill="FFFFFF"/>
            <w:noWrap/>
            <w:vAlign w:val="center"/>
            <w:hideMark/>
          </w:tcPr>
          <w:p w14:paraId="2E708690"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88</w:t>
            </w:r>
          </w:p>
        </w:tc>
        <w:tc>
          <w:tcPr>
            <w:tcW w:w="405" w:type="pct"/>
            <w:tcBorders>
              <w:top w:val="nil"/>
              <w:left w:val="nil"/>
              <w:bottom w:val="nil"/>
              <w:right w:val="nil"/>
            </w:tcBorders>
            <w:shd w:val="clear" w:color="000000" w:fill="FFFFFF"/>
            <w:noWrap/>
            <w:vAlign w:val="center"/>
            <w:hideMark/>
          </w:tcPr>
          <w:p w14:paraId="2DE70BF8"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6.1</w:t>
            </w:r>
          </w:p>
        </w:tc>
        <w:tc>
          <w:tcPr>
            <w:tcW w:w="402" w:type="pct"/>
            <w:tcBorders>
              <w:top w:val="nil"/>
              <w:left w:val="nil"/>
              <w:bottom w:val="nil"/>
              <w:right w:val="nil"/>
            </w:tcBorders>
            <w:shd w:val="clear" w:color="auto" w:fill="E1E8EB"/>
            <w:noWrap/>
            <w:vAlign w:val="center"/>
            <w:hideMark/>
          </w:tcPr>
          <w:p w14:paraId="13C2F1C7"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141</w:t>
            </w:r>
          </w:p>
        </w:tc>
        <w:tc>
          <w:tcPr>
            <w:tcW w:w="403" w:type="pct"/>
            <w:tcBorders>
              <w:top w:val="nil"/>
              <w:left w:val="nil"/>
              <w:bottom w:val="nil"/>
              <w:right w:val="nil"/>
            </w:tcBorders>
            <w:shd w:val="clear" w:color="auto" w:fill="E1E8EB"/>
            <w:noWrap/>
            <w:vAlign w:val="center"/>
            <w:hideMark/>
          </w:tcPr>
          <w:p w14:paraId="38C21A1D"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10.0</w:t>
            </w:r>
          </w:p>
        </w:tc>
      </w:tr>
      <w:tr w:rsidR="00406F17" w:rsidRPr="009C2514" w14:paraId="7737322F" w14:textId="77777777" w:rsidTr="00E24A34">
        <w:trPr>
          <w:trHeight w:val="263"/>
        </w:trPr>
        <w:tc>
          <w:tcPr>
            <w:tcW w:w="1551" w:type="pct"/>
            <w:tcBorders>
              <w:top w:val="nil"/>
              <w:left w:val="nil"/>
              <w:bottom w:val="nil"/>
              <w:right w:val="nil"/>
            </w:tcBorders>
            <w:shd w:val="clear" w:color="000000" w:fill="FFFFFF"/>
            <w:noWrap/>
            <w:vAlign w:val="center"/>
            <w:hideMark/>
          </w:tcPr>
          <w:p w14:paraId="3F0043D6" w14:textId="77777777" w:rsidR="00406F17" w:rsidRPr="009C2514" w:rsidRDefault="00406F17" w:rsidP="006B32E3">
            <w:pPr>
              <w:spacing w:after="0" w:line="240" w:lineRule="auto"/>
              <w:rPr>
                <w:rFonts w:ascii="Arial" w:hAnsi="Arial" w:cs="Arial"/>
                <w:sz w:val="16"/>
                <w:szCs w:val="16"/>
              </w:rPr>
            </w:pPr>
            <w:r w:rsidRPr="009C2514">
              <w:rPr>
                <w:rFonts w:ascii="Arial" w:hAnsi="Arial" w:cs="Arial"/>
                <w:sz w:val="16"/>
                <w:szCs w:val="16"/>
              </w:rPr>
              <w:t>≥ $100 million &amp; &lt; $500 million</w:t>
            </w:r>
          </w:p>
        </w:tc>
        <w:tc>
          <w:tcPr>
            <w:tcW w:w="169" w:type="pct"/>
            <w:tcBorders>
              <w:top w:val="nil"/>
              <w:left w:val="nil"/>
              <w:bottom w:val="nil"/>
              <w:right w:val="nil"/>
            </w:tcBorders>
            <w:shd w:val="clear" w:color="000000" w:fill="FFFFFF"/>
            <w:noWrap/>
            <w:vAlign w:val="center"/>
            <w:hideMark/>
          </w:tcPr>
          <w:p w14:paraId="08373553"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 </w:t>
            </w:r>
          </w:p>
        </w:tc>
        <w:tc>
          <w:tcPr>
            <w:tcW w:w="458" w:type="pct"/>
            <w:tcBorders>
              <w:top w:val="nil"/>
              <w:left w:val="nil"/>
              <w:bottom w:val="nil"/>
              <w:right w:val="nil"/>
            </w:tcBorders>
            <w:shd w:val="clear" w:color="000000" w:fill="FFFFFF"/>
            <w:noWrap/>
            <w:vAlign w:val="center"/>
            <w:hideMark/>
          </w:tcPr>
          <w:p w14:paraId="490556B1"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213</w:t>
            </w:r>
          </w:p>
        </w:tc>
        <w:tc>
          <w:tcPr>
            <w:tcW w:w="404" w:type="pct"/>
            <w:tcBorders>
              <w:top w:val="nil"/>
              <w:left w:val="nil"/>
              <w:bottom w:val="nil"/>
              <w:right w:val="nil"/>
            </w:tcBorders>
            <w:shd w:val="clear" w:color="000000" w:fill="FFFFFF"/>
            <w:noWrap/>
            <w:vAlign w:val="center"/>
            <w:hideMark/>
          </w:tcPr>
          <w:p w14:paraId="6CDB9E36"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44.9</w:t>
            </w:r>
          </w:p>
        </w:tc>
        <w:tc>
          <w:tcPr>
            <w:tcW w:w="402" w:type="pct"/>
            <w:tcBorders>
              <w:top w:val="nil"/>
              <w:left w:val="nil"/>
              <w:bottom w:val="nil"/>
              <w:right w:val="nil"/>
            </w:tcBorders>
            <w:shd w:val="clear" w:color="000000" w:fill="FFFFFF"/>
            <w:noWrap/>
            <w:vAlign w:val="center"/>
            <w:hideMark/>
          </w:tcPr>
          <w:p w14:paraId="40517C9F"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219</w:t>
            </w:r>
          </w:p>
        </w:tc>
        <w:tc>
          <w:tcPr>
            <w:tcW w:w="405" w:type="pct"/>
            <w:tcBorders>
              <w:top w:val="nil"/>
              <w:left w:val="nil"/>
              <w:bottom w:val="nil"/>
              <w:right w:val="nil"/>
            </w:tcBorders>
            <w:shd w:val="clear" w:color="000000" w:fill="FFFFFF"/>
            <w:noWrap/>
            <w:vAlign w:val="center"/>
            <w:hideMark/>
          </w:tcPr>
          <w:p w14:paraId="1126B51C"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47.3</w:t>
            </w:r>
          </w:p>
        </w:tc>
        <w:tc>
          <w:tcPr>
            <w:tcW w:w="402" w:type="pct"/>
            <w:tcBorders>
              <w:top w:val="nil"/>
              <w:left w:val="nil"/>
              <w:bottom w:val="nil"/>
              <w:right w:val="nil"/>
            </w:tcBorders>
            <w:shd w:val="clear" w:color="000000" w:fill="FFFFFF"/>
            <w:noWrap/>
            <w:vAlign w:val="center"/>
            <w:hideMark/>
          </w:tcPr>
          <w:p w14:paraId="14FEA261"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216</w:t>
            </w:r>
          </w:p>
        </w:tc>
        <w:tc>
          <w:tcPr>
            <w:tcW w:w="405" w:type="pct"/>
            <w:tcBorders>
              <w:top w:val="nil"/>
              <w:left w:val="nil"/>
              <w:bottom w:val="nil"/>
              <w:right w:val="nil"/>
            </w:tcBorders>
            <w:shd w:val="clear" w:color="000000" w:fill="FFFFFF"/>
            <w:noWrap/>
            <w:vAlign w:val="center"/>
            <w:hideMark/>
          </w:tcPr>
          <w:p w14:paraId="07A8275A"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50.5</w:t>
            </w:r>
          </w:p>
        </w:tc>
        <w:tc>
          <w:tcPr>
            <w:tcW w:w="402" w:type="pct"/>
            <w:tcBorders>
              <w:top w:val="nil"/>
              <w:left w:val="nil"/>
              <w:bottom w:val="nil"/>
              <w:right w:val="nil"/>
            </w:tcBorders>
            <w:shd w:val="clear" w:color="auto" w:fill="E1E8EB"/>
            <w:noWrap/>
            <w:vAlign w:val="center"/>
            <w:hideMark/>
          </w:tcPr>
          <w:p w14:paraId="58FA5F71"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251</w:t>
            </w:r>
          </w:p>
        </w:tc>
        <w:tc>
          <w:tcPr>
            <w:tcW w:w="403" w:type="pct"/>
            <w:tcBorders>
              <w:top w:val="nil"/>
              <w:left w:val="nil"/>
              <w:bottom w:val="nil"/>
              <w:right w:val="nil"/>
            </w:tcBorders>
            <w:shd w:val="clear" w:color="auto" w:fill="E1E8EB"/>
            <w:noWrap/>
            <w:vAlign w:val="center"/>
            <w:hideMark/>
          </w:tcPr>
          <w:p w14:paraId="182C514A"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56.7</w:t>
            </w:r>
          </w:p>
        </w:tc>
      </w:tr>
      <w:tr w:rsidR="00406F17" w:rsidRPr="009C2514" w14:paraId="2237893C" w14:textId="77777777" w:rsidTr="00E24A34">
        <w:trPr>
          <w:trHeight w:val="263"/>
        </w:trPr>
        <w:tc>
          <w:tcPr>
            <w:tcW w:w="1551" w:type="pct"/>
            <w:tcBorders>
              <w:top w:val="nil"/>
              <w:left w:val="nil"/>
              <w:bottom w:val="nil"/>
              <w:right w:val="nil"/>
            </w:tcBorders>
            <w:shd w:val="clear" w:color="000000" w:fill="FFFFFF"/>
            <w:noWrap/>
            <w:vAlign w:val="center"/>
            <w:hideMark/>
          </w:tcPr>
          <w:p w14:paraId="1B8D3F05" w14:textId="77777777" w:rsidR="00406F17" w:rsidRPr="009C2514" w:rsidRDefault="00406F17" w:rsidP="006B32E3">
            <w:pPr>
              <w:spacing w:after="0" w:line="240" w:lineRule="auto"/>
              <w:rPr>
                <w:rFonts w:ascii="Arial" w:hAnsi="Arial" w:cs="Arial"/>
                <w:sz w:val="16"/>
                <w:szCs w:val="16"/>
              </w:rPr>
            </w:pPr>
            <w:r w:rsidRPr="009C2514">
              <w:rPr>
                <w:rFonts w:ascii="Arial" w:hAnsi="Arial" w:cs="Arial"/>
                <w:sz w:val="16"/>
                <w:szCs w:val="16"/>
              </w:rPr>
              <w:t>≥ $500 million &amp; &lt; $1 billion</w:t>
            </w:r>
          </w:p>
        </w:tc>
        <w:tc>
          <w:tcPr>
            <w:tcW w:w="169" w:type="pct"/>
            <w:tcBorders>
              <w:top w:val="nil"/>
              <w:left w:val="nil"/>
              <w:bottom w:val="nil"/>
              <w:right w:val="nil"/>
            </w:tcBorders>
            <w:shd w:val="clear" w:color="000000" w:fill="FFFFFF"/>
            <w:noWrap/>
            <w:vAlign w:val="center"/>
            <w:hideMark/>
          </w:tcPr>
          <w:p w14:paraId="14B765BB"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 </w:t>
            </w:r>
          </w:p>
        </w:tc>
        <w:tc>
          <w:tcPr>
            <w:tcW w:w="458" w:type="pct"/>
            <w:tcBorders>
              <w:top w:val="nil"/>
              <w:left w:val="nil"/>
              <w:bottom w:val="nil"/>
              <w:right w:val="nil"/>
            </w:tcBorders>
            <w:shd w:val="clear" w:color="000000" w:fill="FFFFFF"/>
            <w:noWrap/>
            <w:vAlign w:val="center"/>
            <w:hideMark/>
          </w:tcPr>
          <w:p w14:paraId="5AC67247"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53</w:t>
            </w:r>
          </w:p>
        </w:tc>
        <w:tc>
          <w:tcPr>
            <w:tcW w:w="404" w:type="pct"/>
            <w:tcBorders>
              <w:top w:val="nil"/>
              <w:left w:val="nil"/>
              <w:bottom w:val="nil"/>
              <w:right w:val="nil"/>
            </w:tcBorders>
            <w:shd w:val="clear" w:color="000000" w:fill="FFFFFF"/>
            <w:noWrap/>
            <w:vAlign w:val="center"/>
            <w:hideMark/>
          </w:tcPr>
          <w:p w14:paraId="0A1AE23E"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34.8</w:t>
            </w:r>
          </w:p>
        </w:tc>
        <w:tc>
          <w:tcPr>
            <w:tcW w:w="402" w:type="pct"/>
            <w:tcBorders>
              <w:top w:val="nil"/>
              <w:left w:val="nil"/>
              <w:bottom w:val="nil"/>
              <w:right w:val="nil"/>
            </w:tcBorders>
            <w:shd w:val="clear" w:color="000000" w:fill="FFFFFF"/>
            <w:noWrap/>
            <w:vAlign w:val="center"/>
            <w:hideMark/>
          </w:tcPr>
          <w:p w14:paraId="44660CD6"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49</w:t>
            </w:r>
          </w:p>
        </w:tc>
        <w:tc>
          <w:tcPr>
            <w:tcW w:w="405" w:type="pct"/>
            <w:tcBorders>
              <w:top w:val="nil"/>
              <w:left w:val="nil"/>
              <w:bottom w:val="nil"/>
              <w:right w:val="nil"/>
            </w:tcBorders>
            <w:shd w:val="clear" w:color="000000" w:fill="FFFFFF"/>
            <w:noWrap/>
            <w:vAlign w:val="center"/>
            <w:hideMark/>
          </w:tcPr>
          <w:p w14:paraId="1A073CF2"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33.5</w:t>
            </w:r>
          </w:p>
        </w:tc>
        <w:tc>
          <w:tcPr>
            <w:tcW w:w="402" w:type="pct"/>
            <w:tcBorders>
              <w:top w:val="nil"/>
              <w:left w:val="nil"/>
              <w:bottom w:val="nil"/>
              <w:right w:val="nil"/>
            </w:tcBorders>
            <w:shd w:val="clear" w:color="000000" w:fill="FFFFFF"/>
            <w:noWrap/>
            <w:vAlign w:val="center"/>
            <w:hideMark/>
          </w:tcPr>
          <w:p w14:paraId="22B9C32B"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48</w:t>
            </w:r>
          </w:p>
        </w:tc>
        <w:tc>
          <w:tcPr>
            <w:tcW w:w="405" w:type="pct"/>
            <w:tcBorders>
              <w:top w:val="nil"/>
              <w:left w:val="nil"/>
              <w:bottom w:val="nil"/>
              <w:right w:val="nil"/>
            </w:tcBorders>
            <w:shd w:val="clear" w:color="000000" w:fill="FFFFFF"/>
            <w:noWrap/>
            <w:vAlign w:val="center"/>
            <w:hideMark/>
          </w:tcPr>
          <w:p w14:paraId="4B810563"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34.7</w:t>
            </w:r>
          </w:p>
        </w:tc>
        <w:tc>
          <w:tcPr>
            <w:tcW w:w="402" w:type="pct"/>
            <w:tcBorders>
              <w:top w:val="nil"/>
              <w:left w:val="nil"/>
              <w:bottom w:val="nil"/>
              <w:right w:val="nil"/>
            </w:tcBorders>
            <w:shd w:val="clear" w:color="auto" w:fill="E1E8EB"/>
            <w:noWrap/>
            <w:vAlign w:val="center"/>
            <w:hideMark/>
          </w:tcPr>
          <w:p w14:paraId="2FB88CB8"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78</w:t>
            </w:r>
          </w:p>
        </w:tc>
        <w:tc>
          <w:tcPr>
            <w:tcW w:w="403" w:type="pct"/>
            <w:tcBorders>
              <w:top w:val="nil"/>
              <w:left w:val="nil"/>
              <w:bottom w:val="nil"/>
              <w:right w:val="nil"/>
            </w:tcBorders>
            <w:shd w:val="clear" w:color="auto" w:fill="E1E8EB"/>
            <w:noWrap/>
            <w:vAlign w:val="center"/>
            <w:hideMark/>
          </w:tcPr>
          <w:p w14:paraId="55FB3BF2"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52.0</w:t>
            </w:r>
          </w:p>
        </w:tc>
      </w:tr>
      <w:tr w:rsidR="00406F17" w:rsidRPr="009C2514" w14:paraId="52F91089" w14:textId="77777777" w:rsidTr="00E24A34">
        <w:trPr>
          <w:trHeight w:val="263"/>
        </w:trPr>
        <w:tc>
          <w:tcPr>
            <w:tcW w:w="1551" w:type="pct"/>
            <w:tcBorders>
              <w:top w:val="nil"/>
              <w:left w:val="nil"/>
              <w:bottom w:val="nil"/>
              <w:right w:val="nil"/>
            </w:tcBorders>
            <w:shd w:val="clear" w:color="000000" w:fill="FFFFFF"/>
            <w:noWrap/>
            <w:vAlign w:val="center"/>
            <w:hideMark/>
          </w:tcPr>
          <w:p w14:paraId="47987FDD" w14:textId="77777777" w:rsidR="00406F17" w:rsidRPr="009C2514" w:rsidRDefault="00406F17" w:rsidP="006B32E3">
            <w:pPr>
              <w:spacing w:after="0" w:line="240" w:lineRule="auto"/>
              <w:rPr>
                <w:rFonts w:ascii="Arial" w:hAnsi="Arial" w:cs="Arial"/>
                <w:sz w:val="16"/>
                <w:szCs w:val="16"/>
              </w:rPr>
            </w:pPr>
            <w:r w:rsidRPr="009C2514">
              <w:rPr>
                <w:rFonts w:ascii="Arial" w:hAnsi="Arial" w:cs="Arial"/>
                <w:sz w:val="16"/>
                <w:szCs w:val="16"/>
              </w:rPr>
              <w:t>≥ $1 billion &amp; &lt; $2 billion</w:t>
            </w:r>
          </w:p>
        </w:tc>
        <w:tc>
          <w:tcPr>
            <w:tcW w:w="169" w:type="pct"/>
            <w:tcBorders>
              <w:top w:val="nil"/>
              <w:left w:val="nil"/>
              <w:bottom w:val="nil"/>
              <w:right w:val="nil"/>
            </w:tcBorders>
            <w:shd w:val="clear" w:color="000000" w:fill="FFFFFF"/>
            <w:noWrap/>
            <w:vAlign w:val="center"/>
            <w:hideMark/>
          </w:tcPr>
          <w:p w14:paraId="406E1C8C"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 </w:t>
            </w:r>
          </w:p>
        </w:tc>
        <w:tc>
          <w:tcPr>
            <w:tcW w:w="458" w:type="pct"/>
            <w:tcBorders>
              <w:top w:val="nil"/>
              <w:left w:val="nil"/>
              <w:bottom w:val="nil"/>
              <w:right w:val="nil"/>
            </w:tcBorders>
            <w:shd w:val="clear" w:color="000000" w:fill="FFFFFF"/>
            <w:noWrap/>
            <w:vAlign w:val="center"/>
            <w:hideMark/>
          </w:tcPr>
          <w:p w14:paraId="5B4A09D7"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22</w:t>
            </w:r>
          </w:p>
        </w:tc>
        <w:tc>
          <w:tcPr>
            <w:tcW w:w="404" w:type="pct"/>
            <w:tcBorders>
              <w:top w:val="nil"/>
              <w:left w:val="nil"/>
              <w:bottom w:val="nil"/>
              <w:right w:val="nil"/>
            </w:tcBorders>
            <w:shd w:val="clear" w:color="000000" w:fill="FFFFFF"/>
            <w:noWrap/>
            <w:vAlign w:val="center"/>
            <w:hideMark/>
          </w:tcPr>
          <w:p w14:paraId="426854EC"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28.4</w:t>
            </w:r>
          </w:p>
        </w:tc>
        <w:tc>
          <w:tcPr>
            <w:tcW w:w="402" w:type="pct"/>
            <w:tcBorders>
              <w:top w:val="nil"/>
              <w:left w:val="nil"/>
              <w:bottom w:val="nil"/>
              <w:right w:val="nil"/>
            </w:tcBorders>
            <w:shd w:val="clear" w:color="000000" w:fill="FFFFFF"/>
            <w:noWrap/>
            <w:vAlign w:val="center"/>
            <w:hideMark/>
          </w:tcPr>
          <w:p w14:paraId="378EB714"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14</w:t>
            </w:r>
          </w:p>
        </w:tc>
        <w:tc>
          <w:tcPr>
            <w:tcW w:w="405" w:type="pct"/>
            <w:tcBorders>
              <w:top w:val="nil"/>
              <w:left w:val="nil"/>
              <w:bottom w:val="nil"/>
              <w:right w:val="nil"/>
            </w:tcBorders>
            <w:shd w:val="clear" w:color="000000" w:fill="FFFFFF"/>
            <w:noWrap/>
            <w:vAlign w:val="center"/>
            <w:hideMark/>
          </w:tcPr>
          <w:p w14:paraId="79124FD5"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18.5</w:t>
            </w:r>
          </w:p>
        </w:tc>
        <w:tc>
          <w:tcPr>
            <w:tcW w:w="402" w:type="pct"/>
            <w:tcBorders>
              <w:top w:val="nil"/>
              <w:left w:val="nil"/>
              <w:bottom w:val="nil"/>
              <w:right w:val="nil"/>
            </w:tcBorders>
            <w:shd w:val="clear" w:color="000000" w:fill="FFFFFF"/>
            <w:noWrap/>
            <w:vAlign w:val="center"/>
            <w:hideMark/>
          </w:tcPr>
          <w:p w14:paraId="4E8D88DA"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21</w:t>
            </w:r>
          </w:p>
        </w:tc>
        <w:tc>
          <w:tcPr>
            <w:tcW w:w="405" w:type="pct"/>
            <w:tcBorders>
              <w:top w:val="nil"/>
              <w:left w:val="nil"/>
              <w:bottom w:val="nil"/>
              <w:right w:val="nil"/>
            </w:tcBorders>
            <w:shd w:val="clear" w:color="000000" w:fill="FFFFFF"/>
            <w:noWrap/>
            <w:vAlign w:val="center"/>
            <w:hideMark/>
          </w:tcPr>
          <w:p w14:paraId="26C7F162"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29.1</w:t>
            </w:r>
          </w:p>
        </w:tc>
        <w:tc>
          <w:tcPr>
            <w:tcW w:w="402" w:type="pct"/>
            <w:tcBorders>
              <w:top w:val="nil"/>
              <w:left w:val="nil"/>
              <w:bottom w:val="nil"/>
              <w:right w:val="nil"/>
            </w:tcBorders>
            <w:shd w:val="clear" w:color="auto" w:fill="E1E8EB"/>
            <w:noWrap/>
            <w:vAlign w:val="center"/>
            <w:hideMark/>
          </w:tcPr>
          <w:p w14:paraId="5F83FC70"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21</w:t>
            </w:r>
          </w:p>
        </w:tc>
        <w:tc>
          <w:tcPr>
            <w:tcW w:w="403" w:type="pct"/>
            <w:tcBorders>
              <w:top w:val="nil"/>
              <w:left w:val="nil"/>
              <w:bottom w:val="nil"/>
              <w:right w:val="nil"/>
            </w:tcBorders>
            <w:shd w:val="clear" w:color="auto" w:fill="E1E8EB"/>
            <w:noWrap/>
            <w:vAlign w:val="center"/>
            <w:hideMark/>
          </w:tcPr>
          <w:p w14:paraId="65784B99"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26.9</w:t>
            </w:r>
          </w:p>
        </w:tc>
      </w:tr>
      <w:tr w:rsidR="00406F17" w:rsidRPr="009C2514" w14:paraId="607BA6CA" w14:textId="77777777" w:rsidTr="00E24A34">
        <w:trPr>
          <w:trHeight w:val="263"/>
        </w:trPr>
        <w:tc>
          <w:tcPr>
            <w:tcW w:w="1551" w:type="pct"/>
            <w:tcBorders>
              <w:top w:val="nil"/>
              <w:left w:val="nil"/>
              <w:bottom w:val="nil"/>
              <w:right w:val="nil"/>
            </w:tcBorders>
            <w:shd w:val="clear" w:color="000000" w:fill="FFFFFF"/>
            <w:noWrap/>
            <w:vAlign w:val="center"/>
            <w:hideMark/>
          </w:tcPr>
          <w:p w14:paraId="37FC3D73" w14:textId="77777777" w:rsidR="00406F17" w:rsidRPr="009C2514" w:rsidRDefault="00406F17" w:rsidP="006B32E3">
            <w:pPr>
              <w:spacing w:after="0" w:line="240" w:lineRule="auto"/>
              <w:rPr>
                <w:rFonts w:ascii="Arial" w:hAnsi="Arial" w:cs="Arial"/>
                <w:sz w:val="16"/>
                <w:szCs w:val="16"/>
              </w:rPr>
            </w:pPr>
            <w:r w:rsidRPr="009C2514">
              <w:rPr>
                <w:rFonts w:ascii="Arial" w:hAnsi="Arial" w:cs="Arial"/>
                <w:sz w:val="16"/>
                <w:szCs w:val="16"/>
              </w:rPr>
              <w:t>≥ $2 billion</w:t>
            </w:r>
          </w:p>
        </w:tc>
        <w:tc>
          <w:tcPr>
            <w:tcW w:w="169" w:type="pct"/>
            <w:tcBorders>
              <w:top w:val="nil"/>
              <w:left w:val="nil"/>
              <w:bottom w:val="nil"/>
              <w:right w:val="nil"/>
            </w:tcBorders>
            <w:shd w:val="clear" w:color="000000" w:fill="FFFFFF"/>
            <w:noWrap/>
            <w:vAlign w:val="center"/>
            <w:hideMark/>
          </w:tcPr>
          <w:p w14:paraId="62CE2AE9"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 </w:t>
            </w:r>
          </w:p>
        </w:tc>
        <w:tc>
          <w:tcPr>
            <w:tcW w:w="458" w:type="pct"/>
            <w:tcBorders>
              <w:top w:val="nil"/>
              <w:left w:val="nil"/>
              <w:bottom w:val="nil"/>
              <w:right w:val="nil"/>
            </w:tcBorders>
            <w:shd w:val="clear" w:color="000000" w:fill="FFFFFF"/>
            <w:noWrap/>
            <w:vAlign w:val="center"/>
            <w:hideMark/>
          </w:tcPr>
          <w:p w14:paraId="1A510716"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2</w:t>
            </w:r>
          </w:p>
        </w:tc>
        <w:tc>
          <w:tcPr>
            <w:tcW w:w="404" w:type="pct"/>
            <w:tcBorders>
              <w:top w:val="nil"/>
              <w:left w:val="nil"/>
              <w:bottom w:val="nil"/>
              <w:right w:val="nil"/>
            </w:tcBorders>
            <w:shd w:val="clear" w:color="000000" w:fill="FFFFFF"/>
            <w:noWrap/>
            <w:vAlign w:val="center"/>
            <w:hideMark/>
          </w:tcPr>
          <w:p w14:paraId="318993AF"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32</w:t>
            </w:r>
          </w:p>
        </w:tc>
        <w:tc>
          <w:tcPr>
            <w:tcW w:w="402" w:type="pct"/>
            <w:tcBorders>
              <w:top w:val="nil"/>
              <w:left w:val="nil"/>
              <w:bottom w:val="nil"/>
              <w:right w:val="nil"/>
            </w:tcBorders>
            <w:shd w:val="clear" w:color="000000" w:fill="FFFFFF"/>
            <w:noWrap/>
            <w:vAlign w:val="center"/>
            <w:hideMark/>
          </w:tcPr>
          <w:p w14:paraId="05F37F5D"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23</w:t>
            </w:r>
          </w:p>
        </w:tc>
        <w:tc>
          <w:tcPr>
            <w:tcW w:w="405" w:type="pct"/>
            <w:tcBorders>
              <w:top w:val="nil"/>
              <w:left w:val="nil"/>
              <w:bottom w:val="nil"/>
              <w:right w:val="nil"/>
            </w:tcBorders>
            <w:shd w:val="clear" w:color="000000" w:fill="FFFFFF"/>
            <w:noWrap/>
            <w:vAlign w:val="center"/>
            <w:hideMark/>
          </w:tcPr>
          <w:p w14:paraId="6969BDA4"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111</w:t>
            </w:r>
          </w:p>
        </w:tc>
        <w:tc>
          <w:tcPr>
            <w:tcW w:w="402" w:type="pct"/>
            <w:tcBorders>
              <w:top w:val="nil"/>
              <w:left w:val="nil"/>
              <w:bottom w:val="nil"/>
              <w:right w:val="nil"/>
            </w:tcBorders>
            <w:shd w:val="clear" w:color="000000" w:fill="FFFFFF"/>
            <w:noWrap/>
            <w:vAlign w:val="center"/>
            <w:hideMark/>
          </w:tcPr>
          <w:p w14:paraId="189D38E3"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11</w:t>
            </w:r>
          </w:p>
        </w:tc>
        <w:tc>
          <w:tcPr>
            <w:tcW w:w="405" w:type="pct"/>
            <w:tcBorders>
              <w:top w:val="nil"/>
              <w:left w:val="nil"/>
              <w:bottom w:val="nil"/>
              <w:right w:val="nil"/>
            </w:tcBorders>
            <w:shd w:val="clear" w:color="000000" w:fill="FFFFFF"/>
            <w:noWrap/>
            <w:vAlign w:val="center"/>
            <w:hideMark/>
          </w:tcPr>
          <w:p w14:paraId="629C1D0D"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62</w:t>
            </w:r>
          </w:p>
        </w:tc>
        <w:tc>
          <w:tcPr>
            <w:tcW w:w="402" w:type="pct"/>
            <w:tcBorders>
              <w:top w:val="nil"/>
              <w:left w:val="nil"/>
              <w:bottom w:val="nil"/>
              <w:right w:val="nil"/>
            </w:tcBorders>
            <w:shd w:val="clear" w:color="auto" w:fill="E1E8EB"/>
            <w:noWrap/>
            <w:vAlign w:val="center"/>
            <w:hideMark/>
          </w:tcPr>
          <w:p w14:paraId="1A136B98"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17</w:t>
            </w:r>
          </w:p>
        </w:tc>
        <w:tc>
          <w:tcPr>
            <w:tcW w:w="403" w:type="pct"/>
            <w:tcBorders>
              <w:top w:val="nil"/>
              <w:left w:val="nil"/>
              <w:bottom w:val="nil"/>
              <w:right w:val="nil"/>
            </w:tcBorders>
            <w:shd w:val="clear" w:color="auto" w:fill="E1E8EB"/>
            <w:noWrap/>
            <w:vAlign w:val="center"/>
            <w:hideMark/>
          </w:tcPr>
          <w:p w14:paraId="761360F6"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71.0</w:t>
            </w:r>
          </w:p>
        </w:tc>
      </w:tr>
      <w:tr w:rsidR="00406F17" w:rsidRPr="009C2514" w14:paraId="07781A8B" w14:textId="77777777" w:rsidTr="00E24A34">
        <w:trPr>
          <w:trHeight w:val="263"/>
        </w:trPr>
        <w:tc>
          <w:tcPr>
            <w:tcW w:w="1551" w:type="pct"/>
            <w:tcBorders>
              <w:top w:val="nil"/>
              <w:left w:val="nil"/>
              <w:bottom w:val="single" w:sz="4" w:space="0" w:color="auto"/>
              <w:right w:val="nil"/>
            </w:tcBorders>
            <w:shd w:val="clear" w:color="000000" w:fill="FFFFFF"/>
            <w:noWrap/>
            <w:vAlign w:val="center"/>
            <w:hideMark/>
          </w:tcPr>
          <w:p w14:paraId="02BA831B" w14:textId="77777777" w:rsidR="00406F17" w:rsidRPr="009C2514" w:rsidRDefault="00406F17" w:rsidP="006B32E3">
            <w:pPr>
              <w:spacing w:after="0" w:line="240" w:lineRule="auto"/>
              <w:rPr>
                <w:rFonts w:ascii="Arial" w:hAnsi="Arial" w:cs="Arial"/>
                <w:b/>
                <w:bCs/>
                <w:sz w:val="16"/>
                <w:szCs w:val="16"/>
              </w:rPr>
            </w:pPr>
            <w:r w:rsidRPr="009C2514">
              <w:rPr>
                <w:rFonts w:ascii="Arial" w:hAnsi="Arial" w:cs="Arial"/>
                <w:b/>
                <w:bCs/>
                <w:sz w:val="16"/>
                <w:szCs w:val="16"/>
              </w:rPr>
              <w:t>Total</w:t>
            </w:r>
          </w:p>
        </w:tc>
        <w:tc>
          <w:tcPr>
            <w:tcW w:w="169" w:type="pct"/>
            <w:tcBorders>
              <w:top w:val="nil"/>
              <w:left w:val="nil"/>
              <w:bottom w:val="single" w:sz="4" w:space="0" w:color="auto"/>
              <w:right w:val="nil"/>
            </w:tcBorders>
            <w:shd w:val="clear" w:color="000000" w:fill="FFFFFF"/>
            <w:noWrap/>
            <w:vAlign w:val="center"/>
            <w:hideMark/>
          </w:tcPr>
          <w:p w14:paraId="48444F9E" w14:textId="77777777" w:rsidR="00406F17" w:rsidRPr="009C2514" w:rsidRDefault="00406F17" w:rsidP="006B32E3">
            <w:pPr>
              <w:spacing w:after="0" w:line="240" w:lineRule="auto"/>
              <w:jc w:val="right"/>
              <w:rPr>
                <w:rFonts w:ascii="Arial" w:hAnsi="Arial" w:cs="Arial"/>
                <w:sz w:val="16"/>
                <w:szCs w:val="16"/>
              </w:rPr>
            </w:pPr>
            <w:r w:rsidRPr="009C2514">
              <w:rPr>
                <w:rFonts w:ascii="Arial" w:hAnsi="Arial" w:cs="Arial"/>
                <w:sz w:val="16"/>
                <w:szCs w:val="16"/>
              </w:rPr>
              <w:t> </w:t>
            </w:r>
          </w:p>
        </w:tc>
        <w:tc>
          <w:tcPr>
            <w:tcW w:w="458" w:type="pct"/>
            <w:tcBorders>
              <w:top w:val="single" w:sz="4" w:space="0" w:color="auto"/>
              <w:left w:val="nil"/>
              <w:bottom w:val="single" w:sz="4" w:space="0" w:color="auto"/>
              <w:right w:val="nil"/>
            </w:tcBorders>
            <w:shd w:val="clear" w:color="000000" w:fill="FFFFFF"/>
            <w:noWrap/>
            <w:vAlign w:val="center"/>
            <w:hideMark/>
          </w:tcPr>
          <w:p w14:paraId="7FAF2BB3" w14:textId="77777777" w:rsidR="00406F17" w:rsidRPr="00C47BA3" w:rsidRDefault="00406F17" w:rsidP="006B32E3">
            <w:pPr>
              <w:spacing w:after="0" w:line="240" w:lineRule="auto"/>
              <w:jc w:val="right"/>
              <w:rPr>
                <w:rFonts w:ascii="Arial" w:hAnsi="Arial" w:cs="Arial"/>
                <w:b/>
                <w:sz w:val="16"/>
                <w:szCs w:val="16"/>
              </w:rPr>
            </w:pPr>
            <w:r w:rsidRPr="00C47BA3">
              <w:rPr>
                <w:rFonts w:ascii="Arial" w:hAnsi="Arial" w:cs="Arial"/>
                <w:b/>
                <w:sz w:val="16"/>
                <w:szCs w:val="16"/>
              </w:rPr>
              <w:t>11,006</w:t>
            </w:r>
          </w:p>
        </w:tc>
        <w:tc>
          <w:tcPr>
            <w:tcW w:w="404" w:type="pct"/>
            <w:tcBorders>
              <w:top w:val="single" w:sz="4" w:space="0" w:color="auto"/>
              <w:left w:val="nil"/>
              <w:bottom w:val="single" w:sz="4" w:space="0" w:color="auto"/>
              <w:right w:val="nil"/>
            </w:tcBorders>
            <w:shd w:val="clear" w:color="000000" w:fill="FFFFFF"/>
            <w:noWrap/>
            <w:vAlign w:val="center"/>
            <w:hideMark/>
          </w:tcPr>
          <w:p w14:paraId="7E2C77EC" w14:textId="77777777" w:rsidR="00406F17" w:rsidRPr="00C47BA3" w:rsidRDefault="00406F17" w:rsidP="006B32E3">
            <w:pPr>
              <w:spacing w:after="0" w:line="240" w:lineRule="auto"/>
              <w:jc w:val="right"/>
              <w:rPr>
                <w:rFonts w:ascii="Arial" w:hAnsi="Arial" w:cs="Arial"/>
                <w:b/>
                <w:sz w:val="16"/>
                <w:szCs w:val="16"/>
              </w:rPr>
            </w:pPr>
            <w:r w:rsidRPr="00C47BA3">
              <w:rPr>
                <w:rFonts w:ascii="Arial" w:hAnsi="Arial" w:cs="Arial"/>
                <w:b/>
                <w:sz w:val="16"/>
                <w:szCs w:val="16"/>
              </w:rPr>
              <w:t>163.1</w:t>
            </w:r>
          </w:p>
        </w:tc>
        <w:tc>
          <w:tcPr>
            <w:tcW w:w="402" w:type="pct"/>
            <w:tcBorders>
              <w:top w:val="single" w:sz="4" w:space="0" w:color="auto"/>
              <w:left w:val="nil"/>
              <w:bottom w:val="single" w:sz="4" w:space="0" w:color="auto"/>
              <w:right w:val="nil"/>
            </w:tcBorders>
            <w:shd w:val="clear" w:color="000000" w:fill="FFFFFF"/>
            <w:noWrap/>
            <w:vAlign w:val="center"/>
            <w:hideMark/>
          </w:tcPr>
          <w:p w14:paraId="0B01895B" w14:textId="77777777" w:rsidR="00406F17" w:rsidRPr="00C47BA3" w:rsidRDefault="00406F17" w:rsidP="006B32E3">
            <w:pPr>
              <w:spacing w:after="0" w:line="240" w:lineRule="auto"/>
              <w:jc w:val="right"/>
              <w:rPr>
                <w:rFonts w:ascii="Arial" w:hAnsi="Arial" w:cs="Arial"/>
                <w:b/>
                <w:sz w:val="16"/>
                <w:szCs w:val="16"/>
              </w:rPr>
            </w:pPr>
            <w:r w:rsidRPr="00C47BA3">
              <w:rPr>
                <w:rFonts w:ascii="Arial" w:hAnsi="Arial" w:cs="Arial"/>
                <w:b/>
                <w:sz w:val="16"/>
                <w:szCs w:val="16"/>
              </w:rPr>
              <w:t>8,589</w:t>
            </w:r>
          </w:p>
        </w:tc>
        <w:tc>
          <w:tcPr>
            <w:tcW w:w="405" w:type="pct"/>
            <w:tcBorders>
              <w:top w:val="single" w:sz="4" w:space="0" w:color="auto"/>
              <w:left w:val="nil"/>
              <w:bottom w:val="single" w:sz="4" w:space="0" w:color="auto"/>
              <w:right w:val="nil"/>
            </w:tcBorders>
            <w:shd w:val="clear" w:color="000000" w:fill="FFFFFF"/>
            <w:noWrap/>
            <w:vAlign w:val="center"/>
            <w:hideMark/>
          </w:tcPr>
          <w:p w14:paraId="54FF1BD5" w14:textId="77777777" w:rsidR="00406F17" w:rsidRPr="00C47BA3" w:rsidRDefault="00406F17" w:rsidP="006B32E3">
            <w:pPr>
              <w:spacing w:after="0" w:line="240" w:lineRule="auto"/>
              <w:jc w:val="right"/>
              <w:rPr>
                <w:rFonts w:ascii="Arial" w:hAnsi="Arial" w:cs="Arial"/>
                <w:b/>
                <w:sz w:val="16"/>
                <w:szCs w:val="16"/>
              </w:rPr>
            </w:pPr>
            <w:r w:rsidRPr="00C47BA3">
              <w:rPr>
                <w:rFonts w:ascii="Arial" w:hAnsi="Arial" w:cs="Arial"/>
                <w:b/>
                <w:sz w:val="16"/>
                <w:szCs w:val="16"/>
              </w:rPr>
              <w:t>231.0</w:t>
            </w:r>
          </w:p>
        </w:tc>
        <w:tc>
          <w:tcPr>
            <w:tcW w:w="402" w:type="pct"/>
            <w:tcBorders>
              <w:top w:val="single" w:sz="4" w:space="0" w:color="auto"/>
              <w:left w:val="nil"/>
              <w:bottom w:val="single" w:sz="4" w:space="0" w:color="auto"/>
              <w:right w:val="nil"/>
            </w:tcBorders>
            <w:shd w:val="clear" w:color="000000" w:fill="FFFFFF"/>
            <w:noWrap/>
            <w:vAlign w:val="center"/>
            <w:hideMark/>
          </w:tcPr>
          <w:p w14:paraId="59DBA7EC" w14:textId="77777777" w:rsidR="00406F17" w:rsidRPr="00C47BA3" w:rsidRDefault="00406F17" w:rsidP="006B32E3">
            <w:pPr>
              <w:spacing w:after="0" w:line="240" w:lineRule="auto"/>
              <w:jc w:val="right"/>
              <w:rPr>
                <w:rFonts w:ascii="Arial" w:hAnsi="Arial" w:cs="Arial"/>
                <w:b/>
                <w:sz w:val="16"/>
                <w:szCs w:val="16"/>
              </w:rPr>
            </w:pPr>
            <w:r w:rsidRPr="00C47BA3">
              <w:rPr>
                <w:rFonts w:ascii="Arial" w:hAnsi="Arial" w:cs="Arial"/>
                <w:b/>
                <w:sz w:val="16"/>
                <w:szCs w:val="16"/>
              </w:rPr>
              <w:t>8,111</w:t>
            </w:r>
          </w:p>
        </w:tc>
        <w:tc>
          <w:tcPr>
            <w:tcW w:w="405" w:type="pct"/>
            <w:tcBorders>
              <w:top w:val="single" w:sz="4" w:space="0" w:color="auto"/>
              <w:left w:val="nil"/>
              <w:bottom w:val="single" w:sz="4" w:space="0" w:color="auto"/>
              <w:right w:val="nil"/>
            </w:tcBorders>
            <w:shd w:val="clear" w:color="000000" w:fill="FFFFFF"/>
            <w:noWrap/>
            <w:vAlign w:val="center"/>
            <w:hideMark/>
          </w:tcPr>
          <w:p w14:paraId="5AC5F800" w14:textId="77777777" w:rsidR="00406F17" w:rsidRPr="00C47BA3" w:rsidRDefault="00406F17" w:rsidP="006B32E3">
            <w:pPr>
              <w:spacing w:after="0" w:line="240" w:lineRule="auto"/>
              <w:jc w:val="right"/>
              <w:rPr>
                <w:rFonts w:ascii="Arial" w:hAnsi="Arial" w:cs="Arial"/>
                <w:b/>
                <w:sz w:val="16"/>
                <w:szCs w:val="16"/>
              </w:rPr>
            </w:pPr>
            <w:r w:rsidRPr="00C47BA3">
              <w:rPr>
                <w:rFonts w:ascii="Arial" w:hAnsi="Arial" w:cs="Arial"/>
                <w:b/>
                <w:sz w:val="16"/>
                <w:szCs w:val="16"/>
              </w:rPr>
              <w:t>195.5</w:t>
            </w:r>
          </w:p>
        </w:tc>
        <w:tc>
          <w:tcPr>
            <w:tcW w:w="402" w:type="pct"/>
            <w:tcBorders>
              <w:top w:val="single" w:sz="4" w:space="0" w:color="auto"/>
              <w:left w:val="nil"/>
              <w:bottom w:val="single" w:sz="4" w:space="0" w:color="auto"/>
              <w:right w:val="nil"/>
            </w:tcBorders>
            <w:shd w:val="clear" w:color="auto" w:fill="E1E8EB"/>
            <w:noWrap/>
            <w:vAlign w:val="center"/>
            <w:hideMark/>
          </w:tcPr>
          <w:p w14:paraId="77C80E15" w14:textId="77777777" w:rsidR="00406F17" w:rsidRPr="00C47BA3" w:rsidRDefault="00406F17" w:rsidP="006B32E3">
            <w:pPr>
              <w:spacing w:after="0" w:line="240" w:lineRule="auto"/>
              <w:jc w:val="right"/>
              <w:rPr>
                <w:rFonts w:ascii="Arial" w:hAnsi="Arial" w:cs="Arial"/>
                <w:b/>
                <w:sz w:val="16"/>
                <w:szCs w:val="16"/>
              </w:rPr>
            </w:pPr>
            <w:r w:rsidRPr="00C47BA3">
              <w:rPr>
                <w:rFonts w:ascii="Arial" w:hAnsi="Arial" w:cs="Arial"/>
                <w:b/>
                <w:sz w:val="16"/>
                <w:szCs w:val="16"/>
              </w:rPr>
              <w:t>6,448</w:t>
            </w:r>
          </w:p>
        </w:tc>
        <w:tc>
          <w:tcPr>
            <w:tcW w:w="403" w:type="pct"/>
            <w:tcBorders>
              <w:top w:val="single" w:sz="4" w:space="0" w:color="auto"/>
              <w:left w:val="nil"/>
              <w:bottom w:val="single" w:sz="4" w:space="0" w:color="auto"/>
              <w:right w:val="nil"/>
            </w:tcBorders>
            <w:shd w:val="clear" w:color="auto" w:fill="E1E8EB"/>
            <w:noWrap/>
            <w:vAlign w:val="center"/>
            <w:hideMark/>
          </w:tcPr>
          <w:p w14:paraId="50D14605" w14:textId="77777777" w:rsidR="00406F17" w:rsidRPr="00C47BA3" w:rsidRDefault="00406F17" w:rsidP="006B32E3">
            <w:pPr>
              <w:spacing w:after="0" w:line="240" w:lineRule="auto"/>
              <w:jc w:val="right"/>
              <w:rPr>
                <w:rFonts w:ascii="Arial" w:hAnsi="Arial" w:cs="Arial"/>
                <w:b/>
                <w:sz w:val="16"/>
                <w:szCs w:val="16"/>
              </w:rPr>
            </w:pPr>
            <w:r w:rsidRPr="00C47BA3">
              <w:rPr>
                <w:rFonts w:ascii="Arial" w:hAnsi="Arial" w:cs="Arial"/>
                <w:b/>
                <w:sz w:val="16"/>
                <w:szCs w:val="16"/>
              </w:rPr>
              <w:t>233.0</w:t>
            </w:r>
          </w:p>
        </w:tc>
      </w:tr>
    </w:tbl>
    <w:p w14:paraId="0526B2AE" w14:textId="45E56964" w:rsidR="00E16BCD" w:rsidRDefault="00634B81" w:rsidP="005F563A">
      <w:pPr>
        <w:pStyle w:val="ChartorTableNote"/>
      </w:pPr>
      <w:r w:rsidRPr="00BF48CD">
        <w:t xml:space="preserve">Before republishing this data or comparing between years, thoroughly review the methodological and data caveats in Appendix </w:t>
      </w:r>
      <w:r w:rsidRPr="00F67E13">
        <w:t>B</w:t>
      </w:r>
      <w:r w:rsidRPr="00BF48CD">
        <w:t xml:space="preserve">. </w:t>
      </w:r>
    </w:p>
    <w:p w14:paraId="4D2C8075" w14:textId="3194FDA3" w:rsidR="00634B81" w:rsidRDefault="00634B81" w:rsidP="00E24A34">
      <w:pPr>
        <w:pStyle w:val="SingleParagraph"/>
      </w:pPr>
    </w:p>
    <w:p w14:paraId="22EF5D5E" w14:textId="17BE4F11" w:rsidR="00F83C7F" w:rsidRPr="00E24A34" w:rsidRDefault="00F83C7F" w:rsidP="00E24A34">
      <w:pPr>
        <w:pStyle w:val="TableMainHeading"/>
        <w:ind w:right="-87"/>
      </w:pPr>
      <w:bookmarkStart w:id="108" w:name="_Toc89939940"/>
      <w:r w:rsidRPr="00E24A34">
        <w:t xml:space="preserve">Table </w:t>
      </w:r>
      <w:fldSimple w:instr=" STYLEREF 1 \s ">
        <w:r w:rsidR="0019342F">
          <w:rPr>
            <w:noProof/>
          </w:rPr>
          <w:t>3</w:t>
        </w:r>
      </w:fldSimple>
      <w:r w:rsidR="009812FE" w:rsidRPr="00E24A34">
        <w:t>.</w:t>
      </w:r>
      <w:fldSimple w:instr=" SEQ Table \* ARABIC \s 1 ">
        <w:r w:rsidR="0019342F">
          <w:rPr>
            <w:noProof/>
          </w:rPr>
          <w:t>6</w:t>
        </w:r>
      </w:fldSimple>
      <w:r w:rsidRPr="00E24A34">
        <w:t xml:space="preserve">: Total approvals by value of proposed investment range in </w:t>
      </w:r>
      <w:r w:rsidR="00D76ED2">
        <w:t>2020</w:t>
      </w:r>
      <w:r w:rsidR="00D76ED2">
        <w:noBreakHyphen/>
        <w:t>21</w:t>
      </w:r>
      <w:r w:rsidRPr="00E24A34">
        <w:t>, by zero dollar threshold and non</w:t>
      </w:r>
      <w:r w:rsidR="003E7C79" w:rsidRPr="00E24A34">
        <w:t>–</w:t>
      </w:r>
      <w:r w:rsidRPr="00E24A34">
        <w:t>zero dollar threshold (number and value of approvals)</w:t>
      </w:r>
      <w:bookmarkEnd w:id="108"/>
    </w:p>
    <w:tbl>
      <w:tblPr>
        <w:tblW w:w="5000" w:type="pct"/>
        <w:tblLook w:val="04A0" w:firstRow="1" w:lastRow="0" w:firstColumn="1" w:lastColumn="0" w:noHBand="0" w:noVBand="1"/>
      </w:tblPr>
      <w:tblGrid>
        <w:gridCol w:w="1376"/>
        <w:gridCol w:w="1375"/>
        <w:gridCol w:w="1124"/>
        <w:gridCol w:w="1295"/>
        <w:gridCol w:w="1272"/>
        <w:gridCol w:w="1268"/>
      </w:tblGrid>
      <w:tr w:rsidR="00406F17" w:rsidRPr="00F35858" w14:paraId="1B56C3CB" w14:textId="77777777" w:rsidTr="00E24A34">
        <w:trPr>
          <w:trHeight w:val="267"/>
        </w:trPr>
        <w:tc>
          <w:tcPr>
            <w:tcW w:w="892" w:type="pct"/>
            <w:tcBorders>
              <w:top w:val="single" w:sz="4" w:space="0" w:color="auto"/>
              <w:left w:val="nil"/>
              <w:bottom w:val="nil"/>
              <w:right w:val="nil"/>
            </w:tcBorders>
            <w:shd w:val="clear" w:color="auto" w:fill="auto"/>
            <w:noWrap/>
            <w:vAlign w:val="center"/>
            <w:hideMark/>
          </w:tcPr>
          <w:p w14:paraId="71F56D6C" w14:textId="77777777" w:rsidR="00406F17" w:rsidRPr="00F35858" w:rsidRDefault="00406F17" w:rsidP="006B32E3">
            <w:pPr>
              <w:spacing w:after="0" w:line="240" w:lineRule="auto"/>
              <w:rPr>
                <w:rFonts w:ascii="Arial" w:hAnsi="Arial" w:cs="Arial"/>
                <w:sz w:val="16"/>
                <w:szCs w:val="16"/>
              </w:rPr>
            </w:pPr>
            <w:r w:rsidRPr="00F35858">
              <w:rPr>
                <w:rFonts w:ascii="Arial" w:hAnsi="Arial" w:cs="Arial"/>
                <w:sz w:val="16"/>
                <w:szCs w:val="16"/>
              </w:rPr>
              <w:t> </w:t>
            </w:r>
          </w:p>
        </w:tc>
        <w:tc>
          <w:tcPr>
            <w:tcW w:w="892" w:type="pct"/>
            <w:tcBorders>
              <w:top w:val="single" w:sz="4" w:space="0" w:color="auto"/>
              <w:left w:val="nil"/>
              <w:bottom w:val="nil"/>
              <w:right w:val="nil"/>
            </w:tcBorders>
            <w:shd w:val="clear" w:color="auto" w:fill="auto"/>
            <w:noWrap/>
            <w:vAlign w:val="center"/>
            <w:hideMark/>
          </w:tcPr>
          <w:p w14:paraId="6F73C417" w14:textId="77777777" w:rsidR="00406F17" w:rsidRPr="00F35858" w:rsidRDefault="00406F17" w:rsidP="006B32E3">
            <w:pPr>
              <w:spacing w:after="0" w:line="240" w:lineRule="auto"/>
              <w:rPr>
                <w:rFonts w:ascii="Arial" w:hAnsi="Arial" w:cs="Arial"/>
                <w:sz w:val="16"/>
                <w:szCs w:val="16"/>
              </w:rPr>
            </w:pPr>
            <w:r w:rsidRPr="00F35858">
              <w:rPr>
                <w:rFonts w:ascii="Arial" w:hAnsi="Arial" w:cs="Arial"/>
                <w:sz w:val="16"/>
                <w:szCs w:val="16"/>
              </w:rPr>
              <w:t> </w:t>
            </w:r>
          </w:p>
        </w:tc>
        <w:tc>
          <w:tcPr>
            <w:tcW w:w="1569" w:type="pct"/>
            <w:gridSpan w:val="2"/>
            <w:tcBorders>
              <w:top w:val="single" w:sz="4" w:space="0" w:color="auto"/>
              <w:left w:val="nil"/>
              <w:bottom w:val="nil"/>
              <w:right w:val="nil"/>
            </w:tcBorders>
            <w:shd w:val="clear" w:color="auto" w:fill="auto"/>
            <w:noWrap/>
            <w:vAlign w:val="center"/>
            <w:hideMark/>
          </w:tcPr>
          <w:p w14:paraId="473689EF"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Zero dollar threshold</w:t>
            </w:r>
          </w:p>
        </w:tc>
        <w:tc>
          <w:tcPr>
            <w:tcW w:w="1647" w:type="pct"/>
            <w:gridSpan w:val="2"/>
            <w:tcBorders>
              <w:top w:val="single" w:sz="4" w:space="0" w:color="auto"/>
              <w:left w:val="nil"/>
              <w:bottom w:val="nil"/>
              <w:right w:val="nil"/>
            </w:tcBorders>
            <w:shd w:val="clear" w:color="auto" w:fill="auto"/>
            <w:noWrap/>
            <w:vAlign w:val="center"/>
            <w:hideMark/>
          </w:tcPr>
          <w:p w14:paraId="12567F1A" w14:textId="06B5676B"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Non</w:t>
            </w:r>
            <w:r w:rsidR="003E7C79">
              <w:rPr>
                <w:rFonts w:ascii="Arial" w:hAnsi="Arial" w:cs="Arial"/>
                <w:sz w:val="16"/>
                <w:szCs w:val="16"/>
              </w:rPr>
              <w:t>–</w:t>
            </w:r>
            <w:r w:rsidRPr="00F35858">
              <w:rPr>
                <w:rFonts w:ascii="Arial" w:hAnsi="Arial" w:cs="Arial"/>
                <w:sz w:val="16"/>
                <w:szCs w:val="16"/>
              </w:rPr>
              <w:t>zero dollar threshold</w:t>
            </w:r>
          </w:p>
        </w:tc>
      </w:tr>
      <w:tr w:rsidR="00406F17" w:rsidRPr="00F35858" w14:paraId="7D19F282" w14:textId="77777777" w:rsidTr="00E24A34">
        <w:trPr>
          <w:trHeight w:val="267"/>
        </w:trPr>
        <w:tc>
          <w:tcPr>
            <w:tcW w:w="1784" w:type="pct"/>
            <w:gridSpan w:val="2"/>
            <w:tcBorders>
              <w:top w:val="nil"/>
              <w:left w:val="nil"/>
              <w:bottom w:val="single" w:sz="4" w:space="0" w:color="auto"/>
              <w:right w:val="nil"/>
            </w:tcBorders>
            <w:shd w:val="clear" w:color="auto" w:fill="auto"/>
            <w:noWrap/>
            <w:vAlign w:val="center"/>
            <w:hideMark/>
          </w:tcPr>
          <w:p w14:paraId="6AA1F0D3" w14:textId="77777777" w:rsidR="00406F17" w:rsidRPr="00F35858" w:rsidRDefault="00406F17" w:rsidP="006B32E3">
            <w:pPr>
              <w:spacing w:after="0" w:line="240" w:lineRule="auto"/>
              <w:rPr>
                <w:rFonts w:ascii="Arial" w:hAnsi="Arial" w:cs="Arial"/>
                <w:sz w:val="16"/>
                <w:szCs w:val="16"/>
              </w:rPr>
            </w:pPr>
            <w:r w:rsidRPr="00F35858">
              <w:rPr>
                <w:rFonts w:ascii="Arial" w:hAnsi="Arial" w:cs="Arial"/>
                <w:sz w:val="16"/>
                <w:szCs w:val="16"/>
              </w:rPr>
              <w:t>Value of approval</w:t>
            </w:r>
          </w:p>
        </w:tc>
        <w:tc>
          <w:tcPr>
            <w:tcW w:w="729" w:type="pct"/>
            <w:tcBorders>
              <w:top w:val="nil"/>
              <w:left w:val="nil"/>
              <w:bottom w:val="single" w:sz="4" w:space="0" w:color="auto"/>
              <w:right w:val="nil"/>
            </w:tcBorders>
            <w:shd w:val="clear" w:color="auto" w:fill="auto"/>
            <w:noWrap/>
            <w:vAlign w:val="center"/>
            <w:hideMark/>
          </w:tcPr>
          <w:p w14:paraId="61A0C3B0"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No.</w:t>
            </w:r>
          </w:p>
        </w:tc>
        <w:tc>
          <w:tcPr>
            <w:tcW w:w="840" w:type="pct"/>
            <w:tcBorders>
              <w:top w:val="nil"/>
              <w:left w:val="nil"/>
              <w:bottom w:val="single" w:sz="4" w:space="0" w:color="auto"/>
              <w:right w:val="nil"/>
            </w:tcBorders>
            <w:shd w:val="clear" w:color="auto" w:fill="auto"/>
            <w:noWrap/>
            <w:vAlign w:val="center"/>
            <w:hideMark/>
          </w:tcPr>
          <w:p w14:paraId="6F802C7F"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$b</w:t>
            </w:r>
          </w:p>
        </w:tc>
        <w:tc>
          <w:tcPr>
            <w:tcW w:w="825" w:type="pct"/>
            <w:tcBorders>
              <w:top w:val="nil"/>
              <w:left w:val="nil"/>
              <w:bottom w:val="single" w:sz="4" w:space="0" w:color="auto"/>
              <w:right w:val="nil"/>
            </w:tcBorders>
            <w:shd w:val="clear" w:color="auto" w:fill="auto"/>
            <w:noWrap/>
            <w:vAlign w:val="center"/>
            <w:hideMark/>
          </w:tcPr>
          <w:p w14:paraId="2338041E"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No.</w:t>
            </w:r>
          </w:p>
        </w:tc>
        <w:tc>
          <w:tcPr>
            <w:tcW w:w="822" w:type="pct"/>
            <w:tcBorders>
              <w:top w:val="nil"/>
              <w:left w:val="nil"/>
              <w:bottom w:val="single" w:sz="4" w:space="0" w:color="auto"/>
              <w:right w:val="nil"/>
            </w:tcBorders>
            <w:shd w:val="clear" w:color="auto" w:fill="auto"/>
            <w:noWrap/>
            <w:vAlign w:val="center"/>
            <w:hideMark/>
          </w:tcPr>
          <w:p w14:paraId="3702AFAB"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$b</w:t>
            </w:r>
          </w:p>
        </w:tc>
      </w:tr>
      <w:tr w:rsidR="00406F17" w:rsidRPr="00F35858" w14:paraId="20B80D1E" w14:textId="77777777" w:rsidTr="00E24A34">
        <w:trPr>
          <w:trHeight w:val="267"/>
        </w:trPr>
        <w:tc>
          <w:tcPr>
            <w:tcW w:w="1784" w:type="pct"/>
            <w:gridSpan w:val="2"/>
            <w:tcBorders>
              <w:top w:val="nil"/>
              <w:left w:val="nil"/>
              <w:bottom w:val="nil"/>
              <w:right w:val="nil"/>
            </w:tcBorders>
            <w:shd w:val="clear" w:color="auto" w:fill="auto"/>
            <w:noWrap/>
            <w:vAlign w:val="center"/>
            <w:hideMark/>
          </w:tcPr>
          <w:p w14:paraId="677958B0" w14:textId="77777777" w:rsidR="00406F17" w:rsidRPr="00F35858" w:rsidRDefault="00406F17" w:rsidP="006B32E3">
            <w:pPr>
              <w:spacing w:after="0" w:line="240" w:lineRule="auto"/>
              <w:rPr>
                <w:rFonts w:ascii="Arial" w:hAnsi="Arial" w:cs="Arial"/>
                <w:sz w:val="16"/>
                <w:szCs w:val="16"/>
              </w:rPr>
            </w:pPr>
            <w:r w:rsidRPr="00F35858">
              <w:rPr>
                <w:rFonts w:ascii="Arial" w:hAnsi="Arial" w:cs="Arial"/>
                <w:sz w:val="16"/>
                <w:szCs w:val="16"/>
              </w:rPr>
              <w:t>&lt; $1 million</w:t>
            </w:r>
          </w:p>
        </w:tc>
        <w:tc>
          <w:tcPr>
            <w:tcW w:w="729" w:type="pct"/>
            <w:tcBorders>
              <w:top w:val="nil"/>
              <w:left w:val="nil"/>
              <w:bottom w:val="nil"/>
              <w:right w:val="nil"/>
            </w:tcBorders>
            <w:shd w:val="clear" w:color="auto" w:fill="auto"/>
            <w:noWrap/>
            <w:vAlign w:val="center"/>
            <w:hideMark/>
          </w:tcPr>
          <w:p w14:paraId="354C54B2"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397</w:t>
            </w:r>
          </w:p>
        </w:tc>
        <w:tc>
          <w:tcPr>
            <w:tcW w:w="840" w:type="pct"/>
            <w:tcBorders>
              <w:top w:val="nil"/>
              <w:left w:val="nil"/>
              <w:bottom w:val="nil"/>
              <w:right w:val="nil"/>
            </w:tcBorders>
            <w:shd w:val="clear" w:color="auto" w:fill="auto"/>
            <w:noWrap/>
            <w:vAlign w:val="center"/>
            <w:hideMark/>
          </w:tcPr>
          <w:p w14:paraId="4C59F4B3"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0.1</w:t>
            </w:r>
          </w:p>
        </w:tc>
        <w:tc>
          <w:tcPr>
            <w:tcW w:w="825" w:type="pct"/>
            <w:tcBorders>
              <w:top w:val="nil"/>
              <w:left w:val="nil"/>
              <w:bottom w:val="nil"/>
              <w:right w:val="nil"/>
            </w:tcBorders>
            <w:shd w:val="clear" w:color="auto" w:fill="auto"/>
            <w:noWrap/>
            <w:vAlign w:val="center"/>
            <w:hideMark/>
          </w:tcPr>
          <w:p w14:paraId="320D4E2C" w14:textId="360BE3EC"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3</w:t>
            </w:r>
            <w:r w:rsidR="00E20918">
              <w:rPr>
                <w:rFonts w:ascii="Arial" w:hAnsi="Arial" w:cs="Arial"/>
                <w:sz w:val="16"/>
                <w:szCs w:val="16"/>
              </w:rPr>
              <w:t>,</w:t>
            </w:r>
            <w:r w:rsidRPr="00F35858">
              <w:rPr>
                <w:rFonts w:ascii="Arial" w:hAnsi="Arial" w:cs="Arial"/>
                <w:sz w:val="16"/>
                <w:szCs w:val="16"/>
              </w:rPr>
              <w:t>585</w:t>
            </w:r>
          </w:p>
        </w:tc>
        <w:tc>
          <w:tcPr>
            <w:tcW w:w="822" w:type="pct"/>
            <w:tcBorders>
              <w:top w:val="nil"/>
              <w:left w:val="nil"/>
              <w:bottom w:val="nil"/>
              <w:right w:val="nil"/>
            </w:tcBorders>
            <w:shd w:val="clear" w:color="auto" w:fill="auto"/>
            <w:noWrap/>
            <w:vAlign w:val="center"/>
            <w:hideMark/>
          </w:tcPr>
          <w:p w14:paraId="437CAAFA"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1.9</w:t>
            </w:r>
          </w:p>
        </w:tc>
      </w:tr>
      <w:tr w:rsidR="00406F17" w:rsidRPr="00F35858" w14:paraId="36C39F52" w14:textId="77777777" w:rsidTr="00E24A34">
        <w:trPr>
          <w:trHeight w:val="267"/>
        </w:trPr>
        <w:tc>
          <w:tcPr>
            <w:tcW w:w="1784" w:type="pct"/>
            <w:gridSpan w:val="2"/>
            <w:tcBorders>
              <w:top w:val="nil"/>
              <w:left w:val="nil"/>
              <w:bottom w:val="nil"/>
              <w:right w:val="nil"/>
            </w:tcBorders>
            <w:shd w:val="clear" w:color="auto" w:fill="auto"/>
            <w:noWrap/>
            <w:vAlign w:val="center"/>
            <w:hideMark/>
          </w:tcPr>
          <w:p w14:paraId="4FDBF8A3" w14:textId="77777777" w:rsidR="00406F17" w:rsidRPr="00F35858" w:rsidRDefault="00406F17" w:rsidP="006B32E3">
            <w:pPr>
              <w:spacing w:after="0" w:line="240" w:lineRule="auto"/>
              <w:rPr>
                <w:rFonts w:ascii="Arial" w:hAnsi="Arial" w:cs="Arial"/>
                <w:sz w:val="16"/>
                <w:szCs w:val="16"/>
              </w:rPr>
            </w:pPr>
            <w:r w:rsidRPr="00F35858">
              <w:rPr>
                <w:rFonts w:ascii="Arial" w:hAnsi="Arial" w:cs="Arial"/>
                <w:sz w:val="16"/>
                <w:szCs w:val="16"/>
              </w:rPr>
              <w:t>≥ $1 million &amp; &lt; $50 million</w:t>
            </w:r>
          </w:p>
        </w:tc>
        <w:tc>
          <w:tcPr>
            <w:tcW w:w="729" w:type="pct"/>
            <w:tcBorders>
              <w:top w:val="nil"/>
              <w:left w:val="nil"/>
              <w:bottom w:val="nil"/>
              <w:right w:val="nil"/>
            </w:tcBorders>
            <w:shd w:val="clear" w:color="auto" w:fill="auto"/>
            <w:noWrap/>
            <w:vAlign w:val="center"/>
            <w:hideMark/>
          </w:tcPr>
          <w:p w14:paraId="44DE5CA8"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504</w:t>
            </w:r>
          </w:p>
        </w:tc>
        <w:tc>
          <w:tcPr>
            <w:tcW w:w="840" w:type="pct"/>
            <w:tcBorders>
              <w:top w:val="nil"/>
              <w:left w:val="nil"/>
              <w:bottom w:val="nil"/>
              <w:right w:val="nil"/>
            </w:tcBorders>
            <w:shd w:val="clear" w:color="auto" w:fill="auto"/>
            <w:noWrap/>
            <w:vAlign w:val="center"/>
            <w:hideMark/>
          </w:tcPr>
          <w:p w14:paraId="219571E6"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4.9</w:t>
            </w:r>
          </w:p>
        </w:tc>
        <w:tc>
          <w:tcPr>
            <w:tcW w:w="825" w:type="pct"/>
            <w:tcBorders>
              <w:top w:val="nil"/>
              <w:left w:val="nil"/>
              <w:bottom w:val="nil"/>
              <w:right w:val="nil"/>
            </w:tcBorders>
            <w:shd w:val="clear" w:color="auto" w:fill="auto"/>
            <w:noWrap/>
            <w:vAlign w:val="center"/>
            <w:hideMark/>
          </w:tcPr>
          <w:p w14:paraId="7D3F485D" w14:textId="0133AE94"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1</w:t>
            </w:r>
            <w:r w:rsidR="00E20918">
              <w:rPr>
                <w:rFonts w:ascii="Arial" w:hAnsi="Arial" w:cs="Arial"/>
                <w:sz w:val="16"/>
                <w:szCs w:val="16"/>
              </w:rPr>
              <w:t>,</w:t>
            </w:r>
            <w:r w:rsidRPr="00F35858">
              <w:rPr>
                <w:rFonts w:ascii="Arial" w:hAnsi="Arial" w:cs="Arial"/>
                <w:sz w:val="16"/>
                <w:szCs w:val="16"/>
              </w:rPr>
              <w:t>454</w:t>
            </w:r>
          </w:p>
        </w:tc>
        <w:tc>
          <w:tcPr>
            <w:tcW w:w="822" w:type="pct"/>
            <w:tcBorders>
              <w:top w:val="nil"/>
              <w:left w:val="nil"/>
              <w:bottom w:val="nil"/>
              <w:right w:val="nil"/>
            </w:tcBorders>
            <w:shd w:val="clear" w:color="auto" w:fill="auto"/>
            <w:noWrap/>
            <w:vAlign w:val="center"/>
            <w:hideMark/>
          </w:tcPr>
          <w:p w14:paraId="7FC80062"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9.4</w:t>
            </w:r>
          </w:p>
        </w:tc>
      </w:tr>
      <w:tr w:rsidR="00406F17" w:rsidRPr="00F35858" w14:paraId="045DB44B" w14:textId="77777777" w:rsidTr="00E24A34">
        <w:trPr>
          <w:trHeight w:val="267"/>
        </w:trPr>
        <w:tc>
          <w:tcPr>
            <w:tcW w:w="1784" w:type="pct"/>
            <w:gridSpan w:val="2"/>
            <w:tcBorders>
              <w:top w:val="nil"/>
              <w:left w:val="nil"/>
              <w:bottom w:val="nil"/>
              <w:right w:val="nil"/>
            </w:tcBorders>
            <w:shd w:val="clear" w:color="auto" w:fill="auto"/>
            <w:noWrap/>
            <w:vAlign w:val="center"/>
            <w:hideMark/>
          </w:tcPr>
          <w:p w14:paraId="09C3E00A" w14:textId="77777777" w:rsidR="00406F17" w:rsidRPr="00F35858" w:rsidRDefault="00406F17" w:rsidP="006B32E3">
            <w:pPr>
              <w:spacing w:after="0" w:line="240" w:lineRule="auto"/>
              <w:rPr>
                <w:rFonts w:ascii="Arial" w:hAnsi="Arial" w:cs="Arial"/>
                <w:sz w:val="16"/>
                <w:szCs w:val="16"/>
              </w:rPr>
            </w:pPr>
            <w:r w:rsidRPr="00F35858">
              <w:rPr>
                <w:rFonts w:ascii="Arial" w:hAnsi="Arial" w:cs="Arial"/>
                <w:sz w:val="16"/>
                <w:szCs w:val="16"/>
              </w:rPr>
              <w:t>≥ $50 million &amp; &lt; $100 million</w:t>
            </w:r>
          </w:p>
        </w:tc>
        <w:tc>
          <w:tcPr>
            <w:tcW w:w="729" w:type="pct"/>
            <w:tcBorders>
              <w:top w:val="nil"/>
              <w:left w:val="nil"/>
              <w:bottom w:val="nil"/>
              <w:right w:val="nil"/>
            </w:tcBorders>
            <w:shd w:val="clear" w:color="auto" w:fill="auto"/>
            <w:noWrap/>
            <w:vAlign w:val="center"/>
            <w:hideMark/>
          </w:tcPr>
          <w:p w14:paraId="3A768B8B"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36</w:t>
            </w:r>
          </w:p>
        </w:tc>
        <w:tc>
          <w:tcPr>
            <w:tcW w:w="840" w:type="pct"/>
            <w:tcBorders>
              <w:top w:val="nil"/>
              <w:left w:val="nil"/>
              <w:bottom w:val="nil"/>
              <w:right w:val="nil"/>
            </w:tcBorders>
            <w:shd w:val="clear" w:color="auto" w:fill="auto"/>
            <w:noWrap/>
            <w:vAlign w:val="center"/>
            <w:hideMark/>
          </w:tcPr>
          <w:p w14:paraId="70D417E7"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2.4</w:t>
            </w:r>
          </w:p>
        </w:tc>
        <w:tc>
          <w:tcPr>
            <w:tcW w:w="825" w:type="pct"/>
            <w:tcBorders>
              <w:top w:val="nil"/>
              <w:left w:val="nil"/>
              <w:bottom w:val="nil"/>
              <w:right w:val="nil"/>
            </w:tcBorders>
            <w:shd w:val="clear" w:color="auto" w:fill="auto"/>
            <w:noWrap/>
            <w:vAlign w:val="center"/>
            <w:hideMark/>
          </w:tcPr>
          <w:p w14:paraId="13A5F2E7"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105</w:t>
            </w:r>
          </w:p>
        </w:tc>
        <w:tc>
          <w:tcPr>
            <w:tcW w:w="822" w:type="pct"/>
            <w:tcBorders>
              <w:top w:val="nil"/>
              <w:left w:val="nil"/>
              <w:bottom w:val="nil"/>
              <w:right w:val="nil"/>
            </w:tcBorders>
            <w:shd w:val="clear" w:color="auto" w:fill="auto"/>
            <w:noWrap/>
            <w:vAlign w:val="center"/>
            <w:hideMark/>
          </w:tcPr>
          <w:p w14:paraId="606456AA"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7.5</w:t>
            </w:r>
          </w:p>
        </w:tc>
      </w:tr>
      <w:tr w:rsidR="00406F17" w:rsidRPr="00F35858" w14:paraId="4A4717B3" w14:textId="77777777" w:rsidTr="00E24A34">
        <w:trPr>
          <w:trHeight w:val="267"/>
        </w:trPr>
        <w:tc>
          <w:tcPr>
            <w:tcW w:w="1784" w:type="pct"/>
            <w:gridSpan w:val="2"/>
            <w:tcBorders>
              <w:top w:val="nil"/>
              <w:left w:val="nil"/>
              <w:bottom w:val="nil"/>
              <w:right w:val="nil"/>
            </w:tcBorders>
            <w:shd w:val="clear" w:color="auto" w:fill="auto"/>
            <w:noWrap/>
            <w:vAlign w:val="center"/>
            <w:hideMark/>
          </w:tcPr>
          <w:p w14:paraId="19DA5061" w14:textId="77777777" w:rsidR="00406F17" w:rsidRPr="00F35858" w:rsidRDefault="00406F17" w:rsidP="006B32E3">
            <w:pPr>
              <w:spacing w:after="0" w:line="240" w:lineRule="auto"/>
              <w:rPr>
                <w:rFonts w:ascii="Arial" w:hAnsi="Arial" w:cs="Arial"/>
                <w:sz w:val="16"/>
                <w:szCs w:val="16"/>
              </w:rPr>
            </w:pPr>
            <w:r w:rsidRPr="00F35858">
              <w:rPr>
                <w:rFonts w:ascii="Arial" w:hAnsi="Arial" w:cs="Arial"/>
                <w:sz w:val="16"/>
                <w:szCs w:val="16"/>
              </w:rPr>
              <w:t>≥ $100 million &amp; &lt; $500 million</w:t>
            </w:r>
          </w:p>
        </w:tc>
        <w:tc>
          <w:tcPr>
            <w:tcW w:w="729" w:type="pct"/>
            <w:tcBorders>
              <w:top w:val="nil"/>
              <w:left w:val="nil"/>
              <w:bottom w:val="nil"/>
              <w:right w:val="nil"/>
            </w:tcBorders>
            <w:shd w:val="clear" w:color="auto" w:fill="auto"/>
            <w:noWrap/>
            <w:vAlign w:val="center"/>
            <w:hideMark/>
          </w:tcPr>
          <w:p w14:paraId="674A5661"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28</w:t>
            </w:r>
          </w:p>
        </w:tc>
        <w:tc>
          <w:tcPr>
            <w:tcW w:w="840" w:type="pct"/>
            <w:tcBorders>
              <w:top w:val="nil"/>
              <w:left w:val="nil"/>
              <w:bottom w:val="nil"/>
              <w:right w:val="nil"/>
            </w:tcBorders>
            <w:shd w:val="clear" w:color="auto" w:fill="auto"/>
            <w:noWrap/>
            <w:vAlign w:val="center"/>
            <w:hideMark/>
          </w:tcPr>
          <w:p w14:paraId="29E0A979"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4.4</w:t>
            </w:r>
          </w:p>
        </w:tc>
        <w:tc>
          <w:tcPr>
            <w:tcW w:w="825" w:type="pct"/>
            <w:tcBorders>
              <w:top w:val="nil"/>
              <w:left w:val="nil"/>
              <w:bottom w:val="nil"/>
              <w:right w:val="nil"/>
            </w:tcBorders>
            <w:shd w:val="clear" w:color="auto" w:fill="auto"/>
            <w:noWrap/>
            <w:vAlign w:val="center"/>
            <w:hideMark/>
          </w:tcPr>
          <w:p w14:paraId="2AD23F74"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223</w:t>
            </w:r>
          </w:p>
        </w:tc>
        <w:tc>
          <w:tcPr>
            <w:tcW w:w="822" w:type="pct"/>
            <w:tcBorders>
              <w:top w:val="nil"/>
              <w:left w:val="nil"/>
              <w:bottom w:val="nil"/>
              <w:right w:val="nil"/>
            </w:tcBorders>
            <w:shd w:val="clear" w:color="auto" w:fill="auto"/>
            <w:noWrap/>
            <w:vAlign w:val="center"/>
            <w:hideMark/>
          </w:tcPr>
          <w:p w14:paraId="5ED91D54"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52.3</w:t>
            </w:r>
          </w:p>
        </w:tc>
      </w:tr>
      <w:tr w:rsidR="00406F17" w:rsidRPr="00F35858" w14:paraId="5F7650B0" w14:textId="77777777" w:rsidTr="00E24A34">
        <w:trPr>
          <w:trHeight w:val="267"/>
        </w:trPr>
        <w:tc>
          <w:tcPr>
            <w:tcW w:w="1784" w:type="pct"/>
            <w:gridSpan w:val="2"/>
            <w:tcBorders>
              <w:top w:val="nil"/>
              <w:left w:val="nil"/>
              <w:bottom w:val="nil"/>
              <w:right w:val="nil"/>
            </w:tcBorders>
            <w:shd w:val="clear" w:color="auto" w:fill="auto"/>
            <w:noWrap/>
            <w:vAlign w:val="center"/>
            <w:hideMark/>
          </w:tcPr>
          <w:p w14:paraId="2465155B" w14:textId="77777777" w:rsidR="00406F17" w:rsidRPr="00F35858" w:rsidRDefault="00406F17" w:rsidP="006B32E3">
            <w:pPr>
              <w:spacing w:after="0" w:line="240" w:lineRule="auto"/>
              <w:rPr>
                <w:rFonts w:ascii="Arial" w:hAnsi="Arial" w:cs="Arial"/>
                <w:sz w:val="16"/>
                <w:szCs w:val="16"/>
              </w:rPr>
            </w:pPr>
            <w:r w:rsidRPr="00F35858">
              <w:rPr>
                <w:rFonts w:ascii="Arial" w:hAnsi="Arial" w:cs="Arial"/>
                <w:sz w:val="16"/>
                <w:szCs w:val="16"/>
              </w:rPr>
              <w:t>≥ $500 million &amp; &lt; $1 billion</w:t>
            </w:r>
          </w:p>
        </w:tc>
        <w:tc>
          <w:tcPr>
            <w:tcW w:w="729" w:type="pct"/>
            <w:tcBorders>
              <w:top w:val="nil"/>
              <w:left w:val="nil"/>
              <w:bottom w:val="nil"/>
              <w:right w:val="nil"/>
            </w:tcBorders>
            <w:shd w:val="clear" w:color="auto" w:fill="auto"/>
            <w:noWrap/>
            <w:vAlign w:val="center"/>
            <w:hideMark/>
          </w:tcPr>
          <w:p w14:paraId="54F10A0A"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4</w:t>
            </w:r>
          </w:p>
        </w:tc>
        <w:tc>
          <w:tcPr>
            <w:tcW w:w="840" w:type="pct"/>
            <w:tcBorders>
              <w:top w:val="nil"/>
              <w:left w:val="nil"/>
              <w:bottom w:val="nil"/>
              <w:right w:val="nil"/>
            </w:tcBorders>
            <w:shd w:val="clear" w:color="auto" w:fill="auto"/>
            <w:noWrap/>
            <w:vAlign w:val="center"/>
            <w:hideMark/>
          </w:tcPr>
          <w:p w14:paraId="3E1B1480"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2.5</w:t>
            </w:r>
          </w:p>
        </w:tc>
        <w:tc>
          <w:tcPr>
            <w:tcW w:w="825" w:type="pct"/>
            <w:tcBorders>
              <w:top w:val="nil"/>
              <w:left w:val="nil"/>
              <w:bottom w:val="nil"/>
              <w:right w:val="nil"/>
            </w:tcBorders>
            <w:shd w:val="clear" w:color="auto" w:fill="auto"/>
            <w:noWrap/>
            <w:vAlign w:val="center"/>
            <w:hideMark/>
          </w:tcPr>
          <w:p w14:paraId="2FEE376F"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74</w:t>
            </w:r>
          </w:p>
        </w:tc>
        <w:tc>
          <w:tcPr>
            <w:tcW w:w="822" w:type="pct"/>
            <w:tcBorders>
              <w:top w:val="nil"/>
              <w:left w:val="nil"/>
              <w:bottom w:val="nil"/>
              <w:right w:val="nil"/>
            </w:tcBorders>
            <w:shd w:val="clear" w:color="auto" w:fill="auto"/>
            <w:noWrap/>
            <w:vAlign w:val="center"/>
            <w:hideMark/>
          </w:tcPr>
          <w:p w14:paraId="60D17B5C"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49.5</w:t>
            </w:r>
          </w:p>
        </w:tc>
      </w:tr>
      <w:tr w:rsidR="00406F17" w:rsidRPr="00F35858" w14:paraId="2952BD8C" w14:textId="77777777" w:rsidTr="00E24A34">
        <w:trPr>
          <w:trHeight w:val="267"/>
        </w:trPr>
        <w:tc>
          <w:tcPr>
            <w:tcW w:w="1784" w:type="pct"/>
            <w:gridSpan w:val="2"/>
            <w:tcBorders>
              <w:top w:val="nil"/>
              <w:left w:val="nil"/>
              <w:bottom w:val="nil"/>
              <w:right w:val="nil"/>
            </w:tcBorders>
            <w:shd w:val="clear" w:color="auto" w:fill="auto"/>
            <w:noWrap/>
            <w:vAlign w:val="center"/>
            <w:hideMark/>
          </w:tcPr>
          <w:p w14:paraId="590248BA" w14:textId="77777777" w:rsidR="00406F17" w:rsidRPr="00F35858" w:rsidRDefault="00406F17" w:rsidP="006B32E3">
            <w:pPr>
              <w:spacing w:after="0" w:line="240" w:lineRule="auto"/>
              <w:rPr>
                <w:rFonts w:ascii="Arial" w:hAnsi="Arial" w:cs="Arial"/>
                <w:sz w:val="16"/>
                <w:szCs w:val="16"/>
              </w:rPr>
            </w:pPr>
            <w:r w:rsidRPr="00F35858">
              <w:rPr>
                <w:rFonts w:ascii="Arial" w:hAnsi="Arial" w:cs="Arial"/>
                <w:sz w:val="16"/>
                <w:szCs w:val="16"/>
              </w:rPr>
              <w:t>≥ $1 billion &amp; &lt; $2 billion</w:t>
            </w:r>
          </w:p>
        </w:tc>
        <w:tc>
          <w:tcPr>
            <w:tcW w:w="729" w:type="pct"/>
            <w:tcBorders>
              <w:top w:val="nil"/>
              <w:left w:val="nil"/>
              <w:bottom w:val="nil"/>
              <w:right w:val="nil"/>
            </w:tcBorders>
            <w:shd w:val="clear" w:color="auto" w:fill="auto"/>
            <w:noWrap/>
            <w:vAlign w:val="center"/>
            <w:hideMark/>
          </w:tcPr>
          <w:p w14:paraId="47ACEAC6"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0</w:t>
            </w:r>
          </w:p>
        </w:tc>
        <w:tc>
          <w:tcPr>
            <w:tcW w:w="840" w:type="pct"/>
            <w:tcBorders>
              <w:top w:val="nil"/>
              <w:left w:val="nil"/>
              <w:bottom w:val="nil"/>
              <w:right w:val="nil"/>
            </w:tcBorders>
            <w:shd w:val="clear" w:color="auto" w:fill="auto"/>
            <w:noWrap/>
            <w:vAlign w:val="center"/>
            <w:hideMark/>
          </w:tcPr>
          <w:p w14:paraId="4FB79AA6"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0.0</w:t>
            </w:r>
          </w:p>
        </w:tc>
        <w:tc>
          <w:tcPr>
            <w:tcW w:w="825" w:type="pct"/>
            <w:tcBorders>
              <w:top w:val="nil"/>
              <w:left w:val="nil"/>
              <w:bottom w:val="nil"/>
              <w:right w:val="nil"/>
            </w:tcBorders>
            <w:shd w:val="clear" w:color="auto" w:fill="auto"/>
            <w:noWrap/>
            <w:vAlign w:val="center"/>
            <w:hideMark/>
          </w:tcPr>
          <w:p w14:paraId="51B4C1A6"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21</w:t>
            </w:r>
          </w:p>
        </w:tc>
        <w:tc>
          <w:tcPr>
            <w:tcW w:w="822" w:type="pct"/>
            <w:tcBorders>
              <w:top w:val="nil"/>
              <w:left w:val="nil"/>
              <w:bottom w:val="nil"/>
              <w:right w:val="nil"/>
            </w:tcBorders>
            <w:shd w:val="clear" w:color="auto" w:fill="auto"/>
            <w:noWrap/>
            <w:vAlign w:val="center"/>
            <w:hideMark/>
          </w:tcPr>
          <w:p w14:paraId="1E75D400"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26.9</w:t>
            </w:r>
          </w:p>
        </w:tc>
      </w:tr>
      <w:tr w:rsidR="00406F17" w:rsidRPr="00F35858" w14:paraId="65ECDFAB" w14:textId="77777777" w:rsidTr="00E24A34">
        <w:trPr>
          <w:trHeight w:val="267"/>
        </w:trPr>
        <w:tc>
          <w:tcPr>
            <w:tcW w:w="1784" w:type="pct"/>
            <w:gridSpan w:val="2"/>
            <w:tcBorders>
              <w:top w:val="nil"/>
              <w:left w:val="nil"/>
              <w:bottom w:val="nil"/>
              <w:right w:val="nil"/>
            </w:tcBorders>
            <w:shd w:val="clear" w:color="auto" w:fill="auto"/>
            <w:noWrap/>
            <w:vAlign w:val="center"/>
            <w:hideMark/>
          </w:tcPr>
          <w:p w14:paraId="663E6A84" w14:textId="77777777" w:rsidR="00406F17" w:rsidRPr="00F35858" w:rsidRDefault="00406F17" w:rsidP="006B32E3">
            <w:pPr>
              <w:spacing w:after="0" w:line="240" w:lineRule="auto"/>
              <w:rPr>
                <w:rFonts w:ascii="Arial" w:hAnsi="Arial" w:cs="Arial"/>
                <w:sz w:val="16"/>
                <w:szCs w:val="16"/>
              </w:rPr>
            </w:pPr>
            <w:r w:rsidRPr="00F35858">
              <w:rPr>
                <w:rFonts w:ascii="Arial" w:hAnsi="Arial" w:cs="Arial"/>
                <w:sz w:val="16"/>
                <w:szCs w:val="16"/>
              </w:rPr>
              <w:t>≥ $2 billion</w:t>
            </w:r>
          </w:p>
        </w:tc>
        <w:tc>
          <w:tcPr>
            <w:tcW w:w="729" w:type="pct"/>
            <w:tcBorders>
              <w:top w:val="nil"/>
              <w:left w:val="nil"/>
              <w:bottom w:val="nil"/>
              <w:right w:val="nil"/>
            </w:tcBorders>
            <w:shd w:val="clear" w:color="auto" w:fill="auto"/>
            <w:noWrap/>
            <w:vAlign w:val="center"/>
            <w:hideMark/>
          </w:tcPr>
          <w:p w14:paraId="03892ED0"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0</w:t>
            </w:r>
          </w:p>
        </w:tc>
        <w:tc>
          <w:tcPr>
            <w:tcW w:w="840" w:type="pct"/>
            <w:tcBorders>
              <w:top w:val="nil"/>
              <w:left w:val="nil"/>
              <w:bottom w:val="nil"/>
              <w:right w:val="nil"/>
            </w:tcBorders>
            <w:shd w:val="clear" w:color="auto" w:fill="auto"/>
            <w:noWrap/>
            <w:vAlign w:val="center"/>
            <w:hideMark/>
          </w:tcPr>
          <w:p w14:paraId="40D58168"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0.0</w:t>
            </w:r>
          </w:p>
        </w:tc>
        <w:tc>
          <w:tcPr>
            <w:tcW w:w="825" w:type="pct"/>
            <w:tcBorders>
              <w:top w:val="nil"/>
              <w:left w:val="nil"/>
              <w:bottom w:val="nil"/>
              <w:right w:val="nil"/>
            </w:tcBorders>
            <w:shd w:val="clear" w:color="auto" w:fill="auto"/>
            <w:noWrap/>
            <w:vAlign w:val="center"/>
            <w:hideMark/>
          </w:tcPr>
          <w:p w14:paraId="59D25430"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17</w:t>
            </w:r>
          </w:p>
        </w:tc>
        <w:tc>
          <w:tcPr>
            <w:tcW w:w="822" w:type="pct"/>
            <w:tcBorders>
              <w:top w:val="nil"/>
              <w:left w:val="nil"/>
              <w:bottom w:val="nil"/>
              <w:right w:val="nil"/>
            </w:tcBorders>
            <w:shd w:val="clear" w:color="auto" w:fill="auto"/>
            <w:noWrap/>
            <w:vAlign w:val="center"/>
            <w:hideMark/>
          </w:tcPr>
          <w:p w14:paraId="74F4945E" w14:textId="77777777" w:rsidR="00406F17" w:rsidRPr="00F35858" w:rsidRDefault="00406F17" w:rsidP="006B32E3">
            <w:pPr>
              <w:spacing w:after="0" w:line="240" w:lineRule="auto"/>
              <w:jc w:val="right"/>
              <w:rPr>
                <w:rFonts w:ascii="Arial" w:hAnsi="Arial" w:cs="Arial"/>
                <w:sz w:val="16"/>
                <w:szCs w:val="16"/>
              </w:rPr>
            </w:pPr>
            <w:r w:rsidRPr="00F35858">
              <w:rPr>
                <w:rFonts w:ascii="Arial" w:hAnsi="Arial" w:cs="Arial"/>
                <w:sz w:val="16"/>
                <w:szCs w:val="16"/>
              </w:rPr>
              <w:t>71.0</w:t>
            </w:r>
          </w:p>
        </w:tc>
      </w:tr>
      <w:tr w:rsidR="00406F17" w:rsidRPr="00F35858" w14:paraId="2F8EA2D8" w14:textId="77777777" w:rsidTr="00E24A34">
        <w:trPr>
          <w:trHeight w:val="267"/>
        </w:trPr>
        <w:tc>
          <w:tcPr>
            <w:tcW w:w="892" w:type="pct"/>
            <w:tcBorders>
              <w:top w:val="nil"/>
              <w:left w:val="nil"/>
              <w:bottom w:val="single" w:sz="4" w:space="0" w:color="auto"/>
              <w:right w:val="nil"/>
            </w:tcBorders>
            <w:shd w:val="clear" w:color="auto" w:fill="auto"/>
            <w:noWrap/>
            <w:vAlign w:val="center"/>
            <w:hideMark/>
          </w:tcPr>
          <w:p w14:paraId="4B4D9756" w14:textId="77777777" w:rsidR="00406F17" w:rsidRPr="00F35858" w:rsidRDefault="00406F17" w:rsidP="006B32E3">
            <w:pPr>
              <w:spacing w:after="0" w:line="240" w:lineRule="auto"/>
              <w:rPr>
                <w:rFonts w:ascii="Arial" w:hAnsi="Arial" w:cs="Arial"/>
                <w:b/>
                <w:bCs/>
                <w:sz w:val="16"/>
                <w:szCs w:val="16"/>
              </w:rPr>
            </w:pPr>
            <w:r w:rsidRPr="00F35858">
              <w:rPr>
                <w:rFonts w:ascii="Arial" w:hAnsi="Arial" w:cs="Arial"/>
                <w:b/>
                <w:bCs/>
                <w:sz w:val="16"/>
                <w:szCs w:val="16"/>
              </w:rPr>
              <w:t>Total</w:t>
            </w:r>
          </w:p>
        </w:tc>
        <w:tc>
          <w:tcPr>
            <w:tcW w:w="892" w:type="pct"/>
            <w:tcBorders>
              <w:top w:val="nil"/>
              <w:left w:val="nil"/>
              <w:bottom w:val="single" w:sz="4" w:space="0" w:color="auto"/>
              <w:right w:val="nil"/>
            </w:tcBorders>
            <w:shd w:val="clear" w:color="auto" w:fill="auto"/>
            <w:noWrap/>
            <w:vAlign w:val="center"/>
            <w:hideMark/>
          </w:tcPr>
          <w:p w14:paraId="7AB38D83" w14:textId="77777777" w:rsidR="00406F17" w:rsidRPr="00F35858" w:rsidRDefault="00406F17" w:rsidP="006B32E3">
            <w:pPr>
              <w:spacing w:after="0" w:line="240" w:lineRule="auto"/>
              <w:rPr>
                <w:rFonts w:ascii="Arial" w:hAnsi="Arial" w:cs="Arial"/>
                <w:b/>
                <w:bCs/>
                <w:sz w:val="16"/>
                <w:szCs w:val="16"/>
              </w:rPr>
            </w:pPr>
            <w:r w:rsidRPr="00F35858">
              <w:rPr>
                <w:rFonts w:ascii="Arial" w:hAnsi="Arial" w:cs="Arial"/>
                <w:b/>
                <w:bCs/>
                <w:sz w:val="16"/>
                <w:szCs w:val="16"/>
              </w:rPr>
              <w:t> </w:t>
            </w:r>
          </w:p>
        </w:tc>
        <w:tc>
          <w:tcPr>
            <w:tcW w:w="729" w:type="pct"/>
            <w:tcBorders>
              <w:top w:val="single" w:sz="4" w:space="0" w:color="auto"/>
              <w:left w:val="nil"/>
              <w:bottom w:val="single" w:sz="4" w:space="0" w:color="auto"/>
              <w:right w:val="nil"/>
            </w:tcBorders>
            <w:shd w:val="clear" w:color="auto" w:fill="auto"/>
            <w:noWrap/>
            <w:vAlign w:val="center"/>
            <w:hideMark/>
          </w:tcPr>
          <w:p w14:paraId="5548E189" w14:textId="77777777" w:rsidR="00406F17" w:rsidRPr="00F35858" w:rsidRDefault="00406F17" w:rsidP="006B32E3">
            <w:pPr>
              <w:spacing w:after="0" w:line="240" w:lineRule="auto"/>
              <w:jc w:val="right"/>
              <w:rPr>
                <w:rFonts w:ascii="Arial" w:hAnsi="Arial" w:cs="Arial"/>
                <w:b/>
                <w:bCs/>
                <w:sz w:val="16"/>
                <w:szCs w:val="16"/>
              </w:rPr>
            </w:pPr>
            <w:r w:rsidRPr="00F35858">
              <w:rPr>
                <w:rFonts w:ascii="Arial" w:hAnsi="Arial" w:cs="Arial"/>
                <w:b/>
                <w:bCs/>
                <w:sz w:val="16"/>
                <w:szCs w:val="16"/>
              </w:rPr>
              <w:t>969</w:t>
            </w:r>
          </w:p>
        </w:tc>
        <w:tc>
          <w:tcPr>
            <w:tcW w:w="840" w:type="pct"/>
            <w:tcBorders>
              <w:top w:val="single" w:sz="4" w:space="0" w:color="auto"/>
              <w:left w:val="nil"/>
              <w:bottom w:val="single" w:sz="4" w:space="0" w:color="auto"/>
              <w:right w:val="nil"/>
            </w:tcBorders>
            <w:shd w:val="clear" w:color="auto" w:fill="auto"/>
            <w:noWrap/>
            <w:vAlign w:val="center"/>
            <w:hideMark/>
          </w:tcPr>
          <w:p w14:paraId="680123DA" w14:textId="77777777" w:rsidR="00406F17" w:rsidRPr="00F35858" w:rsidRDefault="00406F17" w:rsidP="006B32E3">
            <w:pPr>
              <w:spacing w:after="0" w:line="240" w:lineRule="auto"/>
              <w:jc w:val="right"/>
              <w:rPr>
                <w:rFonts w:ascii="Arial" w:hAnsi="Arial" w:cs="Arial"/>
                <w:b/>
                <w:bCs/>
                <w:sz w:val="16"/>
                <w:szCs w:val="16"/>
              </w:rPr>
            </w:pPr>
            <w:r w:rsidRPr="00F35858">
              <w:rPr>
                <w:rFonts w:ascii="Arial" w:hAnsi="Arial" w:cs="Arial"/>
                <w:b/>
                <w:bCs/>
                <w:sz w:val="16"/>
                <w:szCs w:val="16"/>
              </w:rPr>
              <w:t>14.4</w:t>
            </w:r>
          </w:p>
        </w:tc>
        <w:tc>
          <w:tcPr>
            <w:tcW w:w="825" w:type="pct"/>
            <w:tcBorders>
              <w:top w:val="single" w:sz="4" w:space="0" w:color="auto"/>
              <w:left w:val="nil"/>
              <w:bottom w:val="single" w:sz="4" w:space="0" w:color="auto"/>
              <w:right w:val="nil"/>
            </w:tcBorders>
            <w:shd w:val="clear" w:color="auto" w:fill="auto"/>
            <w:noWrap/>
            <w:vAlign w:val="center"/>
            <w:hideMark/>
          </w:tcPr>
          <w:p w14:paraId="0EC94F4B" w14:textId="77777777" w:rsidR="00406F17" w:rsidRPr="00F35858" w:rsidRDefault="00406F17" w:rsidP="006B32E3">
            <w:pPr>
              <w:spacing w:after="0" w:line="240" w:lineRule="auto"/>
              <w:jc w:val="right"/>
              <w:rPr>
                <w:rFonts w:ascii="Arial" w:hAnsi="Arial" w:cs="Arial"/>
                <w:b/>
                <w:bCs/>
                <w:sz w:val="16"/>
                <w:szCs w:val="16"/>
              </w:rPr>
            </w:pPr>
            <w:r w:rsidRPr="00F35858">
              <w:rPr>
                <w:rFonts w:ascii="Arial" w:hAnsi="Arial" w:cs="Arial"/>
                <w:b/>
                <w:bCs/>
                <w:sz w:val="16"/>
                <w:szCs w:val="16"/>
              </w:rPr>
              <w:t>5,479</w:t>
            </w:r>
          </w:p>
        </w:tc>
        <w:tc>
          <w:tcPr>
            <w:tcW w:w="822" w:type="pct"/>
            <w:tcBorders>
              <w:top w:val="single" w:sz="4" w:space="0" w:color="auto"/>
              <w:left w:val="nil"/>
              <w:bottom w:val="single" w:sz="4" w:space="0" w:color="auto"/>
              <w:right w:val="nil"/>
            </w:tcBorders>
            <w:shd w:val="clear" w:color="auto" w:fill="auto"/>
            <w:noWrap/>
            <w:vAlign w:val="center"/>
            <w:hideMark/>
          </w:tcPr>
          <w:p w14:paraId="5BF3B5B4" w14:textId="77777777" w:rsidR="00406F17" w:rsidRPr="00F35858" w:rsidRDefault="00406F17" w:rsidP="006B32E3">
            <w:pPr>
              <w:spacing w:after="0" w:line="240" w:lineRule="auto"/>
              <w:jc w:val="right"/>
              <w:rPr>
                <w:rFonts w:ascii="Arial" w:hAnsi="Arial" w:cs="Arial"/>
                <w:b/>
                <w:bCs/>
                <w:sz w:val="16"/>
                <w:szCs w:val="16"/>
              </w:rPr>
            </w:pPr>
            <w:r w:rsidRPr="00F35858">
              <w:rPr>
                <w:rFonts w:ascii="Arial" w:hAnsi="Arial" w:cs="Arial"/>
                <w:b/>
                <w:bCs/>
                <w:sz w:val="16"/>
                <w:szCs w:val="16"/>
              </w:rPr>
              <w:t>218.5</w:t>
            </w:r>
          </w:p>
        </w:tc>
      </w:tr>
    </w:tbl>
    <w:p w14:paraId="21FF9BA9" w14:textId="633B20AC" w:rsidR="00C77975" w:rsidRPr="00E24A34" w:rsidRDefault="00634B81" w:rsidP="00E24A34">
      <w:pPr>
        <w:pStyle w:val="ChartorTableNote"/>
      </w:pPr>
      <w:r w:rsidRPr="00E24A34">
        <w:t xml:space="preserve">Before republishing this data or comparing between years, thoroughly review the methodological and data caveats in Appendix B. </w:t>
      </w:r>
    </w:p>
    <w:p w14:paraId="77D81C09" w14:textId="2B723FC8" w:rsidR="00F44D6F" w:rsidRDefault="00BD7ED1" w:rsidP="00E24A34">
      <w:pPr>
        <w:pStyle w:val="Heading2"/>
      </w:pPr>
      <w:bookmarkStart w:id="109" w:name="_Toc89872885"/>
      <w:bookmarkStart w:id="110" w:name="_Toc89872932"/>
      <w:r>
        <w:lastRenderedPageBreak/>
        <w:t xml:space="preserve">Approvals </w:t>
      </w:r>
      <w:r w:rsidR="008C0DED">
        <w:t>by industry sector</w:t>
      </w:r>
      <w:bookmarkEnd w:id="109"/>
      <w:bookmarkEnd w:id="110"/>
    </w:p>
    <w:p w14:paraId="5479B5CE" w14:textId="0D552598" w:rsidR="00E24A34" w:rsidRPr="00E24A34" w:rsidRDefault="00E24A34" w:rsidP="00E24A34">
      <w:pPr>
        <w:pStyle w:val="ChartMainHeading"/>
      </w:pPr>
      <w:bookmarkStart w:id="111" w:name="_Toc100146842"/>
      <w:r w:rsidRPr="00E24A34">
        <w:t xml:space="preserve">Chart </w:t>
      </w:r>
      <w:fldSimple w:instr=" STYLEREF 1 \s ">
        <w:r w:rsidR="0019342F">
          <w:rPr>
            <w:noProof/>
          </w:rPr>
          <w:t>3</w:t>
        </w:r>
      </w:fldSimple>
      <w:r w:rsidRPr="00E24A34">
        <w:t>.</w:t>
      </w:r>
      <w:fldSimple w:instr=" SEQ Chart \* ARABIC \s 1 ">
        <w:r w:rsidR="0019342F">
          <w:rPr>
            <w:noProof/>
          </w:rPr>
          <w:t>1</w:t>
        </w:r>
      </w:fldSimple>
      <w:r w:rsidRPr="00E24A34">
        <w:t xml:space="preserve">: Share of total value of approvals, by industry sector in </w:t>
      </w:r>
      <w:r w:rsidR="00D76ED2">
        <w:t>2020</w:t>
      </w:r>
      <w:r w:rsidR="00D76ED2">
        <w:noBreakHyphen/>
        <w:t>21</w:t>
      </w:r>
      <w:bookmarkEnd w:id="111"/>
    </w:p>
    <w:p w14:paraId="261FA1F0" w14:textId="2A37B3B4" w:rsidR="00E24A34" w:rsidRDefault="00E24A34" w:rsidP="00E24A34">
      <w:pPr>
        <w:pStyle w:val="ChartGraphic"/>
        <w:spacing w:before="120" w:after="120"/>
      </w:pPr>
      <w:r w:rsidRPr="0011132A">
        <w:rPr>
          <w:rStyle w:val="TableChar"/>
          <w:noProof/>
        </w:rPr>
        <w:drawing>
          <wp:inline distT="0" distB="0" distL="0" distR="0" wp14:anchorId="6CE38448" wp14:editId="456271BF">
            <wp:extent cx="4895850" cy="2325379"/>
            <wp:effectExtent l="0" t="0" r="0" b="0"/>
            <wp:docPr id="1" name="Chart 1" descr="This chart shows the share of the total value of approvals by industry sector in 2020-21. The commercial real estate sector received the greatest share of the total value of approvals accounting for 35 per cent. This was followed by the services sector which received 33 per cent and the manufacturing, electricity and gas sector which received 15 per cent. ">
              <a:extLst xmlns:a="http://schemas.openxmlformats.org/drawingml/2006/main">
                <a:ext uri="{FF2B5EF4-FFF2-40B4-BE49-F238E27FC236}">
                  <a16:creationId xmlns:a16="http://schemas.microsoft.com/office/drawing/2014/main" id="{0F929B06-0004-43C7-A241-904F557151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5065B6E" w14:textId="3C534995" w:rsidR="00E24A34" w:rsidRDefault="00E24A34" w:rsidP="00E24A34">
      <w:pPr>
        <w:pStyle w:val="ChartMainHeading"/>
      </w:pPr>
      <w:bookmarkStart w:id="112" w:name="_Toc100146843"/>
      <w:r w:rsidRPr="00E24A34">
        <w:t xml:space="preserve">Chart </w:t>
      </w:r>
      <w:fldSimple w:instr=" STYLEREF 1 \s ">
        <w:r w:rsidR="0019342F">
          <w:rPr>
            <w:noProof/>
          </w:rPr>
          <w:t>3</w:t>
        </w:r>
      </w:fldSimple>
      <w:r w:rsidRPr="00E24A34">
        <w:t>.</w:t>
      </w:r>
      <w:fldSimple w:instr=" SEQ Chart \* ARABIC \s 1 ">
        <w:r w:rsidR="0019342F">
          <w:rPr>
            <w:noProof/>
          </w:rPr>
          <w:t>2</w:t>
        </w:r>
      </w:fldSimple>
      <w:r w:rsidRPr="00E24A34">
        <w:t xml:space="preserve">: Approvals value by industry sector, in </w:t>
      </w:r>
      <w:r w:rsidR="00D76ED2">
        <w:t>2019</w:t>
      </w:r>
      <w:r w:rsidR="00D76ED2">
        <w:noBreakHyphen/>
        <w:t>20</w:t>
      </w:r>
      <w:r w:rsidRPr="00E24A34">
        <w:t xml:space="preserve"> and </w:t>
      </w:r>
      <w:r w:rsidR="00D76ED2">
        <w:t>2020</w:t>
      </w:r>
      <w:r w:rsidR="00D76ED2">
        <w:noBreakHyphen/>
        <w:t>21</w:t>
      </w:r>
      <w:bookmarkEnd w:id="112"/>
    </w:p>
    <w:p w14:paraId="3C80C6DD" w14:textId="474CDC5E" w:rsidR="00E24A34" w:rsidRPr="00E24A34" w:rsidRDefault="00E24A34" w:rsidP="00E24A34">
      <w:pPr>
        <w:pStyle w:val="ChartGraphic"/>
      </w:pPr>
      <w:r w:rsidRPr="00BF274E">
        <w:rPr>
          <w:rStyle w:val="TableChar"/>
          <w:noProof/>
        </w:rPr>
        <w:drawing>
          <wp:inline distT="0" distB="0" distL="0" distR="0" wp14:anchorId="6AAEDBFC" wp14:editId="3D9D45C4">
            <wp:extent cx="4895850" cy="3138985"/>
            <wp:effectExtent l="0" t="0" r="0" b="4445"/>
            <wp:docPr id="11" name="Chart 11" descr="This chart compares the value of approvals by industry sector in 2019-20 and 2020-21. Compared to 2019-20, there was a significant increase of investment approvals in commercial real estate (from $39.4 billion to $82.0 billion in 2020-21). The chart shows how investment is increasing to pre-pandemic levels.">
              <a:extLst xmlns:a="http://schemas.openxmlformats.org/drawingml/2006/main">
                <a:ext uri="{FF2B5EF4-FFF2-40B4-BE49-F238E27FC236}">
                  <a16:creationId xmlns:a16="http://schemas.microsoft.com/office/drawing/2014/main" id="{65F7CD99-6BCF-4DE7-9430-EE116E1E4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BC08C05" w14:textId="5D1FA710" w:rsidR="00634B81" w:rsidRPr="000F4BCD" w:rsidRDefault="000F4BCD" w:rsidP="000F4BCD">
      <w:pPr>
        <w:spacing w:after="0"/>
        <w:rPr>
          <w:rFonts w:ascii="Arial" w:hAnsi="Arial"/>
          <w:b/>
          <w:bCs/>
          <w:sz w:val="16"/>
        </w:rPr>
      </w:pPr>
      <w:r w:rsidRPr="000F4BCD">
        <w:rPr>
          <w:rFonts w:ascii="Arial" w:hAnsi="Arial"/>
          <w:b/>
          <w:bCs/>
          <w:sz w:val="16"/>
        </w:rPr>
        <w:t>Notes applying to Charts 3.1 and 3.2:</w:t>
      </w:r>
    </w:p>
    <w:p w14:paraId="225902A1" w14:textId="6E517014" w:rsidR="000F4BCD" w:rsidRDefault="000F4BCD" w:rsidP="00ED04B5">
      <w:pPr>
        <w:pStyle w:val="ChartorTableNote"/>
      </w:pPr>
      <w:r w:rsidRPr="00BF48CD">
        <w:t xml:space="preserve">Before republishing this data or comparing between years, thoroughly review the methodological and data caveats in </w:t>
      </w:r>
      <w:r w:rsidRPr="006D2D0D">
        <w:t>Appendix B.</w:t>
      </w:r>
      <w:r w:rsidRPr="00BF48CD">
        <w:t xml:space="preserve"> </w:t>
      </w:r>
    </w:p>
    <w:p w14:paraId="1624B421" w14:textId="2A4F9F85" w:rsidR="00E24A34" w:rsidRDefault="00E24A34">
      <w:pPr>
        <w:spacing w:after="0" w:line="240" w:lineRule="auto"/>
        <w:jc w:val="left"/>
      </w:pPr>
      <w:r>
        <w:br w:type="page"/>
      </w:r>
    </w:p>
    <w:p w14:paraId="44AE5798" w14:textId="6D86D201" w:rsidR="000F4BCD" w:rsidRDefault="00C40BFD" w:rsidP="000F4BCD">
      <w:r>
        <w:lastRenderedPageBreak/>
        <w:t xml:space="preserve">A total of </w:t>
      </w:r>
      <w:r w:rsidR="002959F2">
        <w:t>2,2</w:t>
      </w:r>
      <w:r w:rsidR="002D065E">
        <w:t>10</w:t>
      </w:r>
      <w:r w:rsidR="003E7C79">
        <w:t> </w:t>
      </w:r>
      <w:r w:rsidR="00B16F1D">
        <w:t>proposals</w:t>
      </w:r>
      <w:r w:rsidR="002959F2">
        <w:t xml:space="preserve"> (</w:t>
      </w:r>
      <w:r>
        <w:t>excluding residential real estate</w:t>
      </w:r>
      <w:r w:rsidR="002959F2">
        <w:t xml:space="preserve"> </w:t>
      </w:r>
      <w:r w:rsidR="00B16F1D">
        <w:t>proposals</w:t>
      </w:r>
      <w:r w:rsidR="002959F2">
        <w:t>)</w:t>
      </w:r>
      <w:r>
        <w:t xml:space="preserve"> </w:t>
      </w:r>
      <w:r w:rsidR="000F4BCD" w:rsidRPr="00B93C80">
        <w:t>worth $</w:t>
      </w:r>
      <w:r w:rsidR="002959F2" w:rsidRPr="00B93C80">
        <w:t>2</w:t>
      </w:r>
      <w:r w:rsidR="002D065E" w:rsidRPr="00B93C80">
        <w:t>22</w:t>
      </w:r>
      <w:r w:rsidR="002959F2" w:rsidRPr="00B93C80">
        <w:t>.</w:t>
      </w:r>
      <w:r w:rsidR="002D065E" w:rsidRPr="00B93C80">
        <w:t>7</w:t>
      </w:r>
      <w:r w:rsidR="000F4BCD" w:rsidRPr="00B93C80">
        <w:t xml:space="preserve"> billion were approved in </w:t>
      </w:r>
      <w:r w:rsidR="00D76ED2">
        <w:t>2020</w:t>
      </w:r>
      <w:r w:rsidR="00D76ED2">
        <w:noBreakHyphen/>
        <w:t>21</w:t>
      </w:r>
      <w:r w:rsidR="000F4BCD" w:rsidRPr="00B93C80">
        <w:t xml:space="preserve"> compared to the 1,1</w:t>
      </w:r>
      <w:r w:rsidR="002959F2" w:rsidRPr="00B93C80">
        <w:t>5</w:t>
      </w:r>
      <w:r w:rsidR="002D065E" w:rsidRPr="00B93C80">
        <w:t>2</w:t>
      </w:r>
      <w:r w:rsidR="000F4BCD" w:rsidRPr="00B93C80">
        <w:t> approvals worth $</w:t>
      </w:r>
      <w:r w:rsidR="002959F2" w:rsidRPr="00B93C80">
        <w:t>178.4</w:t>
      </w:r>
      <w:r w:rsidR="000F4BCD" w:rsidRPr="00B93C80">
        <w:t xml:space="preserve"> billion in </w:t>
      </w:r>
      <w:r w:rsidR="00D76ED2">
        <w:t>2019</w:t>
      </w:r>
      <w:r w:rsidR="00D76ED2">
        <w:noBreakHyphen/>
        <w:t>20</w:t>
      </w:r>
      <w:r w:rsidR="000F4BCD" w:rsidRPr="00B93C80">
        <w:t xml:space="preserve"> (see</w:t>
      </w:r>
      <w:r w:rsidR="003E7C79">
        <w:t> </w:t>
      </w:r>
      <w:r w:rsidR="000F4BCD" w:rsidRPr="00B93C80">
        <w:t>Table 3.7).</w:t>
      </w:r>
    </w:p>
    <w:p w14:paraId="6F6340DA" w14:textId="164D350D" w:rsidR="000F4BCD" w:rsidRPr="00820C89" w:rsidRDefault="000F4BCD" w:rsidP="000F4BCD">
      <w:r w:rsidRPr="00B93C80">
        <w:t xml:space="preserve">In </w:t>
      </w:r>
      <w:r w:rsidR="00D76ED2">
        <w:t>2020</w:t>
      </w:r>
      <w:r w:rsidR="00D76ED2">
        <w:noBreakHyphen/>
        <w:t>21</w:t>
      </w:r>
      <w:r w:rsidRPr="00B93C80">
        <w:t xml:space="preserve">, the </w:t>
      </w:r>
      <w:r w:rsidR="002959F2" w:rsidRPr="00B93C80">
        <w:t xml:space="preserve">commercial real estate sector </w:t>
      </w:r>
      <w:r w:rsidRPr="00B93C80">
        <w:t xml:space="preserve">attracted the highest value of </w:t>
      </w:r>
      <w:r w:rsidR="00811B02">
        <w:t>proposed</w:t>
      </w:r>
      <w:r w:rsidRPr="00B93C80">
        <w:t xml:space="preserve"> investment, totalling $</w:t>
      </w:r>
      <w:r w:rsidR="002959F2" w:rsidRPr="00B93C80">
        <w:t>82.0</w:t>
      </w:r>
      <w:r w:rsidRPr="00B93C80">
        <w:t xml:space="preserve"> billion, followed by </w:t>
      </w:r>
      <w:r w:rsidR="002959F2" w:rsidRPr="00B93C80">
        <w:t>the services sector</w:t>
      </w:r>
      <w:r w:rsidRPr="00B93C80">
        <w:t>, totalling $</w:t>
      </w:r>
      <w:r w:rsidR="002959F2" w:rsidRPr="00B93C80">
        <w:t>76.9</w:t>
      </w:r>
      <w:r w:rsidRPr="00B93C80">
        <w:t> billion. In both sectors</w:t>
      </w:r>
      <w:r w:rsidR="002959F2" w:rsidRPr="00B93C80">
        <w:t>,</w:t>
      </w:r>
      <w:r w:rsidRPr="00B93C80">
        <w:t xml:space="preserve"> </w:t>
      </w:r>
      <w:r w:rsidR="00811B02">
        <w:t xml:space="preserve">the value of proposed investment approvals </w:t>
      </w:r>
      <w:r w:rsidR="002959F2" w:rsidRPr="00B93C80">
        <w:t>increased</w:t>
      </w:r>
      <w:r w:rsidRPr="00B93C80">
        <w:t xml:space="preserve"> compared to </w:t>
      </w:r>
      <w:r w:rsidR="00D76ED2">
        <w:t>2019</w:t>
      </w:r>
      <w:r w:rsidR="00D76ED2">
        <w:noBreakHyphen/>
        <w:t>20</w:t>
      </w:r>
      <w:r w:rsidRPr="00B93C80">
        <w:t xml:space="preserve"> approvals (a</w:t>
      </w:r>
      <w:r w:rsidR="00D576B3" w:rsidRPr="00B93C80">
        <w:t>n</w:t>
      </w:r>
      <w:r w:rsidRPr="00B93C80">
        <w:t xml:space="preserve"> </w:t>
      </w:r>
      <w:r w:rsidR="00D576B3" w:rsidRPr="00B93C80">
        <w:t>in</w:t>
      </w:r>
      <w:r w:rsidRPr="00B93C80">
        <w:t>crease of $</w:t>
      </w:r>
      <w:r w:rsidR="00D576B3" w:rsidRPr="00B93C80">
        <w:t>43.2</w:t>
      </w:r>
      <w:r w:rsidRPr="00B93C80">
        <w:t> billion and $3</w:t>
      </w:r>
      <w:r w:rsidR="00D576B3" w:rsidRPr="00B93C80">
        <w:t>.3</w:t>
      </w:r>
      <w:r w:rsidRPr="00B93C80">
        <w:t> billion respectively).</w:t>
      </w:r>
      <w:r w:rsidRPr="00820C89">
        <w:t xml:space="preserve"> </w:t>
      </w:r>
    </w:p>
    <w:p w14:paraId="4DBBD4D8" w14:textId="2CB2DFB5" w:rsidR="000F4BCD" w:rsidRPr="00820C89" w:rsidRDefault="000F4BCD" w:rsidP="000F4BCD">
      <w:r w:rsidRPr="00820C89">
        <w:t xml:space="preserve">The value of approvals in the manufacturing, electricity and gas sector </w:t>
      </w:r>
      <w:r w:rsidR="00D576B3" w:rsidRPr="00B93C80">
        <w:t>increased</w:t>
      </w:r>
      <w:r w:rsidRPr="00B93C80">
        <w:t xml:space="preserve"> by $</w:t>
      </w:r>
      <w:r w:rsidR="00D576B3" w:rsidRPr="00B93C80">
        <w:t>2</w:t>
      </w:r>
      <w:r w:rsidRPr="00B93C80">
        <w:t>.</w:t>
      </w:r>
      <w:r w:rsidR="00BB6803" w:rsidRPr="00B93C80">
        <w:t>8</w:t>
      </w:r>
      <w:r w:rsidRPr="00B93C80">
        <w:t> billion (to $3</w:t>
      </w:r>
      <w:r w:rsidR="00D576B3" w:rsidRPr="00B93C80">
        <w:t>5</w:t>
      </w:r>
      <w:r w:rsidRPr="00B93C80">
        <w:t>.</w:t>
      </w:r>
      <w:r w:rsidR="00BB6803" w:rsidRPr="00B93C80">
        <w:t>8</w:t>
      </w:r>
      <w:r w:rsidRPr="00B93C80">
        <w:t xml:space="preserve"> billion) compared to </w:t>
      </w:r>
      <w:r w:rsidR="00D76ED2">
        <w:t>2019</w:t>
      </w:r>
      <w:r w:rsidR="00D76ED2">
        <w:noBreakHyphen/>
        <w:t>20</w:t>
      </w:r>
      <w:r w:rsidRPr="00B93C80">
        <w:t xml:space="preserve"> and the mineral exploration and development sector </w:t>
      </w:r>
      <w:r w:rsidR="00D576B3" w:rsidRPr="00B93C80">
        <w:t>increased</w:t>
      </w:r>
      <w:r w:rsidRPr="00B93C80">
        <w:t xml:space="preserve"> by $</w:t>
      </w:r>
      <w:r w:rsidR="00BB6803" w:rsidRPr="00B93C80">
        <w:t>300.0</w:t>
      </w:r>
      <w:r w:rsidRPr="00B93C80">
        <w:t> </w:t>
      </w:r>
      <w:r w:rsidR="00BB6803" w:rsidRPr="00B93C80">
        <w:t>m</w:t>
      </w:r>
      <w:r w:rsidRPr="00B93C80">
        <w:t>illion (to $11.</w:t>
      </w:r>
      <w:r w:rsidR="00D576B3" w:rsidRPr="00B93C80">
        <w:t>5</w:t>
      </w:r>
      <w:r w:rsidRPr="00B93C80">
        <w:t> billion).</w:t>
      </w:r>
      <w:r w:rsidRPr="00820C89">
        <w:t xml:space="preserve"> </w:t>
      </w:r>
    </w:p>
    <w:p w14:paraId="117FEC9D" w14:textId="2450F954" w:rsidR="000F4BCD" w:rsidRPr="00820C89" w:rsidRDefault="000F4BCD" w:rsidP="000F4BCD">
      <w:r w:rsidRPr="00B93C80">
        <w:t xml:space="preserve">In </w:t>
      </w:r>
      <w:r w:rsidR="00D76ED2">
        <w:t>2020</w:t>
      </w:r>
      <w:r w:rsidR="00D76ED2">
        <w:noBreakHyphen/>
        <w:t>21</w:t>
      </w:r>
      <w:r w:rsidRPr="00B93C80">
        <w:t>,</w:t>
      </w:r>
      <w:r w:rsidRPr="00820C89">
        <w:t xml:space="preserve"> </w:t>
      </w:r>
      <w:r w:rsidR="004F766E">
        <w:t>both the finance and insurance sector and the agriculture, forestry and fishing sector experienced an increase in the number of approvals and a decrease in the value of approvals (a decrease of $2.9</w:t>
      </w:r>
      <w:r w:rsidR="003E7C79">
        <w:t> </w:t>
      </w:r>
      <w:r w:rsidR="004F766E">
        <w:t>billion and $1.9</w:t>
      </w:r>
      <w:r w:rsidR="003E7C79">
        <w:t> </w:t>
      </w:r>
      <w:r w:rsidR="004F766E">
        <w:t xml:space="preserve">billion respectively). </w:t>
      </w:r>
      <w:r w:rsidR="00062791">
        <w:t xml:space="preserve">The </w:t>
      </w:r>
      <w:r w:rsidR="004F766E">
        <w:t xml:space="preserve">number and </w:t>
      </w:r>
      <w:r w:rsidR="00062791">
        <w:t xml:space="preserve">value of approvals in </w:t>
      </w:r>
      <w:r w:rsidRPr="00820C89">
        <w:t>residential real estate</w:t>
      </w:r>
      <w:r w:rsidRPr="00820C89" w:rsidDel="00062791">
        <w:t xml:space="preserve"> </w:t>
      </w:r>
      <w:r w:rsidR="00BB6803" w:rsidRPr="00B93C80">
        <w:t>de</w:t>
      </w:r>
      <w:r w:rsidRPr="00B93C80">
        <w:t>crease</w:t>
      </w:r>
      <w:r w:rsidR="00062791" w:rsidRPr="00B93C80">
        <w:t>d with the</w:t>
      </w:r>
      <w:r w:rsidRPr="00B93C80" w:rsidDel="00062791">
        <w:t xml:space="preserve"> </w:t>
      </w:r>
      <w:r w:rsidRPr="00B93C80">
        <w:t xml:space="preserve">value of approvals </w:t>
      </w:r>
      <w:r w:rsidR="00062791" w:rsidRPr="00B93C80">
        <w:t>dropping by</w:t>
      </w:r>
      <w:r w:rsidRPr="00B93C80">
        <w:t xml:space="preserve"> $</w:t>
      </w:r>
      <w:r w:rsidR="00062791" w:rsidRPr="00B93C80">
        <w:t>6</w:t>
      </w:r>
      <w:r w:rsidRPr="00B93C80">
        <w:t>.</w:t>
      </w:r>
      <w:r w:rsidR="00062791" w:rsidRPr="00B93C80">
        <w:t>7</w:t>
      </w:r>
      <w:r w:rsidRPr="00B93C80">
        <w:t> billion (to $1</w:t>
      </w:r>
      <w:r w:rsidR="00062791" w:rsidRPr="00B93C80">
        <w:t>0</w:t>
      </w:r>
      <w:r w:rsidRPr="00B93C80">
        <w:t>.</w:t>
      </w:r>
      <w:r w:rsidR="00062791" w:rsidRPr="00B93C80">
        <w:t>4</w:t>
      </w:r>
      <w:r w:rsidRPr="00B93C80">
        <w:t> billion).</w:t>
      </w:r>
      <w:r w:rsidR="009B5F7C">
        <w:t xml:space="preserve"> </w:t>
      </w:r>
      <w:r w:rsidRPr="00B93C80">
        <w:t>For the first time in four years</w:t>
      </w:r>
      <w:r w:rsidR="004F766E" w:rsidRPr="00B93C80">
        <w:t>,</w:t>
      </w:r>
      <w:r w:rsidRPr="00B93C80">
        <w:t xml:space="preserve"> the agriculture, forestry and fishing sector has been the smallest sector by value</w:t>
      </w:r>
      <w:r w:rsidRPr="00820C89">
        <w:t xml:space="preserve"> for</w:t>
      </w:r>
      <w:r>
        <w:t xml:space="preserve"> proposed</w:t>
      </w:r>
      <w:r w:rsidRPr="00820C89">
        <w:t xml:space="preserve"> investment approvals. </w:t>
      </w:r>
    </w:p>
    <w:p w14:paraId="70408382" w14:textId="2416E2C7" w:rsidR="0009137E" w:rsidRPr="008F2798" w:rsidRDefault="005E12C6" w:rsidP="008F2798">
      <w:pPr>
        <w:spacing w:after="0" w:line="240" w:lineRule="auto"/>
        <w:jc w:val="left"/>
        <w:rPr>
          <w:rFonts w:ascii="Calibri" w:hAnsi="Calibri"/>
          <w:b/>
          <w:color w:val="4F81BD" w:themeColor="accent1"/>
          <w:sz w:val="22"/>
        </w:rPr>
      </w:pPr>
      <w:bookmarkStart w:id="113" w:name="_Toc63798275"/>
      <w:bookmarkStart w:id="114" w:name="_Toc73984734"/>
      <w:r>
        <w:br w:type="page"/>
      </w:r>
      <w:bookmarkEnd w:id="113"/>
      <w:bookmarkEnd w:id="114"/>
    </w:p>
    <w:p w14:paraId="3906F4D6" w14:textId="5A6EC8A8" w:rsidR="008F2798" w:rsidRPr="009955B8" w:rsidRDefault="008F2798" w:rsidP="009955B8">
      <w:pPr>
        <w:pStyle w:val="TableMainHeading"/>
      </w:pPr>
      <w:bookmarkStart w:id="115" w:name="_Toc89939941"/>
      <w:r w:rsidRPr="009955B8">
        <w:lastRenderedPageBreak/>
        <w:t xml:space="preserve">Table </w:t>
      </w:r>
      <w:fldSimple w:instr=" STYLEREF 1 \s ">
        <w:r w:rsidR="0019342F">
          <w:rPr>
            <w:noProof/>
          </w:rPr>
          <w:t>3</w:t>
        </w:r>
      </w:fldSimple>
      <w:r w:rsidR="009812FE" w:rsidRPr="009955B8">
        <w:t>.</w:t>
      </w:r>
      <w:fldSimple w:instr=" SEQ Table \* ARABIC \s 1 ">
        <w:r w:rsidR="0019342F">
          <w:rPr>
            <w:noProof/>
          </w:rPr>
          <w:t>7</w:t>
        </w:r>
      </w:fldSimple>
      <w:r w:rsidRPr="009955B8">
        <w:t>: Total approvals by industry sector</w:t>
      </w:r>
      <w:r w:rsidR="00F07785" w:rsidRPr="009955B8">
        <w:t>,</w:t>
      </w:r>
      <w:r w:rsidRPr="009955B8">
        <w:t xml:space="preserve"> </w:t>
      </w:r>
      <w:r w:rsidR="00DC1928">
        <w:t>2017</w:t>
      </w:r>
      <w:r w:rsidR="00DC1928">
        <w:noBreakHyphen/>
        <w:t>18</w:t>
      </w:r>
      <w:r w:rsidRPr="009955B8">
        <w:t xml:space="preserve"> to </w:t>
      </w:r>
      <w:r w:rsidR="00D76ED2">
        <w:t>2020</w:t>
      </w:r>
      <w:r w:rsidR="00D76ED2">
        <w:noBreakHyphen/>
        <w:t>21</w:t>
      </w:r>
      <w:bookmarkEnd w:id="115"/>
    </w:p>
    <w:tbl>
      <w:tblPr>
        <w:tblW w:w="5000" w:type="pct"/>
        <w:tblLayout w:type="fixed"/>
        <w:tblCellMar>
          <w:left w:w="0" w:type="dxa"/>
          <w:right w:w="28" w:type="dxa"/>
        </w:tblCellMar>
        <w:tblLook w:val="04A0" w:firstRow="1" w:lastRow="0" w:firstColumn="1" w:lastColumn="0" w:noHBand="0" w:noVBand="1"/>
      </w:tblPr>
      <w:tblGrid>
        <w:gridCol w:w="2032"/>
        <w:gridCol w:w="264"/>
        <w:gridCol w:w="706"/>
        <w:gridCol w:w="617"/>
        <w:gridCol w:w="635"/>
        <w:gridCol w:w="729"/>
        <w:gridCol w:w="688"/>
        <w:gridCol w:w="677"/>
        <w:gridCol w:w="739"/>
        <w:gridCol w:w="623"/>
      </w:tblGrid>
      <w:tr w:rsidR="00C40BFD" w:rsidRPr="002F63E8" w14:paraId="32CA31CB" w14:textId="77777777" w:rsidTr="009955B8">
        <w:trPr>
          <w:trHeight w:val="225"/>
        </w:trPr>
        <w:tc>
          <w:tcPr>
            <w:tcW w:w="1318" w:type="pct"/>
            <w:tcBorders>
              <w:top w:val="single" w:sz="4" w:space="0" w:color="auto"/>
              <w:left w:val="nil"/>
              <w:bottom w:val="nil"/>
              <w:right w:val="nil"/>
            </w:tcBorders>
            <w:shd w:val="clear" w:color="000000" w:fill="FFFFFF"/>
            <w:noWrap/>
            <w:vAlign w:val="center"/>
            <w:hideMark/>
          </w:tcPr>
          <w:p w14:paraId="6780FA35" w14:textId="77777777" w:rsidR="00C40BFD" w:rsidRPr="002F63E8" w:rsidRDefault="00C40BFD" w:rsidP="006B32E3">
            <w:pPr>
              <w:spacing w:after="0" w:line="240" w:lineRule="auto"/>
              <w:rPr>
                <w:rFonts w:ascii="Arial" w:hAnsi="Arial" w:cs="Arial"/>
                <w:sz w:val="16"/>
                <w:szCs w:val="16"/>
              </w:rPr>
            </w:pPr>
            <w:r w:rsidRPr="002F63E8">
              <w:rPr>
                <w:rFonts w:ascii="Arial" w:hAnsi="Arial" w:cs="Arial"/>
                <w:sz w:val="16"/>
                <w:szCs w:val="16"/>
              </w:rPr>
              <w:t> </w:t>
            </w:r>
          </w:p>
        </w:tc>
        <w:tc>
          <w:tcPr>
            <w:tcW w:w="171" w:type="pct"/>
            <w:tcBorders>
              <w:top w:val="single" w:sz="4" w:space="0" w:color="auto"/>
              <w:left w:val="nil"/>
              <w:bottom w:val="nil"/>
              <w:right w:val="nil"/>
            </w:tcBorders>
            <w:shd w:val="clear" w:color="000000" w:fill="FFFFFF"/>
            <w:noWrap/>
            <w:vAlign w:val="center"/>
            <w:hideMark/>
          </w:tcPr>
          <w:p w14:paraId="5A0BB8AA"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 </w:t>
            </w:r>
          </w:p>
        </w:tc>
        <w:tc>
          <w:tcPr>
            <w:tcW w:w="858" w:type="pct"/>
            <w:gridSpan w:val="2"/>
            <w:tcBorders>
              <w:top w:val="single" w:sz="4" w:space="0" w:color="auto"/>
              <w:left w:val="nil"/>
              <w:bottom w:val="nil"/>
            </w:tcBorders>
            <w:shd w:val="clear" w:color="000000" w:fill="FFFFFF"/>
            <w:noWrap/>
            <w:vAlign w:val="center"/>
            <w:hideMark/>
          </w:tcPr>
          <w:p w14:paraId="0EB843CD" w14:textId="3B037434" w:rsidR="00C40BFD" w:rsidRPr="002F63E8" w:rsidRDefault="00DC1928" w:rsidP="006B32E3">
            <w:pPr>
              <w:spacing w:after="0" w:line="240" w:lineRule="auto"/>
              <w:jc w:val="right"/>
              <w:rPr>
                <w:rFonts w:ascii="Arial" w:hAnsi="Arial" w:cs="Arial"/>
                <w:sz w:val="16"/>
                <w:szCs w:val="16"/>
              </w:rPr>
            </w:pPr>
            <w:r>
              <w:rPr>
                <w:rFonts w:ascii="Arial" w:hAnsi="Arial" w:cs="Arial"/>
                <w:sz w:val="16"/>
                <w:szCs w:val="16"/>
              </w:rPr>
              <w:t>2017</w:t>
            </w:r>
            <w:r>
              <w:rPr>
                <w:rFonts w:ascii="Arial" w:hAnsi="Arial" w:cs="Arial"/>
                <w:sz w:val="16"/>
                <w:szCs w:val="16"/>
              </w:rPr>
              <w:noBreakHyphen/>
              <w:t>18</w:t>
            </w:r>
          </w:p>
        </w:tc>
        <w:tc>
          <w:tcPr>
            <w:tcW w:w="885" w:type="pct"/>
            <w:gridSpan w:val="2"/>
            <w:tcBorders>
              <w:top w:val="single" w:sz="4" w:space="0" w:color="auto"/>
              <w:bottom w:val="nil"/>
            </w:tcBorders>
            <w:shd w:val="clear" w:color="000000" w:fill="FFFFFF"/>
            <w:noWrap/>
            <w:vAlign w:val="center"/>
            <w:hideMark/>
          </w:tcPr>
          <w:p w14:paraId="4E0DD47B" w14:textId="600B90A5" w:rsidR="00C40BFD" w:rsidRPr="002F63E8" w:rsidRDefault="00C17F09" w:rsidP="006B32E3">
            <w:pPr>
              <w:spacing w:after="0" w:line="240" w:lineRule="auto"/>
              <w:jc w:val="right"/>
              <w:rPr>
                <w:rFonts w:ascii="Arial" w:hAnsi="Arial" w:cs="Arial"/>
                <w:sz w:val="16"/>
                <w:szCs w:val="16"/>
              </w:rPr>
            </w:pPr>
            <w:r>
              <w:rPr>
                <w:rFonts w:ascii="Arial" w:hAnsi="Arial" w:cs="Arial"/>
                <w:sz w:val="16"/>
                <w:szCs w:val="16"/>
              </w:rPr>
              <w:t>2018</w:t>
            </w:r>
            <w:r>
              <w:rPr>
                <w:rFonts w:ascii="Arial" w:hAnsi="Arial" w:cs="Arial"/>
                <w:sz w:val="16"/>
                <w:szCs w:val="16"/>
              </w:rPr>
              <w:noBreakHyphen/>
              <w:t>19</w:t>
            </w:r>
          </w:p>
        </w:tc>
        <w:tc>
          <w:tcPr>
            <w:tcW w:w="885" w:type="pct"/>
            <w:gridSpan w:val="2"/>
            <w:tcBorders>
              <w:top w:val="single" w:sz="4" w:space="0" w:color="auto"/>
              <w:bottom w:val="nil"/>
            </w:tcBorders>
            <w:shd w:val="clear" w:color="000000" w:fill="FFFFFF"/>
            <w:noWrap/>
            <w:vAlign w:val="center"/>
            <w:hideMark/>
          </w:tcPr>
          <w:p w14:paraId="039D57B1" w14:textId="6AE7BC1C" w:rsidR="00C40BFD" w:rsidRPr="002F63E8" w:rsidRDefault="00D76ED2" w:rsidP="006B32E3">
            <w:pPr>
              <w:spacing w:after="0" w:line="240" w:lineRule="auto"/>
              <w:jc w:val="right"/>
              <w:rPr>
                <w:rFonts w:ascii="Arial" w:hAnsi="Arial" w:cs="Arial"/>
                <w:sz w:val="16"/>
                <w:szCs w:val="16"/>
              </w:rPr>
            </w:pPr>
            <w:r>
              <w:rPr>
                <w:rFonts w:ascii="Arial" w:hAnsi="Arial" w:cs="Arial"/>
                <w:sz w:val="16"/>
                <w:szCs w:val="16"/>
              </w:rPr>
              <w:t>2019</w:t>
            </w:r>
            <w:r>
              <w:rPr>
                <w:rFonts w:ascii="Arial" w:hAnsi="Arial" w:cs="Arial"/>
                <w:sz w:val="16"/>
                <w:szCs w:val="16"/>
              </w:rPr>
              <w:noBreakHyphen/>
              <w:t>20</w:t>
            </w:r>
          </w:p>
        </w:tc>
        <w:tc>
          <w:tcPr>
            <w:tcW w:w="883" w:type="pct"/>
            <w:gridSpan w:val="2"/>
            <w:tcBorders>
              <w:top w:val="single" w:sz="4" w:space="0" w:color="auto"/>
              <w:bottom w:val="nil"/>
            </w:tcBorders>
            <w:shd w:val="clear" w:color="auto" w:fill="E1E8EB"/>
            <w:noWrap/>
            <w:vAlign w:val="center"/>
            <w:hideMark/>
          </w:tcPr>
          <w:p w14:paraId="4639CF15" w14:textId="2F9B9266" w:rsidR="00C40BFD" w:rsidRPr="002F63E8" w:rsidRDefault="00D76ED2" w:rsidP="006B32E3">
            <w:pPr>
              <w:spacing w:after="0" w:line="240" w:lineRule="auto"/>
              <w:jc w:val="right"/>
              <w:rPr>
                <w:rFonts w:ascii="Arial" w:hAnsi="Arial" w:cs="Arial"/>
                <w:sz w:val="16"/>
                <w:szCs w:val="16"/>
              </w:rPr>
            </w:pPr>
            <w:r>
              <w:rPr>
                <w:rFonts w:ascii="Arial" w:hAnsi="Arial" w:cs="Arial"/>
                <w:sz w:val="16"/>
                <w:szCs w:val="16"/>
              </w:rPr>
              <w:t>2020</w:t>
            </w:r>
            <w:r>
              <w:rPr>
                <w:rFonts w:ascii="Arial" w:hAnsi="Arial" w:cs="Arial"/>
                <w:sz w:val="16"/>
                <w:szCs w:val="16"/>
              </w:rPr>
              <w:noBreakHyphen/>
              <w:t>21</w:t>
            </w:r>
          </w:p>
        </w:tc>
      </w:tr>
      <w:tr w:rsidR="003772BD" w:rsidRPr="002F63E8" w14:paraId="17550649" w14:textId="77777777" w:rsidTr="009955B8">
        <w:trPr>
          <w:trHeight w:val="450"/>
        </w:trPr>
        <w:tc>
          <w:tcPr>
            <w:tcW w:w="1318" w:type="pct"/>
            <w:tcBorders>
              <w:top w:val="nil"/>
              <w:left w:val="nil"/>
              <w:bottom w:val="nil"/>
              <w:right w:val="nil"/>
            </w:tcBorders>
            <w:shd w:val="clear" w:color="000000" w:fill="FFFFFF"/>
            <w:vAlign w:val="center"/>
            <w:hideMark/>
          </w:tcPr>
          <w:p w14:paraId="11E5186F" w14:textId="77777777" w:rsidR="00C40BFD" w:rsidRPr="002F63E8" w:rsidRDefault="00C40BFD" w:rsidP="00F274B0">
            <w:pPr>
              <w:spacing w:after="0" w:line="240" w:lineRule="auto"/>
              <w:jc w:val="left"/>
              <w:rPr>
                <w:rFonts w:ascii="Arial" w:hAnsi="Arial" w:cs="Arial"/>
                <w:sz w:val="16"/>
                <w:szCs w:val="16"/>
              </w:rPr>
            </w:pPr>
            <w:r w:rsidRPr="002F63E8">
              <w:rPr>
                <w:rFonts w:ascii="Arial" w:hAnsi="Arial" w:cs="Arial"/>
                <w:sz w:val="16"/>
                <w:szCs w:val="16"/>
              </w:rPr>
              <w:t>Industry Sector</w:t>
            </w:r>
          </w:p>
        </w:tc>
        <w:tc>
          <w:tcPr>
            <w:tcW w:w="171" w:type="pct"/>
            <w:tcBorders>
              <w:top w:val="single" w:sz="4" w:space="0" w:color="auto"/>
              <w:left w:val="nil"/>
              <w:bottom w:val="nil"/>
              <w:right w:val="nil"/>
            </w:tcBorders>
            <w:shd w:val="clear" w:color="000000" w:fill="FFFFFF"/>
            <w:vAlign w:val="center"/>
            <w:hideMark/>
          </w:tcPr>
          <w:p w14:paraId="1CE70C14"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 </w:t>
            </w:r>
          </w:p>
        </w:tc>
        <w:tc>
          <w:tcPr>
            <w:tcW w:w="458" w:type="pct"/>
            <w:tcBorders>
              <w:top w:val="single" w:sz="4" w:space="0" w:color="auto"/>
              <w:left w:val="nil"/>
              <w:bottom w:val="nil"/>
              <w:right w:val="nil"/>
            </w:tcBorders>
            <w:shd w:val="clear" w:color="000000" w:fill="FFFFFF"/>
            <w:vAlign w:val="center"/>
            <w:hideMark/>
          </w:tcPr>
          <w:p w14:paraId="66C7261E"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No.</w:t>
            </w:r>
          </w:p>
        </w:tc>
        <w:tc>
          <w:tcPr>
            <w:tcW w:w="400" w:type="pct"/>
            <w:tcBorders>
              <w:top w:val="single" w:sz="4" w:space="0" w:color="auto"/>
              <w:left w:val="nil"/>
              <w:bottom w:val="nil"/>
              <w:right w:val="nil"/>
            </w:tcBorders>
            <w:shd w:val="clear" w:color="000000" w:fill="FFFFFF"/>
            <w:vAlign w:val="center"/>
            <w:hideMark/>
          </w:tcPr>
          <w:p w14:paraId="010E385A"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$b</w:t>
            </w:r>
          </w:p>
        </w:tc>
        <w:tc>
          <w:tcPr>
            <w:tcW w:w="412" w:type="pct"/>
            <w:tcBorders>
              <w:top w:val="single" w:sz="4" w:space="0" w:color="auto"/>
              <w:left w:val="nil"/>
              <w:bottom w:val="nil"/>
              <w:right w:val="nil"/>
            </w:tcBorders>
            <w:shd w:val="clear" w:color="000000" w:fill="FFFFFF"/>
            <w:vAlign w:val="center"/>
            <w:hideMark/>
          </w:tcPr>
          <w:p w14:paraId="199473F1"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No.</w:t>
            </w:r>
          </w:p>
        </w:tc>
        <w:tc>
          <w:tcPr>
            <w:tcW w:w="473" w:type="pct"/>
            <w:tcBorders>
              <w:top w:val="single" w:sz="4" w:space="0" w:color="auto"/>
              <w:left w:val="nil"/>
              <w:bottom w:val="nil"/>
              <w:right w:val="nil"/>
            </w:tcBorders>
            <w:shd w:val="clear" w:color="000000" w:fill="FFFFFF"/>
            <w:vAlign w:val="center"/>
            <w:hideMark/>
          </w:tcPr>
          <w:p w14:paraId="6F30B493"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$b</w:t>
            </w:r>
          </w:p>
        </w:tc>
        <w:tc>
          <w:tcPr>
            <w:tcW w:w="446" w:type="pct"/>
            <w:tcBorders>
              <w:top w:val="single" w:sz="4" w:space="0" w:color="auto"/>
              <w:left w:val="nil"/>
              <w:bottom w:val="nil"/>
              <w:right w:val="nil"/>
            </w:tcBorders>
            <w:shd w:val="clear" w:color="000000" w:fill="FFFFFF"/>
            <w:vAlign w:val="center"/>
            <w:hideMark/>
          </w:tcPr>
          <w:p w14:paraId="3A8C5072"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No.</w:t>
            </w:r>
          </w:p>
        </w:tc>
        <w:tc>
          <w:tcPr>
            <w:tcW w:w="439" w:type="pct"/>
            <w:tcBorders>
              <w:top w:val="single" w:sz="4" w:space="0" w:color="auto"/>
              <w:left w:val="nil"/>
              <w:bottom w:val="nil"/>
              <w:right w:val="nil"/>
            </w:tcBorders>
            <w:shd w:val="clear" w:color="000000" w:fill="FFFFFF"/>
            <w:vAlign w:val="center"/>
            <w:hideMark/>
          </w:tcPr>
          <w:p w14:paraId="33F6E9F9"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$b</w:t>
            </w:r>
          </w:p>
        </w:tc>
        <w:tc>
          <w:tcPr>
            <w:tcW w:w="479" w:type="pct"/>
            <w:tcBorders>
              <w:top w:val="single" w:sz="4" w:space="0" w:color="auto"/>
              <w:left w:val="nil"/>
              <w:bottom w:val="nil"/>
              <w:right w:val="nil"/>
            </w:tcBorders>
            <w:shd w:val="clear" w:color="auto" w:fill="E1E8EB"/>
            <w:vAlign w:val="center"/>
            <w:hideMark/>
          </w:tcPr>
          <w:p w14:paraId="227AD704"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No.</w:t>
            </w:r>
          </w:p>
        </w:tc>
        <w:tc>
          <w:tcPr>
            <w:tcW w:w="404" w:type="pct"/>
            <w:tcBorders>
              <w:top w:val="single" w:sz="4" w:space="0" w:color="auto"/>
              <w:left w:val="nil"/>
              <w:bottom w:val="nil"/>
              <w:right w:val="nil"/>
            </w:tcBorders>
            <w:shd w:val="clear" w:color="auto" w:fill="E1E8EB"/>
            <w:vAlign w:val="center"/>
            <w:hideMark/>
          </w:tcPr>
          <w:p w14:paraId="5D977AF6"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$b</w:t>
            </w:r>
          </w:p>
        </w:tc>
      </w:tr>
      <w:tr w:rsidR="003772BD" w:rsidRPr="002F63E8" w14:paraId="3CF9A3A3" w14:textId="77777777" w:rsidTr="009955B8">
        <w:trPr>
          <w:trHeight w:val="450"/>
        </w:trPr>
        <w:tc>
          <w:tcPr>
            <w:tcW w:w="1318" w:type="pct"/>
            <w:tcBorders>
              <w:top w:val="single" w:sz="4" w:space="0" w:color="auto"/>
              <w:left w:val="nil"/>
              <w:bottom w:val="nil"/>
              <w:right w:val="nil"/>
            </w:tcBorders>
            <w:shd w:val="clear" w:color="000000" w:fill="FFFFFF"/>
            <w:vAlign w:val="center"/>
            <w:hideMark/>
          </w:tcPr>
          <w:p w14:paraId="33DEECF8" w14:textId="77777777" w:rsidR="00C40BFD" w:rsidRPr="002F63E8" w:rsidRDefault="00C40BFD" w:rsidP="00C40BFD">
            <w:pPr>
              <w:spacing w:after="0" w:line="240" w:lineRule="auto"/>
              <w:jc w:val="left"/>
              <w:rPr>
                <w:rFonts w:ascii="Arial" w:hAnsi="Arial" w:cs="Arial"/>
                <w:sz w:val="16"/>
                <w:szCs w:val="16"/>
              </w:rPr>
            </w:pPr>
            <w:r w:rsidRPr="002F63E8">
              <w:rPr>
                <w:rFonts w:ascii="Arial" w:hAnsi="Arial" w:cs="Arial"/>
                <w:sz w:val="16"/>
                <w:szCs w:val="16"/>
              </w:rPr>
              <w:t>Agriculture, forestry &amp;</w:t>
            </w:r>
            <w:r w:rsidRPr="002F63E8">
              <w:rPr>
                <w:rFonts w:ascii="Arial" w:hAnsi="Arial" w:cs="Arial"/>
                <w:sz w:val="16"/>
                <w:szCs w:val="16"/>
              </w:rPr>
              <w:br/>
              <w:t xml:space="preserve">  fishing</w:t>
            </w:r>
          </w:p>
        </w:tc>
        <w:tc>
          <w:tcPr>
            <w:tcW w:w="171" w:type="pct"/>
            <w:tcBorders>
              <w:top w:val="single" w:sz="4" w:space="0" w:color="auto"/>
              <w:left w:val="nil"/>
              <w:bottom w:val="nil"/>
              <w:right w:val="nil"/>
            </w:tcBorders>
            <w:shd w:val="clear" w:color="000000" w:fill="FFFFFF"/>
            <w:vAlign w:val="center"/>
            <w:hideMark/>
          </w:tcPr>
          <w:p w14:paraId="0A35C6C1"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 </w:t>
            </w:r>
          </w:p>
        </w:tc>
        <w:tc>
          <w:tcPr>
            <w:tcW w:w="458" w:type="pct"/>
            <w:tcBorders>
              <w:top w:val="single" w:sz="4" w:space="0" w:color="auto"/>
              <w:left w:val="nil"/>
              <w:bottom w:val="nil"/>
              <w:right w:val="nil"/>
            </w:tcBorders>
            <w:shd w:val="clear" w:color="000000" w:fill="FFFFFF"/>
            <w:noWrap/>
            <w:vAlign w:val="center"/>
            <w:hideMark/>
          </w:tcPr>
          <w:p w14:paraId="4C1699BA"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201</w:t>
            </w:r>
          </w:p>
        </w:tc>
        <w:tc>
          <w:tcPr>
            <w:tcW w:w="400" w:type="pct"/>
            <w:tcBorders>
              <w:top w:val="single" w:sz="4" w:space="0" w:color="auto"/>
              <w:left w:val="nil"/>
              <w:bottom w:val="nil"/>
              <w:right w:val="nil"/>
            </w:tcBorders>
            <w:shd w:val="clear" w:color="000000" w:fill="FFFFFF"/>
            <w:noWrap/>
            <w:vAlign w:val="center"/>
            <w:hideMark/>
          </w:tcPr>
          <w:p w14:paraId="1A145694"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7.9</w:t>
            </w:r>
          </w:p>
        </w:tc>
        <w:tc>
          <w:tcPr>
            <w:tcW w:w="412" w:type="pct"/>
            <w:tcBorders>
              <w:top w:val="single" w:sz="4" w:space="0" w:color="auto"/>
              <w:left w:val="nil"/>
              <w:bottom w:val="nil"/>
              <w:right w:val="nil"/>
            </w:tcBorders>
            <w:shd w:val="clear" w:color="000000" w:fill="FFFFFF"/>
            <w:noWrap/>
            <w:vAlign w:val="center"/>
            <w:hideMark/>
          </w:tcPr>
          <w:p w14:paraId="194A35B9"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197</w:t>
            </w:r>
          </w:p>
        </w:tc>
        <w:tc>
          <w:tcPr>
            <w:tcW w:w="473" w:type="pct"/>
            <w:tcBorders>
              <w:top w:val="single" w:sz="4" w:space="0" w:color="auto"/>
              <w:left w:val="nil"/>
              <w:bottom w:val="nil"/>
              <w:right w:val="nil"/>
            </w:tcBorders>
            <w:shd w:val="clear" w:color="000000" w:fill="FFFFFF"/>
            <w:noWrap/>
            <w:vAlign w:val="center"/>
            <w:hideMark/>
          </w:tcPr>
          <w:p w14:paraId="4EFBB866"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7.3</w:t>
            </w:r>
          </w:p>
        </w:tc>
        <w:tc>
          <w:tcPr>
            <w:tcW w:w="446" w:type="pct"/>
            <w:tcBorders>
              <w:top w:val="single" w:sz="4" w:space="0" w:color="auto"/>
              <w:left w:val="nil"/>
              <w:bottom w:val="nil"/>
              <w:right w:val="nil"/>
            </w:tcBorders>
            <w:shd w:val="clear" w:color="000000" w:fill="FFFFFF"/>
            <w:noWrap/>
            <w:vAlign w:val="center"/>
            <w:hideMark/>
          </w:tcPr>
          <w:p w14:paraId="29DDF1C1"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174</w:t>
            </w:r>
          </w:p>
        </w:tc>
        <w:tc>
          <w:tcPr>
            <w:tcW w:w="439" w:type="pct"/>
            <w:tcBorders>
              <w:top w:val="single" w:sz="4" w:space="0" w:color="auto"/>
              <w:left w:val="nil"/>
              <w:bottom w:val="nil"/>
              <w:right w:val="nil"/>
            </w:tcBorders>
            <w:shd w:val="clear" w:color="000000" w:fill="FFFFFF"/>
            <w:noWrap/>
            <w:vAlign w:val="center"/>
            <w:hideMark/>
          </w:tcPr>
          <w:p w14:paraId="429044A4"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8.3</w:t>
            </w:r>
          </w:p>
        </w:tc>
        <w:tc>
          <w:tcPr>
            <w:tcW w:w="479" w:type="pct"/>
            <w:tcBorders>
              <w:top w:val="single" w:sz="4" w:space="0" w:color="auto"/>
              <w:left w:val="nil"/>
              <w:bottom w:val="nil"/>
              <w:right w:val="nil"/>
            </w:tcBorders>
            <w:shd w:val="clear" w:color="auto" w:fill="E1E8EB"/>
            <w:noWrap/>
            <w:vAlign w:val="center"/>
            <w:hideMark/>
          </w:tcPr>
          <w:p w14:paraId="33A62504"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190</w:t>
            </w:r>
          </w:p>
        </w:tc>
        <w:tc>
          <w:tcPr>
            <w:tcW w:w="404" w:type="pct"/>
            <w:tcBorders>
              <w:top w:val="single" w:sz="4" w:space="0" w:color="auto"/>
              <w:left w:val="nil"/>
              <w:bottom w:val="nil"/>
              <w:right w:val="nil"/>
            </w:tcBorders>
            <w:shd w:val="clear" w:color="auto" w:fill="E1E8EB"/>
            <w:noWrap/>
            <w:vAlign w:val="center"/>
            <w:hideMark/>
          </w:tcPr>
          <w:p w14:paraId="07E6D157"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5.8</w:t>
            </w:r>
          </w:p>
        </w:tc>
      </w:tr>
      <w:tr w:rsidR="003772BD" w:rsidRPr="002F63E8" w14:paraId="2AB9D61A" w14:textId="77777777" w:rsidTr="009955B8">
        <w:trPr>
          <w:trHeight w:val="225"/>
        </w:trPr>
        <w:tc>
          <w:tcPr>
            <w:tcW w:w="1318" w:type="pct"/>
            <w:tcBorders>
              <w:top w:val="nil"/>
              <w:left w:val="nil"/>
              <w:bottom w:val="nil"/>
              <w:right w:val="nil"/>
            </w:tcBorders>
            <w:shd w:val="clear" w:color="000000" w:fill="FFFFFF"/>
            <w:noWrap/>
            <w:vAlign w:val="center"/>
            <w:hideMark/>
          </w:tcPr>
          <w:p w14:paraId="5007846C" w14:textId="77777777" w:rsidR="00C40BFD" w:rsidRPr="002F63E8" w:rsidRDefault="00C40BFD" w:rsidP="00C40BFD">
            <w:pPr>
              <w:spacing w:after="0" w:line="240" w:lineRule="auto"/>
              <w:jc w:val="left"/>
              <w:rPr>
                <w:rFonts w:ascii="Arial" w:hAnsi="Arial" w:cs="Arial"/>
                <w:sz w:val="16"/>
                <w:szCs w:val="16"/>
              </w:rPr>
            </w:pPr>
            <w:r w:rsidRPr="002F63E8">
              <w:rPr>
                <w:rFonts w:ascii="Arial" w:hAnsi="Arial" w:cs="Arial"/>
                <w:sz w:val="16"/>
                <w:szCs w:val="16"/>
              </w:rPr>
              <w:t>Finance &amp; insurance</w:t>
            </w:r>
          </w:p>
        </w:tc>
        <w:tc>
          <w:tcPr>
            <w:tcW w:w="171" w:type="pct"/>
            <w:tcBorders>
              <w:top w:val="nil"/>
              <w:left w:val="nil"/>
              <w:bottom w:val="nil"/>
              <w:right w:val="nil"/>
            </w:tcBorders>
            <w:shd w:val="clear" w:color="000000" w:fill="FFFFFF"/>
            <w:noWrap/>
            <w:vAlign w:val="center"/>
            <w:hideMark/>
          </w:tcPr>
          <w:p w14:paraId="4B7005C4"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 </w:t>
            </w:r>
          </w:p>
        </w:tc>
        <w:tc>
          <w:tcPr>
            <w:tcW w:w="458" w:type="pct"/>
            <w:tcBorders>
              <w:top w:val="nil"/>
              <w:left w:val="nil"/>
              <w:bottom w:val="nil"/>
              <w:right w:val="nil"/>
            </w:tcBorders>
            <w:shd w:val="clear" w:color="000000" w:fill="FFFFFF"/>
            <w:noWrap/>
            <w:vAlign w:val="center"/>
            <w:hideMark/>
          </w:tcPr>
          <w:p w14:paraId="239A0493"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37</w:t>
            </w:r>
          </w:p>
        </w:tc>
        <w:tc>
          <w:tcPr>
            <w:tcW w:w="400" w:type="pct"/>
            <w:tcBorders>
              <w:top w:val="nil"/>
              <w:left w:val="nil"/>
              <w:bottom w:val="nil"/>
              <w:right w:val="nil"/>
            </w:tcBorders>
            <w:shd w:val="clear" w:color="000000" w:fill="FFFFFF"/>
            <w:noWrap/>
            <w:vAlign w:val="center"/>
            <w:hideMark/>
          </w:tcPr>
          <w:p w14:paraId="66AE431B"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6.0</w:t>
            </w:r>
          </w:p>
        </w:tc>
        <w:tc>
          <w:tcPr>
            <w:tcW w:w="412" w:type="pct"/>
            <w:tcBorders>
              <w:top w:val="nil"/>
              <w:left w:val="nil"/>
              <w:bottom w:val="nil"/>
              <w:right w:val="nil"/>
            </w:tcBorders>
            <w:shd w:val="clear" w:color="000000" w:fill="FFFFFF"/>
            <w:noWrap/>
            <w:vAlign w:val="center"/>
            <w:hideMark/>
          </w:tcPr>
          <w:p w14:paraId="46515C7E"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26</w:t>
            </w:r>
          </w:p>
        </w:tc>
        <w:tc>
          <w:tcPr>
            <w:tcW w:w="473" w:type="pct"/>
            <w:tcBorders>
              <w:top w:val="nil"/>
              <w:left w:val="nil"/>
              <w:bottom w:val="nil"/>
              <w:right w:val="nil"/>
            </w:tcBorders>
            <w:shd w:val="clear" w:color="000000" w:fill="FFFFFF"/>
            <w:noWrap/>
            <w:vAlign w:val="center"/>
            <w:hideMark/>
          </w:tcPr>
          <w:p w14:paraId="3A562704"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6.3</w:t>
            </w:r>
          </w:p>
        </w:tc>
        <w:tc>
          <w:tcPr>
            <w:tcW w:w="446" w:type="pct"/>
            <w:tcBorders>
              <w:top w:val="nil"/>
              <w:left w:val="nil"/>
              <w:bottom w:val="nil"/>
              <w:right w:val="nil"/>
            </w:tcBorders>
            <w:shd w:val="clear" w:color="000000" w:fill="FFFFFF"/>
            <w:noWrap/>
            <w:vAlign w:val="center"/>
            <w:hideMark/>
          </w:tcPr>
          <w:p w14:paraId="162384BF"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37</w:t>
            </w:r>
          </w:p>
        </w:tc>
        <w:tc>
          <w:tcPr>
            <w:tcW w:w="439" w:type="pct"/>
            <w:tcBorders>
              <w:top w:val="nil"/>
              <w:left w:val="nil"/>
              <w:bottom w:val="nil"/>
              <w:right w:val="nil"/>
            </w:tcBorders>
            <w:shd w:val="clear" w:color="000000" w:fill="FFFFFF"/>
            <w:noWrap/>
            <w:vAlign w:val="center"/>
            <w:hideMark/>
          </w:tcPr>
          <w:p w14:paraId="6BA84104"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13.6</w:t>
            </w:r>
          </w:p>
        </w:tc>
        <w:tc>
          <w:tcPr>
            <w:tcW w:w="479" w:type="pct"/>
            <w:tcBorders>
              <w:top w:val="nil"/>
              <w:left w:val="nil"/>
              <w:bottom w:val="nil"/>
              <w:right w:val="nil"/>
            </w:tcBorders>
            <w:shd w:val="clear" w:color="auto" w:fill="E1E8EB"/>
            <w:noWrap/>
            <w:vAlign w:val="center"/>
            <w:hideMark/>
          </w:tcPr>
          <w:p w14:paraId="30D3280C"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79</w:t>
            </w:r>
          </w:p>
        </w:tc>
        <w:tc>
          <w:tcPr>
            <w:tcW w:w="404" w:type="pct"/>
            <w:tcBorders>
              <w:top w:val="nil"/>
              <w:left w:val="nil"/>
              <w:bottom w:val="nil"/>
              <w:right w:val="nil"/>
            </w:tcBorders>
            <w:shd w:val="clear" w:color="auto" w:fill="E1E8EB"/>
            <w:noWrap/>
            <w:vAlign w:val="center"/>
            <w:hideMark/>
          </w:tcPr>
          <w:p w14:paraId="2FB415EC"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10.7</w:t>
            </w:r>
          </w:p>
        </w:tc>
      </w:tr>
      <w:tr w:rsidR="003772BD" w:rsidRPr="002F63E8" w14:paraId="09871E21" w14:textId="77777777" w:rsidTr="009955B8">
        <w:trPr>
          <w:trHeight w:val="450"/>
        </w:trPr>
        <w:tc>
          <w:tcPr>
            <w:tcW w:w="1318" w:type="pct"/>
            <w:tcBorders>
              <w:top w:val="nil"/>
              <w:left w:val="nil"/>
              <w:bottom w:val="nil"/>
              <w:right w:val="nil"/>
            </w:tcBorders>
            <w:shd w:val="clear" w:color="000000" w:fill="FFFFFF"/>
            <w:vAlign w:val="center"/>
            <w:hideMark/>
          </w:tcPr>
          <w:p w14:paraId="36577558" w14:textId="77777777" w:rsidR="00C40BFD" w:rsidRPr="002F63E8" w:rsidRDefault="00C40BFD" w:rsidP="00C40BFD">
            <w:pPr>
              <w:spacing w:after="0" w:line="240" w:lineRule="auto"/>
              <w:jc w:val="left"/>
              <w:rPr>
                <w:rFonts w:ascii="Arial" w:hAnsi="Arial" w:cs="Arial"/>
                <w:sz w:val="16"/>
                <w:szCs w:val="16"/>
              </w:rPr>
            </w:pPr>
            <w:r w:rsidRPr="002F63E8">
              <w:rPr>
                <w:rFonts w:ascii="Arial" w:hAnsi="Arial" w:cs="Arial"/>
                <w:sz w:val="16"/>
                <w:szCs w:val="16"/>
              </w:rPr>
              <w:t>Manufacturing,</w:t>
            </w:r>
            <w:r w:rsidRPr="002F63E8">
              <w:rPr>
                <w:rFonts w:ascii="Arial" w:hAnsi="Arial" w:cs="Arial"/>
                <w:sz w:val="16"/>
                <w:szCs w:val="16"/>
              </w:rPr>
              <w:br/>
              <w:t xml:space="preserve">  electricity &amp; gas</w:t>
            </w:r>
          </w:p>
        </w:tc>
        <w:tc>
          <w:tcPr>
            <w:tcW w:w="171" w:type="pct"/>
            <w:tcBorders>
              <w:top w:val="nil"/>
              <w:left w:val="nil"/>
              <w:bottom w:val="nil"/>
              <w:right w:val="nil"/>
            </w:tcBorders>
            <w:shd w:val="clear" w:color="000000" w:fill="FFFFFF"/>
            <w:vAlign w:val="center"/>
            <w:hideMark/>
          </w:tcPr>
          <w:p w14:paraId="543D78E6"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 </w:t>
            </w:r>
          </w:p>
        </w:tc>
        <w:tc>
          <w:tcPr>
            <w:tcW w:w="458" w:type="pct"/>
            <w:tcBorders>
              <w:top w:val="nil"/>
              <w:left w:val="nil"/>
              <w:bottom w:val="nil"/>
              <w:right w:val="nil"/>
            </w:tcBorders>
            <w:shd w:val="clear" w:color="000000" w:fill="FFFFFF"/>
            <w:noWrap/>
            <w:vAlign w:val="center"/>
            <w:hideMark/>
          </w:tcPr>
          <w:p w14:paraId="5553F7C7"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95</w:t>
            </w:r>
          </w:p>
        </w:tc>
        <w:tc>
          <w:tcPr>
            <w:tcW w:w="400" w:type="pct"/>
            <w:tcBorders>
              <w:top w:val="nil"/>
              <w:left w:val="nil"/>
              <w:bottom w:val="nil"/>
              <w:right w:val="nil"/>
            </w:tcBorders>
            <w:shd w:val="clear" w:color="000000" w:fill="FFFFFF"/>
            <w:noWrap/>
            <w:vAlign w:val="center"/>
            <w:hideMark/>
          </w:tcPr>
          <w:p w14:paraId="11558089"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16.6</w:t>
            </w:r>
          </w:p>
        </w:tc>
        <w:tc>
          <w:tcPr>
            <w:tcW w:w="412" w:type="pct"/>
            <w:tcBorders>
              <w:top w:val="nil"/>
              <w:left w:val="nil"/>
              <w:bottom w:val="nil"/>
              <w:right w:val="nil"/>
            </w:tcBorders>
            <w:shd w:val="clear" w:color="000000" w:fill="FFFFFF"/>
            <w:noWrap/>
            <w:vAlign w:val="center"/>
            <w:hideMark/>
          </w:tcPr>
          <w:p w14:paraId="1830C92F"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99</w:t>
            </w:r>
          </w:p>
        </w:tc>
        <w:tc>
          <w:tcPr>
            <w:tcW w:w="473" w:type="pct"/>
            <w:tcBorders>
              <w:top w:val="nil"/>
              <w:left w:val="nil"/>
              <w:bottom w:val="nil"/>
              <w:right w:val="nil"/>
            </w:tcBorders>
            <w:shd w:val="clear" w:color="000000" w:fill="FFFFFF"/>
            <w:noWrap/>
            <w:vAlign w:val="center"/>
            <w:hideMark/>
          </w:tcPr>
          <w:p w14:paraId="22A2D982"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36.7</w:t>
            </w:r>
          </w:p>
        </w:tc>
        <w:tc>
          <w:tcPr>
            <w:tcW w:w="446" w:type="pct"/>
            <w:tcBorders>
              <w:top w:val="nil"/>
              <w:left w:val="nil"/>
              <w:bottom w:val="nil"/>
              <w:right w:val="nil"/>
            </w:tcBorders>
            <w:shd w:val="clear" w:color="000000" w:fill="FFFFFF"/>
            <w:noWrap/>
            <w:vAlign w:val="center"/>
            <w:hideMark/>
          </w:tcPr>
          <w:p w14:paraId="5C7F0400"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100</w:t>
            </w:r>
          </w:p>
        </w:tc>
        <w:tc>
          <w:tcPr>
            <w:tcW w:w="439" w:type="pct"/>
            <w:tcBorders>
              <w:top w:val="nil"/>
              <w:left w:val="nil"/>
              <w:bottom w:val="nil"/>
              <w:right w:val="nil"/>
            </w:tcBorders>
            <w:shd w:val="clear" w:color="000000" w:fill="FFFFFF"/>
            <w:noWrap/>
            <w:vAlign w:val="center"/>
            <w:hideMark/>
          </w:tcPr>
          <w:p w14:paraId="0FC9618C"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33.0</w:t>
            </w:r>
          </w:p>
        </w:tc>
        <w:tc>
          <w:tcPr>
            <w:tcW w:w="479" w:type="pct"/>
            <w:tcBorders>
              <w:top w:val="nil"/>
              <w:left w:val="nil"/>
              <w:bottom w:val="nil"/>
              <w:right w:val="nil"/>
            </w:tcBorders>
            <w:shd w:val="clear" w:color="auto" w:fill="E1E8EB"/>
            <w:noWrap/>
            <w:vAlign w:val="center"/>
            <w:hideMark/>
          </w:tcPr>
          <w:p w14:paraId="3BB000C4" w14:textId="5E6C10BF"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1</w:t>
            </w:r>
            <w:r w:rsidR="00740320">
              <w:rPr>
                <w:rFonts w:ascii="Arial" w:hAnsi="Arial" w:cs="Arial"/>
                <w:sz w:val="16"/>
                <w:szCs w:val="16"/>
              </w:rPr>
              <w:t>87</w:t>
            </w:r>
          </w:p>
        </w:tc>
        <w:tc>
          <w:tcPr>
            <w:tcW w:w="404" w:type="pct"/>
            <w:tcBorders>
              <w:top w:val="nil"/>
              <w:left w:val="nil"/>
              <w:bottom w:val="nil"/>
              <w:right w:val="nil"/>
            </w:tcBorders>
            <w:shd w:val="clear" w:color="auto" w:fill="E1E8EB"/>
            <w:noWrap/>
            <w:vAlign w:val="center"/>
            <w:hideMark/>
          </w:tcPr>
          <w:p w14:paraId="6A1A2EED" w14:textId="5281D713"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35.</w:t>
            </w:r>
            <w:r w:rsidR="00740320">
              <w:rPr>
                <w:rFonts w:ascii="Arial" w:hAnsi="Arial" w:cs="Arial"/>
                <w:sz w:val="16"/>
                <w:szCs w:val="16"/>
              </w:rPr>
              <w:t>8</w:t>
            </w:r>
          </w:p>
        </w:tc>
      </w:tr>
      <w:tr w:rsidR="003772BD" w:rsidRPr="002F63E8" w14:paraId="42E67857" w14:textId="77777777" w:rsidTr="009955B8">
        <w:trPr>
          <w:trHeight w:val="450"/>
        </w:trPr>
        <w:tc>
          <w:tcPr>
            <w:tcW w:w="1318" w:type="pct"/>
            <w:tcBorders>
              <w:top w:val="nil"/>
              <w:left w:val="nil"/>
              <w:bottom w:val="nil"/>
              <w:right w:val="nil"/>
            </w:tcBorders>
            <w:shd w:val="clear" w:color="000000" w:fill="FFFFFF"/>
            <w:vAlign w:val="center"/>
            <w:hideMark/>
          </w:tcPr>
          <w:p w14:paraId="1F9B9E46" w14:textId="77777777" w:rsidR="00C40BFD" w:rsidRPr="002F63E8" w:rsidRDefault="00C40BFD" w:rsidP="00C40BFD">
            <w:pPr>
              <w:spacing w:after="0" w:line="240" w:lineRule="auto"/>
              <w:jc w:val="left"/>
              <w:rPr>
                <w:rFonts w:ascii="Arial" w:hAnsi="Arial" w:cs="Arial"/>
                <w:sz w:val="16"/>
                <w:szCs w:val="16"/>
              </w:rPr>
            </w:pPr>
            <w:r w:rsidRPr="002F63E8">
              <w:rPr>
                <w:rFonts w:ascii="Arial" w:hAnsi="Arial" w:cs="Arial"/>
                <w:sz w:val="16"/>
                <w:szCs w:val="16"/>
              </w:rPr>
              <w:t>Mineral exploration &amp;</w:t>
            </w:r>
            <w:r w:rsidRPr="002F63E8">
              <w:rPr>
                <w:rFonts w:ascii="Arial" w:hAnsi="Arial" w:cs="Arial"/>
                <w:sz w:val="16"/>
                <w:szCs w:val="16"/>
              </w:rPr>
              <w:br/>
              <w:t xml:space="preserve">  development</w:t>
            </w:r>
          </w:p>
        </w:tc>
        <w:tc>
          <w:tcPr>
            <w:tcW w:w="171" w:type="pct"/>
            <w:tcBorders>
              <w:top w:val="nil"/>
              <w:left w:val="nil"/>
              <w:bottom w:val="nil"/>
              <w:right w:val="nil"/>
            </w:tcBorders>
            <w:shd w:val="clear" w:color="000000" w:fill="FFFFFF"/>
            <w:vAlign w:val="center"/>
            <w:hideMark/>
          </w:tcPr>
          <w:p w14:paraId="3013A571"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 </w:t>
            </w:r>
          </w:p>
        </w:tc>
        <w:tc>
          <w:tcPr>
            <w:tcW w:w="458" w:type="pct"/>
            <w:tcBorders>
              <w:top w:val="nil"/>
              <w:left w:val="nil"/>
              <w:bottom w:val="nil"/>
              <w:right w:val="nil"/>
            </w:tcBorders>
            <w:shd w:val="clear" w:color="000000" w:fill="FFFFFF"/>
            <w:noWrap/>
            <w:vAlign w:val="center"/>
            <w:hideMark/>
          </w:tcPr>
          <w:p w14:paraId="7CBEBADC"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115</w:t>
            </w:r>
          </w:p>
        </w:tc>
        <w:tc>
          <w:tcPr>
            <w:tcW w:w="400" w:type="pct"/>
            <w:tcBorders>
              <w:top w:val="nil"/>
              <w:left w:val="nil"/>
              <w:bottom w:val="nil"/>
              <w:right w:val="nil"/>
            </w:tcBorders>
            <w:shd w:val="clear" w:color="000000" w:fill="FFFFFF"/>
            <w:noWrap/>
            <w:vAlign w:val="center"/>
            <w:hideMark/>
          </w:tcPr>
          <w:p w14:paraId="3C138FD2"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17.4</w:t>
            </w:r>
          </w:p>
        </w:tc>
        <w:tc>
          <w:tcPr>
            <w:tcW w:w="412" w:type="pct"/>
            <w:tcBorders>
              <w:top w:val="nil"/>
              <w:left w:val="nil"/>
              <w:bottom w:val="nil"/>
              <w:right w:val="nil"/>
            </w:tcBorders>
            <w:shd w:val="clear" w:color="000000" w:fill="FFFFFF"/>
            <w:noWrap/>
            <w:vAlign w:val="center"/>
            <w:hideMark/>
          </w:tcPr>
          <w:p w14:paraId="5581358B"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121</w:t>
            </w:r>
          </w:p>
        </w:tc>
        <w:tc>
          <w:tcPr>
            <w:tcW w:w="473" w:type="pct"/>
            <w:tcBorders>
              <w:top w:val="nil"/>
              <w:left w:val="nil"/>
              <w:bottom w:val="nil"/>
              <w:right w:val="nil"/>
            </w:tcBorders>
            <w:shd w:val="clear" w:color="000000" w:fill="FFFFFF"/>
            <w:noWrap/>
            <w:vAlign w:val="center"/>
            <w:hideMark/>
          </w:tcPr>
          <w:p w14:paraId="58EFEF8F"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16.9</w:t>
            </w:r>
          </w:p>
        </w:tc>
        <w:tc>
          <w:tcPr>
            <w:tcW w:w="446" w:type="pct"/>
            <w:tcBorders>
              <w:top w:val="nil"/>
              <w:left w:val="nil"/>
              <w:bottom w:val="nil"/>
              <w:right w:val="nil"/>
            </w:tcBorders>
            <w:shd w:val="clear" w:color="000000" w:fill="FFFFFF"/>
            <w:noWrap/>
            <w:vAlign w:val="center"/>
            <w:hideMark/>
          </w:tcPr>
          <w:p w14:paraId="07C62788"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108</w:t>
            </w:r>
          </w:p>
        </w:tc>
        <w:tc>
          <w:tcPr>
            <w:tcW w:w="439" w:type="pct"/>
            <w:tcBorders>
              <w:top w:val="nil"/>
              <w:left w:val="nil"/>
              <w:bottom w:val="nil"/>
              <w:right w:val="nil"/>
            </w:tcBorders>
            <w:shd w:val="clear" w:color="000000" w:fill="FFFFFF"/>
            <w:noWrap/>
            <w:vAlign w:val="center"/>
            <w:hideMark/>
          </w:tcPr>
          <w:p w14:paraId="57E73311"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11.2</w:t>
            </w:r>
          </w:p>
        </w:tc>
        <w:tc>
          <w:tcPr>
            <w:tcW w:w="479" w:type="pct"/>
            <w:tcBorders>
              <w:top w:val="nil"/>
              <w:left w:val="nil"/>
              <w:bottom w:val="nil"/>
              <w:right w:val="nil"/>
            </w:tcBorders>
            <w:shd w:val="clear" w:color="auto" w:fill="E1E8EB"/>
            <w:noWrap/>
            <w:vAlign w:val="center"/>
            <w:hideMark/>
          </w:tcPr>
          <w:p w14:paraId="5B9F08E3"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148</w:t>
            </w:r>
          </w:p>
        </w:tc>
        <w:tc>
          <w:tcPr>
            <w:tcW w:w="404" w:type="pct"/>
            <w:tcBorders>
              <w:top w:val="nil"/>
              <w:left w:val="nil"/>
              <w:bottom w:val="nil"/>
              <w:right w:val="nil"/>
            </w:tcBorders>
            <w:shd w:val="clear" w:color="auto" w:fill="E1E8EB"/>
            <w:noWrap/>
            <w:vAlign w:val="center"/>
            <w:hideMark/>
          </w:tcPr>
          <w:p w14:paraId="7F24D403"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11.5</w:t>
            </w:r>
          </w:p>
        </w:tc>
      </w:tr>
      <w:tr w:rsidR="003772BD" w:rsidRPr="002F63E8" w14:paraId="75D016F2" w14:textId="77777777" w:rsidTr="009955B8">
        <w:trPr>
          <w:trHeight w:val="225"/>
        </w:trPr>
        <w:tc>
          <w:tcPr>
            <w:tcW w:w="1318" w:type="pct"/>
            <w:tcBorders>
              <w:top w:val="nil"/>
              <w:left w:val="nil"/>
              <w:bottom w:val="nil"/>
              <w:right w:val="nil"/>
            </w:tcBorders>
            <w:shd w:val="clear" w:color="000000" w:fill="FFFFFF"/>
            <w:noWrap/>
            <w:vAlign w:val="center"/>
            <w:hideMark/>
          </w:tcPr>
          <w:p w14:paraId="1EA3882F" w14:textId="77777777" w:rsidR="00C40BFD" w:rsidRPr="002F63E8" w:rsidRDefault="00C40BFD" w:rsidP="00C40BFD">
            <w:pPr>
              <w:spacing w:after="0" w:line="240" w:lineRule="auto"/>
              <w:jc w:val="left"/>
              <w:rPr>
                <w:rFonts w:ascii="Arial" w:hAnsi="Arial" w:cs="Arial"/>
                <w:sz w:val="16"/>
                <w:szCs w:val="16"/>
              </w:rPr>
            </w:pPr>
            <w:r w:rsidRPr="002F63E8">
              <w:rPr>
                <w:rFonts w:ascii="Arial" w:hAnsi="Arial" w:cs="Arial"/>
                <w:sz w:val="16"/>
                <w:szCs w:val="16"/>
              </w:rPr>
              <w:t>Services</w:t>
            </w:r>
          </w:p>
        </w:tc>
        <w:tc>
          <w:tcPr>
            <w:tcW w:w="171" w:type="pct"/>
            <w:tcBorders>
              <w:top w:val="nil"/>
              <w:left w:val="nil"/>
              <w:bottom w:val="nil"/>
              <w:right w:val="nil"/>
            </w:tcBorders>
            <w:shd w:val="clear" w:color="000000" w:fill="FFFFFF"/>
            <w:noWrap/>
            <w:vAlign w:val="center"/>
            <w:hideMark/>
          </w:tcPr>
          <w:p w14:paraId="02AC401B"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 </w:t>
            </w:r>
          </w:p>
        </w:tc>
        <w:tc>
          <w:tcPr>
            <w:tcW w:w="458" w:type="pct"/>
            <w:tcBorders>
              <w:top w:val="nil"/>
              <w:left w:val="nil"/>
              <w:bottom w:val="nil"/>
              <w:right w:val="nil"/>
            </w:tcBorders>
            <w:shd w:val="clear" w:color="000000" w:fill="FFFFFF"/>
            <w:noWrap/>
            <w:vAlign w:val="center"/>
            <w:hideMark/>
          </w:tcPr>
          <w:p w14:paraId="2523F4CC"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185</w:t>
            </w:r>
          </w:p>
        </w:tc>
        <w:tc>
          <w:tcPr>
            <w:tcW w:w="400" w:type="pct"/>
            <w:tcBorders>
              <w:top w:val="nil"/>
              <w:left w:val="nil"/>
              <w:bottom w:val="nil"/>
              <w:right w:val="nil"/>
            </w:tcBorders>
            <w:shd w:val="clear" w:color="000000" w:fill="FFFFFF"/>
            <w:noWrap/>
            <w:vAlign w:val="center"/>
            <w:hideMark/>
          </w:tcPr>
          <w:p w14:paraId="6F72F74C"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63.2</w:t>
            </w:r>
          </w:p>
        </w:tc>
        <w:tc>
          <w:tcPr>
            <w:tcW w:w="412" w:type="pct"/>
            <w:tcBorders>
              <w:top w:val="nil"/>
              <w:left w:val="nil"/>
              <w:bottom w:val="nil"/>
              <w:right w:val="nil"/>
            </w:tcBorders>
            <w:shd w:val="clear" w:color="000000" w:fill="FFFFFF"/>
            <w:noWrap/>
            <w:vAlign w:val="center"/>
            <w:hideMark/>
          </w:tcPr>
          <w:p w14:paraId="28861081"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245</w:t>
            </w:r>
          </w:p>
        </w:tc>
        <w:tc>
          <w:tcPr>
            <w:tcW w:w="473" w:type="pct"/>
            <w:tcBorders>
              <w:top w:val="nil"/>
              <w:left w:val="nil"/>
              <w:bottom w:val="nil"/>
              <w:right w:val="nil"/>
            </w:tcBorders>
            <w:shd w:val="clear" w:color="000000" w:fill="FFFFFF"/>
            <w:noWrap/>
            <w:vAlign w:val="center"/>
            <w:hideMark/>
          </w:tcPr>
          <w:p w14:paraId="3A33DBF0"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76.0</w:t>
            </w:r>
          </w:p>
        </w:tc>
        <w:tc>
          <w:tcPr>
            <w:tcW w:w="446" w:type="pct"/>
            <w:tcBorders>
              <w:top w:val="nil"/>
              <w:left w:val="nil"/>
              <w:bottom w:val="nil"/>
              <w:right w:val="nil"/>
            </w:tcBorders>
            <w:shd w:val="clear" w:color="000000" w:fill="FFFFFF"/>
            <w:noWrap/>
            <w:vAlign w:val="center"/>
            <w:hideMark/>
          </w:tcPr>
          <w:p w14:paraId="72894D11"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296</w:t>
            </w:r>
          </w:p>
        </w:tc>
        <w:tc>
          <w:tcPr>
            <w:tcW w:w="439" w:type="pct"/>
            <w:tcBorders>
              <w:top w:val="nil"/>
              <w:left w:val="nil"/>
              <w:bottom w:val="nil"/>
              <w:right w:val="nil"/>
            </w:tcBorders>
            <w:shd w:val="clear" w:color="000000" w:fill="FFFFFF"/>
            <w:noWrap/>
            <w:vAlign w:val="center"/>
            <w:hideMark/>
          </w:tcPr>
          <w:p w14:paraId="185E7EF0"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73.6</w:t>
            </w:r>
          </w:p>
        </w:tc>
        <w:tc>
          <w:tcPr>
            <w:tcW w:w="479" w:type="pct"/>
            <w:tcBorders>
              <w:top w:val="nil"/>
              <w:left w:val="nil"/>
              <w:bottom w:val="nil"/>
              <w:right w:val="nil"/>
            </w:tcBorders>
            <w:shd w:val="clear" w:color="auto" w:fill="E1E8EB"/>
            <w:noWrap/>
            <w:vAlign w:val="center"/>
            <w:hideMark/>
          </w:tcPr>
          <w:p w14:paraId="7C38771B"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744</w:t>
            </w:r>
          </w:p>
        </w:tc>
        <w:tc>
          <w:tcPr>
            <w:tcW w:w="404" w:type="pct"/>
            <w:tcBorders>
              <w:top w:val="nil"/>
              <w:left w:val="nil"/>
              <w:bottom w:val="nil"/>
              <w:right w:val="nil"/>
            </w:tcBorders>
            <w:shd w:val="clear" w:color="auto" w:fill="E1E8EB"/>
            <w:noWrap/>
            <w:vAlign w:val="center"/>
            <w:hideMark/>
          </w:tcPr>
          <w:p w14:paraId="1D3E304F"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76.9</w:t>
            </w:r>
          </w:p>
        </w:tc>
      </w:tr>
      <w:tr w:rsidR="003772BD" w:rsidRPr="002F63E8" w14:paraId="6BD415B6" w14:textId="77777777" w:rsidTr="009955B8">
        <w:trPr>
          <w:trHeight w:val="225"/>
        </w:trPr>
        <w:tc>
          <w:tcPr>
            <w:tcW w:w="1318" w:type="pct"/>
            <w:tcBorders>
              <w:top w:val="nil"/>
              <w:left w:val="nil"/>
              <w:bottom w:val="nil"/>
              <w:right w:val="nil"/>
            </w:tcBorders>
            <w:shd w:val="clear" w:color="000000" w:fill="FFFFFF"/>
            <w:noWrap/>
            <w:vAlign w:val="center"/>
            <w:hideMark/>
          </w:tcPr>
          <w:p w14:paraId="4B0D305C" w14:textId="69C19141" w:rsidR="00C40BFD" w:rsidRPr="002F63E8" w:rsidRDefault="00C40BFD" w:rsidP="00C40BFD">
            <w:pPr>
              <w:spacing w:after="0" w:line="240" w:lineRule="auto"/>
              <w:jc w:val="left"/>
              <w:rPr>
                <w:rFonts w:ascii="Arial" w:hAnsi="Arial" w:cs="Arial"/>
                <w:sz w:val="16"/>
                <w:szCs w:val="16"/>
              </w:rPr>
            </w:pPr>
            <w:r w:rsidRPr="002F63E8">
              <w:rPr>
                <w:rFonts w:ascii="Arial" w:hAnsi="Arial" w:cs="Arial"/>
                <w:sz w:val="16"/>
                <w:szCs w:val="16"/>
              </w:rPr>
              <w:t xml:space="preserve">Real estate </w:t>
            </w:r>
            <w:r w:rsidR="003E7C79">
              <w:rPr>
                <w:rFonts w:ascii="Arial" w:hAnsi="Arial" w:cs="Arial"/>
                <w:sz w:val="16"/>
                <w:szCs w:val="16"/>
              </w:rPr>
              <w:t>–</w:t>
            </w:r>
            <w:r w:rsidRPr="002F63E8">
              <w:rPr>
                <w:rFonts w:ascii="Arial" w:hAnsi="Arial" w:cs="Arial"/>
                <w:sz w:val="16"/>
                <w:szCs w:val="16"/>
              </w:rPr>
              <w:t xml:space="preserve"> commercial</w:t>
            </w:r>
          </w:p>
        </w:tc>
        <w:tc>
          <w:tcPr>
            <w:tcW w:w="171" w:type="pct"/>
            <w:tcBorders>
              <w:top w:val="nil"/>
              <w:left w:val="nil"/>
              <w:bottom w:val="nil"/>
              <w:right w:val="nil"/>
            </w:tcBorders>
            <w:shd w:val="clear" w:color="000000" w:fill="FFFFFF"/>
            <w:noWrap/>
            <w:vAlign w:val="center"/>
            <w:hideMark/>
          </w:tcPr>
          <w:p w14:paraId="5405095F"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 </w:t>
            </w:r>
          </w:p>
        </w:tc>
        <w:tc>
          <w:tcPr>
            <w:tcW w:w="458" w:type="pct"/>
            <w:tcBorders>
              <w:top w:val="nil"/>
              <w:left w:val="nil"/>
              <w:bottom w:val="nil"/>
              <w:right w:val="nil"/>
            </w:tcBorders>
            <w:shd w:val="clear" w:color="000000" w:fill="FFFFFF"/>
            <w:noWrap/>
            <w:vAlign w:val="center"/>
            <w:hideMark/>
          </w:tcPr>
          <w:p w14:paraId="60455415"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391</w:t>
            </w:r>
          </w:p>
        </w:tc>
        <w:tc>
          <w:tcPr>
            <w:tcW w:w="400" w:type="pct"/>
            <w:tcBorders>
              <w:top w:val="nil"/>
              <w:left w:val="nil"/>
              <w:bottom w:val="nil"/>
              <w:right w:val="nil"/>
            </w:tcBorders>
            <w:shd w:val="clear" w:color="000000" w:fill="FFFFFF"/>
            <w:noWrap/>
            <w:vAlign w:val="center"/>
            <w:hideMark/>
          </w:tcPr>
          <w:p w14:paraId="5EB789E9"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39.5</w:t>
            </w:r>
          </w:p>
        </w:tc>
        <w:tc>
          <w:tcPr>
            <w:tcW w:w="412" w:type="pct"/>
            <w:tcBorders>
              <w:top w:val="nil"/>
              <w:left w:val="nil"/>
              <w:bottom w:val="nil"/>
              <w:right w:val="nil"/>
            </w:tcBorders>
            <w:shd w:val="clear" w:color="000000" w:fill="FFFFFF"/>
            <w:noWrap/>
            <w:vAlign w:val="center"/>
            <w:hideMark/>
          </w:tcPr>
          <w:p w14:paraId="42329925"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487</w:t>
            </w:r>
          </w:p>
        </w:tc>
        <w:tc>
          <w:tcPr>
            <w:tcW w:w="473" w:type="pct"/>
            <w:tcBorders>
              <w:top w:val="nil"/>
              <w:left w:val="nil"/>
              <w:bottom w:val="nil"/>
              <w:right w:val="nil"/>
            </w:tcBorders>
            <w:shd w:val="clear" w:color="000000" w:fill="FFFFFF"/>
            <w:noWrap/>
            <w:vAlign w:val="center"/>
            <w:hideMark/>
          </w:tcPr>
          <w:p w14:paraId="2A29F0B1"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73.0</w:t>
            </w:r>
          </w:p>
        </w:tc>
        <w:tc>
          <w:tcPr>
            <w:tcW w:w="446" w:type="pct"/>
            <w:tcBorders>
              <w:top w:val="nil"/>
              <w:left w:val="nil"/>
              <w:bottom w:val="nil"/>
              <w:right w:val="nil"/>
            </w:tcBorders>
            <w:shd w:val="clear" w:color="000000" w:fill="FFFFFF"/>
            <w:noWrap/>
            <w:vAlign w:val="center"/>
            <w:hideMark/>
          </w:tcPr>
          <w:p w14:paraId="26037E62"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440</w:t>
            </w:r>
          </w:p>
        </w:tc>
        <w:tc>
          <w:tcPr>
            <w:tcW w:w="439" w:type="pct"/>
            <w:tcBorders>
              <w:top w:val="nil"/>
              <w:left w:val="nil"/>
              <w:bottom w:val="nil"/>
              <w:right w:val="nil"/>
            </w:tcBorders>
            <w:shd w:val="clear" w:color="000000" w:fill="FFFFFF"/>
            <w:noWrap/>
            <w:vAlign w:val="center"/>
            <w:hideMark/>
          </w:tcPr>
          <w:p w14:paraId="6F144566"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38.8</w:t>
            </w:r>
          </w:p>
        </w:tc>
        <w:tc>
          <w:tcPr>
            <w:tcW w:w="479" w:type="pct"/>
            <w:tcBorders>
              <w:top w:val="nil"/>
              <w:left w:val="nil"/>
              <w:bottom w:val="nil"/>
              <w:right w:val="nil"/>
            </w:tcBorders>
            <w:shd w:val="clear" w:color="auto" w:fill="E1E8EB"/>
            <w:noWrap/>
            <w:vAlign w:val="center"/>
            <w:hideMark/>
          </w:tcPr>
          <w:p w14:paraId="77B7450D"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862</w:t>
            </w:r>
          </w:p>
        </w:tc>
        <w:tc>
          <w:tcPr>
            <w:tcW w:w="404" w:type="pct"/>
            <w:tcBorders>
              <w:top w:val="nil"/>
              <w:left w:val="nil"/>
              <w:bottom w:val="nil"/>
              <w:right w:val="nil"/>
            </w:tcBorders>
            <w:shd w:val="clear" w:color="auto" w:fill="E1E8EB"/>
            <w:noWrap/>
            <w:vAlign w:val="center"/>
            <w:hideMark/>
          </w:tcPr>
          <w:p w14:paraId="4CE0EC3F"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82.0</w:t>
            </w:r>
          </w:p>
        </w:tc>
      </w:tr>
      <w:tr w:rsidR="003772BD" w:rsidRPr="002F63E8" w14:paraId="2A6DF1CC" w14:textId="77777777" w:rsidTr="009955B8">
        <w:trPr>
          <w:trHeight w:val="225"/>
        </w:trPr>
        <w:tc>
          <w:tcPr>
            <w:tcW w:w="1318" w:type="pct"/>
            <w:tcBorders>
              <w:top w:val="nil"/>
              <w:left w:val="nil"/>
              <w:bottom w:val="nil"/>
              <w:right w:val="nil"/>
            </w:tcBorders>
            <w:shd w:val="clear" w:color="000000" w:fill="FFFFFF"/>
            <w:noWrap/>
            <w:vAlign w:val="center"/>
            <w:hideMark/>
          </w:tcPr>
          <w:p w14:paraId="4251C561" w14:textId="1AAE3C2C" w:rsidR="00C40BFD" w:rsidRPr="002F63E8" w:rsidRDefault="00C40BFD" w:rsidP="006B32E3">
            <w:pPr>
              <w:spacing w:after="0" w:line="240" w:lineRule="auto"/>
              <w:jc w:val="right"/>
              <w:rPr>
                <w:rFonts w:ascii="Arial" w:hAnsi="Arial" w:cs="Arial"/>
                <w:i/>
                <w:iCs/>
                <w:sz w:val="16"/>
                <w:szCs w:val="16"/>
              </w:rPr>
            </w:pPr>
            <w:r w:rsidRPr="002F63E8">
              <w:rPr>
                <w:rFonts w:ascii="Arial" w:hAnsi="Arial" w:cs="Arial"/>
                <w:i/>
                <w:iCs/>
                <w:sz w:val="16"/>
                <w:szCs w:val="16"/>
              </w:rPr>
              <w:t>Sub</w:t>
            </w:r>
            <w:r w:rsidR="003E7C79">
              <w:rPr>
                <w:rFonts w:ascii="Arial" w:hAnsi="Arial" w:cs="Arial"/>
                <w:i/>
                <w:iCs/>
                <w:sz w:val="16"/>
                <w:szCs w:val="16"/>
              </w:rPr>
              <w:t>–</w:t>
            </w:r>
            <w:r w:rsidRPr="002F63E8">
              <w:rPr>
                <w:rFonts w:ascii="Arial" w:hAnsi="Arial" w:cs="Arial"/>
                <w:i/>
                <w:iCs/>
                <w:sz w:val="16"/>
                <w:szCs w:val="16"/>
              </w:rPr>
              <w:t xml:space="preserve">total </w:t>
            </w:r>
            <w:r w:rsidR="00065800">
              <w:rPr>
                <w:rFonts w:ascii="Arial" w:hAnsi="Arial" w:cs="Arial"/>
                <w:i/>
                <w:iCs/>
                <w:sz w:val="16"/>
                <w:szCs w:val="16"/>
              </w:rPr>
              <w:t>‘</w:t>
            </w:r>
            <w:r w:rsidRPr="002F63E8">
              <w:rPr>
                <w:rFonts w:ascii="Arial" w:hAnsi="Arial" w:cs="Arial"/>
                <w:i/>
                <w:iCs/>
                <w:sz w:val="16"/>
                <w:szCs w:val="16"/>
              </w:rPr>
              <w:t>Non</w:t>
            </w:r>
            <w:r w:rsidR="003E7C79">
              <w:rPr>
                <w:rFonts w:ascii="Arial" w:hAnsi="Arial" w:cs="Arial"/>
                <w:i/>
                <w:iCs/>
                <w:sz w:val="16"/>
                <w:szCs w:val="16"/>
              </w:rPr>
              <w:t>–</w:t>
            </w:r>
            <w:r w:rsidRPr="002F63E8">
              <w:rPr>
                <w:rFonts w:ascii="Arial" w:hAnsi="Arial" w:cs="Arial"/>
                <w:i/>
                <w:iCs/>
                <w:sz w:val="16"/>
                <w:szCs w:val="16"/>
              </w:rPr>
              <w:t>residential</w:t>
            </w:r>
            <w:r w:rsidR="00065800">
              <w:rPr>
                <w:rFonts w:ascii="Arial" w:hAnsi="Arial" w:cs="Arial"/>
                <w:i/>
                <w:iCs/>
                <w:sz w:val="16"/>
                <w:szCs w:val="16"/>
              </w:rPr>
              <w:t>’</w:t>
            </w:r>
          </w:p>
        </w:tc>
        <w:tc>
          <w:tcPr>
            <w:tcW w:w="171" w:type="pct"/>
            <w:tcBorders>
              <w:top w:val="nil"/>
              <w:left w:val="nil"/>
              <w:bottom w:val="nil"/>
              <w:right w:val="nil"/>
            </w:tcBorders>
            <w:shd w:val="clear" w:color="000000" w:fill="FFFFFF"/>
            <w:noWrap/>
            <w:vAlign w:val="center"/>
            <w:hideMark/>
          </w:tcPr>
          <w:p w14:paraId="560DE132" w14:textId="77777777" w:rsidR="00C40BFD" w:rsidRPr="002F63E8" w:rsidRDefault="00C40BFD" w:rsidP="006B32E3">
            <w:pPr>
              <w:spacing w:after="0" w:line="240" w:lineRule="auto"/>
              <w:jc w:val="right"/>
              <w:rPr>
                <w:rFonts w:ascii="Arial" w:hAnsi="Arial" w:cs="Arial"/>
                <w:i/>
                <w:iCs/>
                <w:sz w:val="16"/>
                <w:szCs w:val="16"/>
              </w:rPr>
            </w:pPr>
            <w:r w:rsidRPr="002F63E8">
              <w:rPr>
                <w:rFonts w:ascii="Arial" w:hAnsi="Arial" w:cs="Arial"/>
                <w:i/>
                <w:iCs/>
                <w:sz w:val="16"/>
                <w:szCs w:val="16"/>
              </w:rPr>
              <w:t> </w:t>
            </w:r>
          </w:p>
        </w:tc>
        <w:tc>
          <w:tcPr>
            <w:tcW w:w="458" w:type="pct"/>
            <w:tcBorders>
              <w:top w:val="single" w:sz="4" w:space="0" w:color="auto"/>
              <w:left w:val="nil"/>
              <w:bottom w:val="nil"/>
              <w:right w:val="nil"/>
            </w:tcBorders>
            <w:shd w:val="clear" w:color="000000" w:fill="FFFFFF"/>
            <w:noWrap/>
            <w:vAlign w:val="bottom"/>
            <w:hideMark/>
          </w:tcPr>
          <w:p w14:paraId="6D851586" w14:textId="77777777" w:rsidR="00C40BFD" w:rsidRPr="002F63E8" w:rsidRDefault="00C40BFD" w:rsidP="00C40BFD">
            <w:pPr>
              <w:spacing w:after="0" w:line="240" w:lineRule="auto"/>
              <w:jc w:val="right"/>
              <w:rPr>
                <w:rFonts w:ascii="Arial" w:hAnsi="Arial" w:cs="Arial"/>
                <w:i/>
                <w:iCs/>
                <w:sz w:val="16"/>
                <w:szCs w:val="16"/>
              </w:rPr>
            </w:pPr>
            <w:r w:rsidRPr="002F63E8">
              <w:rPr>
                <w:rFonts w:ascii="Arial" w:hAnsi="Arial" w:cs="Arial"/>
                <w:i/>
                <w:iCs/>
                <w:sz w:val="16"/>
                <w:szCs w:val="16"/>
              </w:rPr>
              <w:t>1,024</w:t>
            </w:r>
          </w:p>
        </w:tc>
        <w:tc>
          <w:tcPr>
            <w:tcW w:w="400" w:type="pct"/>
            <w:tcBorders>
              <w:top w:val="single" w:sz="4" w:space="0" w:color="auto"/>
              <w:left w:val="nil"/>
              <w:bottom w:val="nil"/>
              <w:right w:val="nil"/>
            </w:tcBorders>
            <w:shd w:val="clear" w:color="000000" w:fill="FFFFFF"/>
            <w:noWrap/>
            <w:vAlign w:val="bottom"/>
            <w:hideMark/>
          </w:tcPr>
          <w:p w14:paraId="2597B822" w14:textId="77777777" w:rsidR="00C40BFD" w:rsidRPr="002F63E8" w:rsidRDefault="00C40BFD" w:rsidP="00C40BFD">
            <w:pPr>
              <w:spacing w:after="0" w:line="240" w:lineRule="auto"/>
              <w:jc w:val="right"/>
              <w:rPr>
                <w:rFonts w:ascii="Arial" w:hAnsi="Arial" w:cs="Arial"/>
                <w:i/>
                <w:iCs/>
                <w:sz w:val="16"/>
                <w:szCs w:val="16"/>
              </w:rPr>
            </w:pPr>
            <w:r w:rsidRPr="002F63E8">
              <w:rPr>
                <w:rFonts w:ascii="Arial" w:hAnsi="Arial" w:cs="Arial"/>
                <w:i/>
                <w:iCs/>
                <w:sz w:val="16"/>
                <w:szCs w:val="16"/>
              </w:rPr>
              <w:t>150.6</w:t>
            </w:r>
          </w:p>
        </w:tc>
        <w:tc>
          <w:tcPr>
            <w:tcW w:w="412" w:type="pct"/>
            <w:tcBorders>
              <w:top w:val="single" w:sz="4" w:space="0" w:color="auto"/>
              <w:left w:val="nil"/>
              <w:bottom w:val="nil"/>
              <w:right w:val="nil"/>
            </w:tcBorders>
            <w:shd w:val="clear" w:color="000000" w:fill="FFFFFF"/>
            <w:noWrap/>
            <w:vAlign w:val="bottom"/>
            <w:hideMark/>
          </w:tcPr>
          <w:p w14:paraId="487FACF8" w14:textId="77777777" w:rsidR="00C40BFD" w:rsidRPr="002F63E8" w:rsidRDefault="00C40BFD" w:rsidP="00C40BFD">
            <w:pPr>
              <w:spacing w:after="0" w:line="240" w:lineRule="auto"/>
              <w:jc w:val="right"/>
              <w:rPr>
                <w:rFonts w:ascii="Arial" w:hAnsi="Arial" w:cs="Arial"/>
                <w:i/>
                <w:iCs/>
                <w:sz w:val="16"/>
                <w:szCs w:val="16"/>
              </w:rPr>
            </w:pPr>
            <w:r w:rsidRPr="002F63E8">
              <w:rPr>
                <w:rFonts w:ascii="Arial" w:hAnsi="Arial" w:cs="Arial"/>
                <w:i/>
                <w:iCs/>
                <w:sz w:val="16"/>
                <w:szCs w:val="16"/>
              </w:rPr>
              <w:t xml:space="preserve">  1,175 </w:t>
            </w:r>
          </w:p>
        </w:tc>
        <w:tc>
          <w:tcPr>
            <w:tcW w:w="473" w:type="pct"/>
            <w:tcBorders>
              <w:top w:val="single" w:sz="4" w:space="0" w:color="auto"/>
              <w:left w:val="nil"/>
              <w:bottom w:val="nil"/>
              <w:right w:val="nil"/>
            </w:tcBorders>
            <w:shd w:val="clear" w:color="000000" w:fill="FFFFFF"/>
            <w:noWrap/>
            <w:vAlign w:val="bottom"/>
            <w:hideMark/>
          </w:tcPr>
          <w:p w14:paraId="651B7DE8" w14:textId="77777777" w:rsidR="00C40BFD" w:rsidRPr="002F63E8" w:rsidRDefault="00C40BFD" w:rsidP="00C40BFD">
            <w:pPr>
              <w:spacing w:after="0" w:line="240" w:lineRule="auto"/>
              <w:jc w:val="right"/>
              <w:rPr>
                <w:rFonts w:ascii="Arial" w:hAnsi="Arial" w:cs="Arial"/>
                <w:i/>
                <w:iCs/>
                <w:sz w:val="16"/>
                <w:szCs w:val="16"/>
              </w:rPr>
            </w:pPr>
            <w:r w:rsidRPr="002F63E8">
              <w:rPr>
                <w:rFonts w:ascii="Arial" w:hAnsi="Arial" w:cs="Arial"/>
                <w:i/>
                <w:iCs/>
                <w:sz w:val="16"/>
                <w:szCs w:val="16"/>
              </w:rPr>
              <w:t>179.5</w:t>
            </w:r>
          </w:p>
        </w:tc>
        <w:tc>
          <w:tcPr>
            <w:tcW w:w="446" w:type="pct"/>
            <w:tcBorders>
              <w:top w:val="single" w:sz="4" w:space="0" w:color="auto"/>
              <w:left w:val="nil"/>
              <w:bottom w:val="nil"/>
              <w:right w:val="nil"/>
            </w:tcBorders>
            <w:shd w:val="clear" w:color="000000" w:fill="FFFFFF"/>
            <w:noWrap/>
            <w:vAlign w:val="bottom"/>
            <w:hideMark/>
          </w:tcPr>
          <w:p w14:paraId="6ABA28FC" w14:textId="4D8C4007" w:rsidR="00C40BFD" w:rsidRPr="002F63E8" w:rsidRDefault="00C40BFD" w:rsidP="00C40BFD">
            <w:pPr>
              <w:spacing w:after="0" w:line="240" w:lineRule="auto"/>
              <w:jc w:val="right"/>
              <w:rPr>
                <w:rFonts w:ascii="Arial" w:hAnsi="Arial" w:cs="Arial"/>
                <w:i/>
                <w:iCs/>
                <w:sz w:val="16"/>
                <w:szCs w:val="16"/>
              </w:rPr>
            </w:pPr>
            <w:r w:rsidRPr="002F63E8">
              <w:rPr>
                <w:rFonts w:ascii="Arial" w:hAnsi="Arial" w:cs="Arial"/>
                <w:i/>
                <w:iCs/>
                <w:sz w:val="16"/>
                <w:szCs w:val="16"/>
              </w:rPr>
              <w:t xml:space="preserve">  1,15</w:t>
            </w:r>
            <w:r w:rsidR="002D065E">
              <w:rPr>
                <w:rFonts w:ascii="Arial" w:hAnsi="Arial" w:cs="Arial"/>
                <w:i/>
                <w:iCs/>
                <w:sz w:val="16"/>
                <w:szCs w:val="16"/>
              </w:rPr>
              <w:t>2</w:t>
            </w:r>
            <w:r w:rsidRPr="002F63E8">
              <w:rPr>
                <w:rFonts w:ascii="Arial" w:hAnsi="Arial" w:cs="Arial"/>
                <w:i/>
                <w:iCs/>
                <w:sz w:val="16"/>
                <w:szCs w:val="16"/>
              </w:rPr>
              <w:t xml:space="preserve"> </w:t>
            </w:r>
          </w:p>
        </w:tc>
        <w:tc>
          <w:tcPr>
            <w:tcW w:w="439" w:type="pct"/>
            <w:tcBorders>
              <w:top w:val="single" w:sz="4" w:space="0" w:color="auto"/>
              <w:left w:val="nil"/>
              <w:bottom w:val="nil"/>
              <w:right w:val="nil"/>
            </w:tcBorders>
            <w:shd w:val="clear" w:color="000000" w:fill="FFFFFF"/>
            <w:noWrap/>
            <w:vAlign w:val="bottom"/>
            <w:hideMark/>
          </w:tcPr>
          <w:p w14:paraId="02C3477B" w14:textId="77777777" w:rsidR="00C40BFD" w:rsidRPr="002F63E8" w:rsidRDefault="00C40BFD" w:rsidP="00C40BFD">
            <w:pPr>
              <w:spacing w:after="0" w:line="240" w:lineRule="auto"/>
              <w:jc w:val="right"/>
              <w:rPr>
                <w:rFonts w:ascii="Arial" w:hAnsi="Arial" w:cs="Arial"/>
                <w:i/>
                <w:iCs/>
                <w:sz w:val="16"/>
                <w:szCs w:val="16"/>
              </w:rPr>
            </w:pPr>
            <w:r w:rsidRPr="002F63E8">
              <w:rPr>
                <w:rFonts w:ascii="Arial" w:hAnsi="Arial" w:cs="Arial"/>
                <w:i/>
                <w:iCs/>
                <w:sz w:val="16"/>
                <w:szCs w:val="16"/>
              </w:rPr>
              <w:t>178.4</w:t>
            </w:r>
          </w:p>
        </w:tc>
        <w:tc>
          <w:tcPr>
            <w:tcW w:w="479" w:type="pct"/>
            <w:tcBorders>
              <w:top w:val="single" w:sz="4" w:space="0" w:color="auto"/>
              <w:left w:val="nil"/>
              <w:bottom w:val="nil"/>
              <w:right w:val="nil"/>
            </w:tcBorders>
            <w:shd w:val="clear" w:color="auto" w:fill="E1E8EB"/>
            <w:noWrap/>
            <w:vAlign w:val="bottom"/>
            <w:hideMark/>
          </w:tcPr>
          <w:p w14:paraId="1899FDCC" w14:textId="482C72AD" w:rsidR="00C40BFD" w:rsidRPr="002F63E8" w:rsidRDefault="00C40BFD" w:rsidP="00C40BFD">
            <w:pPr>
              <w:spacing w:after="0" w:line="240" w:lineRule="auto"/>
              <w:jc w:val="right"/>
              <w:rPr>
                <w:rFonts w:ascii="Arial" w:hAnsi="Arial" w:cs="Arial"/>
                <w:i/>
                <w:iCs/>
                <w:sz w:val="16"/>
                <w:szCs w:val="16"/>
              </w:rPr>
            </w:pPr>
            <w:r w:rsidRPr="002F63E8">
              <w:rPr>
                <w:rFonts w:ascii="Arial" w:hAnsi="Arial" w:cs="Arial"/>
                <w:i/>
                <w:iCs/>
                <w:sz w:val="16"/>
                <w:szCs w:val="16"/>
              </w:rPr>
              <w:t xml:space="preserve">   2,2</w:t>
            </w:r>
            <w:r w:rsidR="00740320">
              <w:rPr>
                <w:rFonts w:ascii="Arial" w:hAnsi="Arial" w:cs="Arial"/>
                <w:i/>
                <w:iCs/>
                <w:sz w:val="16"/>
                <w:szCs w:val="16"/>
              </w:rPr>
              <w:t>10</w:t>
            </w:r>
            <w:r w:rsidRPr="002F63E8">
              <w:rPr>
                <w:rFonts w:ascii="Arial" w:hAnsi="Arial" w:cs="Arial"/>
                <w:i/>
                <w:iCs/>
                <w:sz w:val="16"/>
                <w:szCs w:val="16"/>
              </w:rPr>
              <w:t xml:space="preserve"> </w:t>
            </w:r>
          </w:p>
        </w:tc>
        <w:tc>
          <w:tcPr>
            <w:tcW w:w="404" w:type="pct"/>
            <w:tcBorders>
              <w:top w:val="single" w:sz="4" w:space="0" w:color="auto"/>
              <w:left w:val="nil"/>
              <w:bottom w:val="nil"/>
              <w:right w:val="nil"/>
            </w:tcBorders>
            <w:shd w:val="clear" w:color="auto" w:fill="E1E8EB"/>
            <w:noWrap/>
            <w:vAlign w:val="bottom"/>
            <w:hideMark/>
          </w:tcPr>
          <w:p w14:paraId="66AA32DB" w14:textId="33EF422A" w:rsidR="00C40BFD" w:rsidRPr="002F63E8" w:rsidRDefault="00C40BFD" w:rsidP="00C40BFD">
            <w:pPr>
              <w:spacing w:after="0" w:line="240" w:lineRule="auto"/>
              <w:jc w:val="right"/>
              <w:rPr>
                <w:rFonts w:ascii="Arial" w:hAnsi="Arial" w:cs="Arial"/>
                <w:i/>
                <w:iCs/>
                <w:sz w:val="16"/>
                <w:szCs w:val="16"/>
              </w:rPr>
            </w:pPr>
            <w:r w:rsidRPr="002F63E8">
              <w:rPr>
                <w:rFonts w:ascii="Arial" w:hAnsi="Arial" w:cs="Arial"/>
                <w:i/>
                <w:iCs/>
                <w:sz w:val="16"/>
                <w:szCs w:val="16"/>
              </w:rPr>
              <w:t>222.</w:t>
            </w:r>
            <w:r w:rsidR="00740320">
              <w:rPr>
                <w:rFonts w:ascii="Arial" w:hAnsi="Arial" w:cs="Arial"/>
                <w:i/>
                <w:iCs/>
                <w:sz w:val="16"/>
                <w:szCs w:val="16"/>
              </w:rPr>
              <w:t>7</w:t>
            </w:r>
          </w:p>
        </w:tc>
      </w:tr>
      <w:tr w:rsidR="003772BD" w:rsidRPr="002F63E8" w14:paraId="6F19508A" w14:textId="77777777" w:rsidTr="009955B8">
        <w:trPr>
          <w:trHeight w:val="225"/>
        </w:trPr>
        <w:tc>
          <w:tcPr>
            <w:tcW w:w="1318" w:type="pct"/>
            <w:tcBorders>
              <w:top w:val="nil"/>
              <w:left w:val="nil"/>
              <w:bottom w:val="nil"/>
              <w:right w:val="nil"/>
            </w:tcBorders>
            <w:shd w:val="clear" w:color="000000" w:fill="FFFFFF"/>
            <w:noWrap/>
            <w:vAlign w:val="center"/>
            <w:hideMark/>
          </w:tcPr>
          <w:p w14:paraId="56E1EAB6" w14:textId="5273D483" w:rsidR="00C40BFD" w:rsidRPr="002F63E8" w:rsidRDefault="00C40BFD" w:rsidP="00C40BFD">
            <w:pPr>
              <w:spacing w:after="0" w:line="240" w:lineRule="auto"/>
              <w:jc w:val="left"/>
              <w:rPr>
                <w:rFonts w:ascii="Arial" w:hAnsi="Arial" w:cs="Arial"/>
                <w:sz w:val="16"/>
                <w:szCs w:val="16"/>
              </w:rPr>
            </w:pPr>
            <w:r w:rsidRPr="002F63E8">
              <w:rPr>
                <w:rFonts w:ascii="Arial" w:hAnsi="Arial" w:cs="Arial"/>
                <w:sz w:val="16"/>
                <w:szCs w:val="16"/>
              </w:rPr>
              <w:t xml:space="preserve">Real estate </w:t>
            </w:r>
            <w:r w:rsidR="003E7C79">
              <w:rPr>
                <w:rFonts w:ascii="Arial" w:hAnsi="Arial" w:cs="Arial"/>
                <w:sz w:val="16"/>
                <w:szCs w:val="16"/>
              </w:rPr>
              <w:t>–</w:t>
            </w:r>
            <w:r w:rsidRPr="002F63E8">
              <w:rPr>
                <w:rFonts w:ascii="Arial" w:hAnsi="Arial" w:cs="Arial"/>
                <w:sz w:val="16"/>
                <w:szCs w:val="16"/>
              </w:rPr>
              <w:t xml:space="preserve"> residential</w:t>
            </w:r>
          </w:p>
        </w:tc>
        <w:tc>
          <w:tcPr>
            <w:tcW w:w="171" w:type="pct"/>
            <w:tcBorders>
              <w:top w:val="nil"/>
              <w:left w:val="nil"/>
              <w:bottom w:val="nil"/>
              <w:right w:val="nil"/>
            </w:tcBorders>
            <w:shd w:val="clear" w:color="000000" w:fill="FFFFFF"/>
            <w:noWrap/>
            <w:vAlign w:val="center"/>
            <w:hideMark/>
          </w:tcPr>
          <w:p w14:paraId="33F62C86" w14:textId="77777777" w:rsidR="00C40BFD" w:rsidRPr="002F63E8" w:rsidRDefault="00C40BFD" w:rsidP="006B32E3">
            <w:pPr>
              <w:spacing w:after="0" w:line="240" w:lineRule="auto"/>
              <w:jc w:val="right"/>
              <w:rPr>
                <w:rFonts w:ascii="Arial" w:hAnsi="Arial" w:cs="Arial"/>
                <w:sz w:val="16"/>
                <w:szCs w:val="16"/>
              </w:rPr>
            </w:pPr>
            <w:r w:rsidRPr="002F63E8">
              <w:rPr>
                <w:rFonts w:ascii="Arial" w:hAnsi="Arial" w:cs="Arial"/>
                <w:sz w:val="16"/>
                <w:szCs w:val="16"/>
              </w:rPr>
              <w:t> </w:t>
            </w:r>
          </w:p>
        </w:tc>
        <w:tc>
          <w:tcPr>
            <w:tcW w:w="458" w:type="pct"/>
            <w:tcBorders>
              <w:top w:val="nil"/>
              <w:left w:val="nil"/>
              <w:bottom w:val="nil"/>
              <w:right w:val="nil"/>
            </w:tcBorders>
            <w:shd w:val="clear" w:color="000000" w:fill="FFFFFF"/>
            <w:noWrap/>
            <w:vAlign w:val="bottom"/>
            <w:hideMark/>
          </w:tcPr>
          <w:p w14:paraId="0616D372" w14:textId="77777777" w:rsidR="00C40BFD" w:rsidRPr="002F63E8" w:rsidRDefault="00C40BFD" w:rsidP="00C40BFD">
            <w:pPr>
              <w:spacing w:after="0" w:line="240" w:lineRule="auto"/>
              <w:jc w:val="right"/>
              <w:rPr>
                <w:rFonts w:ascii="Arial" w:hAnsi="Arial" w:cs="Arial"/>
                <w:sz w:val="16"/>
                <w:szCs w:val="16"/>
              </w:rPr>
            </w:pPr>
            <w:r w:rsidRPr="002F63E8">
              <w:rPr>
                <w:rFonts w:ascii="Arial" w:hAnsi="Arial" w:cs="Arial"/>
                <w:sz w:val="16"/>
                <w:szCs w:val="16"/>
              </w:rPr>
              <w:t>10,036</w:t>
            </w:r>
          </w:p>
        </w:tc>
        <w:tc>
          <w:tcPr>
            <w:tcW w:w="400" w:type="pct"/>
            <w:tcBorders>
              <w:top w:val="nil"/>
              <w:left w:val="nil"/>
              <w:bottom w:val="nil"/>
              <w:right w:val="nil"/>
            </w:tcBorders>
            <w:shd w:val="clear" w:color="000000" w:fill="FFFFFF"/>
            <w:noWrap/>
            <w:vAlign w:val="bottom"/>
            <w:hideMark/>
          </w:tcPr>
          <w:p w14:paraId="34BA69D2" w14:textId="77777777" w:rsidR="00C40BFD" w:rsidRPr="002F63E8" w:rsidRDefault="00C40BFD" w:rsidP="00C40BFD">
            <w:pPr>
              <w:spacing w:after="0" w:line="240" w:lineRule="auto"/>
              <w:jc w:val="right"/>
              <w:rPr>
                <w:rFonts w:ascii="Arial" w:hAnsi="Arial" w:cs="Arial"/>
                <w:sz w:val="16"/>
                <w:szCs w:val="16"/>
              </w:rPr>
            </w:pPr>
            <w:r w:rsidRPr="002F63E8">
              <w:rPr>
                <w:rFonts w:ascii="Arial" w:hAnsi="Arial" w:cs="Arial"/>
                <w:sz w:val="16"/>
                <w:szCs w:val="16"/>
              </w:rPr>
              <w:t>12.5</w:t>
            </w:r>
          </w:p>
        </w:tc>
        <w:tc>
          <w:tcPr>
            <w:tcW w:w="412" w:type="pct"/>
            <w:tcBorders>
              <w:top w:val="nil"/>
              <w:left w:val="nil"/>
              <w:bottom w:val="nil"/>
              <w:right w:val="nil"/>
            </w:tcBorders>
            <w:shd w:val="clear" w:color="000000" w:fill="FFFFFF"/>
            <w:noWrap/>
            <w:vAlign w:val="bottom"/>
            <w:hideMark/>
          </w:tcPr>
          <w:p w14:paraId="6E7A79F9" w14:textId="77777777" w:rsidR="00C40BFD" w:rsidRPr="002F63E8" w:rsidRDefault="00C40BFD" w:rsidP="00C40BFD">
            <w:pPr>
              <w:spacing w:after="0" w:line="240" w:lineRule="auto"/>
              <w:jc w:val="right"/>
              <w:rPr>
                <w:rFonts w:ascii="Arial" w:hAnsi="Arial" w:cs="Arial"/>
                <w:sz w:val="16"/>
                <w:szCs w:val="16"/>
              </w:rPr>
            </w:pPr>
            <w:r w:rsidRPr="002F63E8">
              <w:rPr>
                <w:rFonts w:ascii="Arial" w:hAnsi="Arial" w:cs="Arial"/>
                <w:sz w:val="16"/>
                <w:szCs w:val="16"/>
              </w:rPr>
              <w:t xml:space="preserve">   7,513 </w:t>
            </w:r>
          </w:p>
        </w:tc>
        <w:tc>
          <w:tcPr>
            <w:tcW w:w="473" w:type="pct"/>
            <w:tcBorders>
              <w:top w:val="nil"/>
              <w:left w:val="nil"/>
              <w:bottom w:val="nil"/>
              <w:right w:val="nil"/>
            </w:tcBorders>
            <w:shd w:val="clear" w:color="000000" w:fill="FFFFFF"/>
            <w:noWrap/>
            <w:vAlign w:val="bottom"/>
            <w:hideMark/>
          </w:tcPr>
          <w:p w14:paraId="6BA639BE" w14:textId="77777777" w:rsidR="00C40BFD" w:rsidRPr="002F63E8" w:rsidRDefault="00C40BFD" w:rsidP="00C40BFD">
            <w:pPr>
              <w:spacing w:after="0" w:line="240" w:lineRule="auto"/>
              <w:jc w:val="right"/>
              <w:rPr>
                <w:rFonts w:ascii="Arial" w:hAnsi="Arial" w:cs="Arial"/>
                <w:sz w:val="16"/>
                <w:szCs w:val="16"/>
              </w:rPr>
            </w:pPr>
            <w:r w:rsidRPr="002F63E8">
              <w:rPr>
                <w:rFonts w:ascii="Arial" w:hAnsi="Arial" w:cs="Arial"/>
                <w:sz w:val="16"/>
                <w:szCs w:val="16"/>
              </w:rPr>
              <w:t>14.8</w:t>
            </w:r>
          </w:p>
        </w:tc>
        <w:tc>
          <w:tcPr>
            <w:tcW w:w="446" w:type="pct"/>
            <w:tcBorders>
              <w:top w:val="nil"/>
              <w:left w:val="nil"/>
              <w:bottom w:val="nil"/>
              <w:right w:val="nil"/>
            </w:tcBorders>
            <w:shd w:val="clear" w:color="000000" w:fill="FFFFFF"/>
            <w:noWrap/>
            <w:vAlign w:val="bottom"/>
            <w:hideMark/>
          </w:tcPr>
          <w:p w14:paraId="63022AA1" w14:textId="77777777" w:rsidR="00C40BFD" w:rsidRPr="002F63E8" w:rsidRDefault="00C40BFD" w:rsidP="00C40BFD">
            <w:pPr>
              <w:spacing w:after="0" w:line="240" w:lineRule="auto"/>
              <w:jc w:val="right"/>
              <w:rPr>
                <w:rFonts w:ascii="Arial" w:hAnsi="Arial" w:cs="Arial"/>
                <w:sz w:val="16"/>
                <w:szCs w:val="16"/>
              </w:rPr>
            </w:pPr>
            <w:r w:rsidRPr="002F63E8">
              <w:rPr>
                <w:rFonts w:ascii="Arial" w:hAnsi="Arial" w:cs="Arial"/>
                <w:sz w:val="16"/>
                <w:szCs w:val="16"/>
              </w:rPr>
              <w:t xml:space="preserve">   7,056 </w:t>
            </w:r>
          </w:p>
        </w:tc>
        <w:tc>
          <w:tcPr>
            <w:tcW w:w="439" w:type="pct"/>
            <w:tcBorders>
              <w:top w:val="nil"/>
              <w:left w:val="nil"/>
              <w:bottom w:val="nil"/>
              <w:right w:val="nil"/>
            </w:tcBorders>
            <w:shd w:val="clear" w:color="000000" w:fill="FFFFFF"/>
            <w:noWrap/>
            <w:vAlign w:val="bottom"/>
            <w:hideMark/>
          </w:tcPr>
          <w:p w14:paraId="652A3F06" w14:textId="77777777" w:rsidR="00C40BFD" w:rsidRPr="002F63E8" w:rsidRDefault="00C40BFD" w:rsidP="00C40BFD">
            <w:pPr>
              <w:spacing w:after="0" w:line="240" w:lineRule="auto"/>
              <w:jc w:val="right"/>
              <w:rPr>
                <w:rFonts w:ascii="Arial" w:hAnsi="Arial" w:cs="Arial"/>
                <w:sz w:val="16"/>
                <w:szCs w:val="16"/>
              </w:rPr>
            </w:pPr>
            <w:r w:rsidRPr="002F63E8">
              <w:rPr>
                <w:rFonts w:ascii="Arial" w:hAnsi="Arial" w:cs="Arial"/>
                <w:sz w:val="16"/>
                <w:szCs w:val="16"/>
              </w:rPr>
              <w:t>17.1</w:t>
            </w:r>
          </w:p>
        </w:tc>
        <w:tc>
          <w:tcPr>
            <w:tcW w:w="479" w:type="pct"/>
            <w:tcBorders>
              <w:top w:val="nil"/>
              <w:left w:val="nil"/>
              <w:bottom w:val="nil"/>
              <w:right w:val="nil"/>
            </w:tcBorders>
            <w:shd w:val="clear" w:color="auto" w:fill="E1E8EB"/>
            <w:noWrap/>
            <w:vAlign w:val="bottom"/>
            <w:hideMark/>
          </w:tcPr>
          <w:p w14:paraId="20C0AF89" w14:textId="60D5074F" w:rsidR="00C40BFD" w:rsidRPr="002F63E8" w:rsidRDefault="00C40BFD" w:rsidP="00C40BFD">
            <w:pPr>
              <w:spacing w:after="0" w:line="240" w:lineRule="auto"/>
              <w:jc w:val="right"/>
              <w:rPr>
                <w:rFonts w:ascii="Arial" w:hAnsi="Arial" w:cs="Arial"/>
                <w:sz w:val="16"/>
                <w:szCs w:val="16"/>
              </w:rPr>
            </w:pPr>
            <w:r w:rsidRPr="002F63E8">
              <w:rPr>
                <w:rFonts w:ascii="Arial" w:hAnsi="Arial" w:cs="Arial"/>
                <w:sz w:val="16"/>
                <w:szCs w:val="16"/>
              </w:rPr>
              <w:t xml:space="preserve">   </w:t>
            </w:r>
            <w:r w:rsidR="002D065E">
              <w:rPr>
                <w:rFonts w:ascii="Arial" w:hAnsi="Arial" w:cs="Arial"/>
                <w:sz w:val="16"/>
                <w:szCs w:val="16"/>
              </w:rPr>
              <w:t>4,384</w:t>
            </w:r>
            <w:r w:rsidRPr="002F63E8">
              <w:rPr>
                <w:rFonts w:ascii="Arial" w:hAnsi="Arial" w:cs="Arial"/>
                <w:sz w:val="16"/>
                <w:szCs w:val="16"/>
              </w:rPr>
              <w:t xml:space="preserve"> </w:t>
            </w:r>
          </w:p>
        </w:tc>
        <w:tc>
          <w:tcPr>
            <w:tcW w:w="404" w:type="pct"/>
            <w:tcBorders>
              <w:top w:val="nil"/>
              <w:left w:val="nil"/>
              <w:bottom w:val="nil"/>
              <w:right w:val="nil"/>
            </w:tcBorders>
            <w:shd w:val="clear" w:color="auto" w:fill="E1E8EB"/>
            <w:noWrap/>
            <w:vAlign w:val="bottom"/>
            <w:hideMark/>
          </w:tcPr>
          <w:p w14:paraId="1B1AD2E5" w14:textId="7D4C0538" w:rsidR="00C40BFD" w:rsidRPr="002F63E8" w:rsidRDefault="00C40BFD" w:rsidP="00C40BFD">
            <w:pPr>
              <w:spacing w:after="0" w:line="240" w:lineRule="auto"/>
              <w:jc w:val="right"/>
              <w:rPr>
                <w:rFonts w:ascii="Arial" w:hAnsi="Arial" w:cs="Arial"/>
                <w:sz w:val="16"/>
                <w:szCs w:val="16"/>
              </w:rPr>
            </w:pPr>
            <w:r w:rsidRPr="002F63E8">
              <w:rPr>
                <w:rFonts w:ascii="Arial" w:hAnsi="Arial" w:cs="Arial"/>
                <w:sz w:val="16"/>
                <w:szCs w:val="16"/>
              </w:rPr>
              <w:t>1</w:t>
            </w:r>
            <w:r w:rsidR="002D065E">
              <w:rPr>
                <w:rFonts w:ascii="Arial" w:hAnsi="Arial" w:cs="Arial"/>
                <w:sz w:val="16"/>
                <w:szCs w:val="16"/>
              </w:rPr>
              <w:t>0.4</w:t>
            </w:r>
          </w:p>
        </w:tc>
      </w:tr>
      <w:tr w:rsidR="003772BD" w:rsidRPr="002F63E8" w14:paraId="5F88F0A0" w14:textId="77777777" w:rsidTr="009955B8">
        <w:trPr>
          <w:trHeight w:val="225"/>
        </w:trPr>
        <w:tc>
          <w:tcPr>
            <w:tcW w:w="1318" w:type="pct"/>
            <w:tcBorders>
              <w:top w:val="single" w:sz="4" w:space="0" w:color="auto"/>
              <w:left w:val="nil"/>
              <w:bottom w:val="single" w:sz="4" w:space="0" w:color="auto"/>
              <w:right w:val="nil"/>
            </w:tcBorders>
            <w:shd w:val="clear" w:color="000000" w:fill="FFFFFF"/>
            <w:noWrap/>
            <w:vAlign w:val="bottom"/>
            <w:hideMark/>
          </w:tcPr>
          <w:p w14:paraId="3933A48F" w14:textId="4D4C35E9" w:rsidR="00C40BFD" w:rsidRPr="002F63E8" w:rsidRDefault="00C40BFD" w:rsidP="00EB2480">
            <w:pPr>
              <w:spacing w:after="0" w:line="240" w:lineRule="auto"/>
              <w:jc w:val="left"/>
              <w:rPr>
                <w:rFonts w:ascii="Arial" w:hAnsi="Arial" w:cs="Arial"/>
                <w:b/>
                <w:bCs/>
                <w:sz w:val="16"/>
                <w:szCs w:val="16"/>
              </w:rPr>
            </w:pPr>
            <w:r w:rsidRPr="002F63E8">
              <w:rPr>
                <w:rFonts w:ascii="Arial" w:hAnsi="Arial" w:cs="Arial"/>
                <w:b/>
                <w:bCs/>
                <w:sz w:val="16"/>
                <w:szCs w:val="16"/>
              </w:rPr>
              <w:t xml:space="preserve">  </w:t>
            </w:r>
            <w:r w:rsidR="00D85FD9">
              <w:rPr>
                <w:rFonts w:ascii="Arial" w:hAnsi="Arial" w:cs="Arial"/>
                <w:b/>
                <w:bCs/>
                <w:sz w:val="16"/>
                <w:szCs w:val="16"/>
              </w:rPr>
              <w:t xml:space="preserve">Total </w:t>
            </w:r>
          </w:p>
        </w:tc>
        <w:tc>
          <w:tcPr>
            <w:tcW w:w="171" w:type="pct"/>
            <w:tcBorders>
              <w:top w:val="single" w:sz="4" w:space="0" w:color="auto"/>
              <w:left w:val="nil"/>
              <w:bottom w:val="single" w:sz="4" w:space="0" w:color="auto"/>
              <w:right w:val="nil"/>
            </w:tcBorders>
            <w:shd w:val="clear" w:color="000000" w:fill="FFFFFF"/>
            <w:noWrap/>
            <w:vAlign w:val="center"/>
            <w:hideMark/>
          </w:tcPr>
          <w:p w14:paraId="0D3CE77B" w14:textId="77777777" w:rsidR="00C40BFD" w:rsidRPr="002F63E8" w:rsidRDefault="00C40BFD" w:rsidP="006B32E3">
            <w:pPr>
              <w:spacing w:after="0" w:line="240" w:lineRule="auto"/>
              <w:jc w:val="right"/>
              <w:rPr>
                <w:rFonts w:ascii="Arial" w:hAnsi="Arial" w:cs="Arial"/>
                <w:b/>
                <w:bCs/>
                <w:sz w:val="16"/>
                <w:szCs w:val="16"/>
              </w:rPr>
            </w:pPr>
            <w:r w:rsidRPr="002F63E8">
              <w:rPr>
                <w:rFonts w:ascii="Arial" w:hAnsi="Arial" w:cs="Arial"/>
                <w:b/>
                <w:bCs/>
                <w:sz w:val="16"/>
                <w:szCs w:val="16"/>
              </w:rPr>
              <w:t> </w:t>
            </w:r>
          </w:p>
        </w:tc>
        <w:tc>
          <w:tcPr>
            <w:tcW w:w="458" w:type="pct"/>
            <w:tcBorders>
              <w:top w:val="single" w:sz="4" w:space="0" w:color="auto"/>
              <w:left w:val="nil"/>
              <w:bottom w:val="single" w:sz="4" w:space="0" w:color="auto"/>
              <w:right w:val="nil"/>
            </w:tcBorders>
            <w:shd w:val="clear" w:color="000000" w:fill="FFFFFF"/>
            <w:noWrap/>
            <w:vAlign w:val="center"/>
            <w:hideMark/>
          </w:tcPr>
          <w:p w14:paraId="748911E0" w14:textId="77777777" w:rsidR="00C40BFD" w:rsidRPr="002F63E8" w:rsidRDefault="00C40BFD" w:rsidP="00A742DE">
            <w:pPr>
              <w:spacing w:after="0" w:line="240" w:lineRule="auto"/>
              <w:jc w:val="right"/>
              <w:rPr>
                <w:rFonts w:ascii="Arial" w:hAnsi="Arial" w:cs="Arial"/>
                <w:b/>
                <w:bCs/>
                <w:sz w:val="16"/>
                <w:szCs w:val="16"/>
              </w:rPr>
            </w:pPr>
            <w:r w:rsidRPr="002F63E8">
              <w:rPr>
                <w:rFonts w:ascii="Arial" w:hAnsi="Arial" w:cs="Arial"/>
                <w:b/>
                <w:bCs/>
                <w:sz w:val="16"/>
                <w:szCs w:val="16"/>
              </w:rPr>
              <w:t>11,060</w:t>
            </w:r>
          </w:p>
        </w:tc>
        <w:tc>
          <w:tcPr>
            <w:tcW w:w="400" w:type="pct"/>
            <w:tcBorders>
              <w:top w:val="single" w:sz="4" w:space="0" w:color="auto"/>
              <w:left w:val="nil"/>
              <w:bottom w:val="single" w:sz="4" w:space="0" w:color="auto"/>
              <w:right w:val="nil"/>
            </w:tcBorders>
            <w:shd w:val="clear" w:color="000000" w:fill="FFFFFF"/>
            <w:noWrap/>
            <w:vAlign w:val="center"/>
            <w:hideMark/>
          </w:tcPr>
          <w:p w14:paraId="497FC76B" w14:textId="77777777" w:rsidR="00C40BFD" w:rsidRPr="002F63E8" w:rsidRDefault="00C40BFD" w:rsidP="00A742DE">
            <w:pPr>
              <w:spacing w:after="0" w:line="240" w:lineRule="auto"/>
              <w:jc w:val="right"/>
              <w:rPr>
                <w:rFonts w:ascii="Arial" w:hAnsi="Arial" w:cs="Arial"/>
                <w:b/>
                <w:bCs/>
                <w:sz w:val="16"/>
                <w:szCs w:val="16"/>
              </w:rPr>
            </w:pPr>
            <w:r w:rsidRPr="002F63E8">
              <w:rPr>
                <w:rFonts w:ascii="Arial" w:hAnsi="Arial" w:cs="Arial"/>
                <w:b/>
                <w:bCs/>
                <w:sz w:val="16"/>
                <w:szCs w:val="16"/>
              </w:rPr>
              <w:t>163.1</w:t>
            </w:r>
          </w:p>
        </w:tc>
        <w:tc>
          <w:tcPr>
            <w:tcW w:w="412" w:type="pct"/>
            <w:tcBorders>
              <w:top w:val="single" w:sz="4" w:space="0" w:color="auto"/>
              <w:left w:val="nil"/>
              <w:bottom w:val="single" w:sz="4" w:space="0" w:color="auto"/>
              <w:right w:val="nil"/>
            </w:tcBorders>
            <w:shd w:val="clear" w:color="000000" w:fill="FFFFFF"/>
            <w:noWrap/>
            <w:vAlign w:val="center"/>
            <w:hideMark/>
          </w:tcPr>
          <w:p w14:paraId="46123640" w14:textId="77777777" w:rsidR="00C40BFD" w:rsidRPr="002F63E8" w:rsidRDefault="00C40BFD" w:rsidP="00A742DE">
            <w:pPr>
              <w:spacing w:after="0" w:line="240" w:lineRule="auto"/>
              <w:jc w:val="right"/>
              <w:rPr>
                <w:rFonts w:ascii="Arial" w:hAnsi="Arial" w:cs="Arial"/>
                <w:b/>
                <w:bCs/>
                <w:sz w:val="16"/>
                <w:szCs w:val="16"/>
              </w:rPr>
            </w:pPr>
            <w:r w:rsidRPr="002F63E8">
              <w:rPr>
                <w:rFonts w:ascii="Arial" w:hAnsi="Arial" w:cs="Arial"/>
                <w:b/>
                <w:bCs/>
                <w:sz w:val="16"/>
                <w:szCs w:val="16"/>
              </w:rPr>
              <w:t xml:space="preserve">   8,688 </w:t>
            </w:r>
          </w:p>
        </w:tc>
        <w:tc>
          <w:tcPr>
            <w:tcW w:w="473" w:type="pct"/>
            <w:tcBorders>
              <w:top w:val="single" w:sz="4" w:space="0" w:color="auto"/>
              <w:left w:val="nil"/>
              <w:bottom w:val="single" w:sz="4" w:space="0" w:color="auto"/>
              <w:right w:val="nil"/>
            </w:tcBorders>
            <w:shd w:val="clear" w:color="000000" w:fill="FFFFFF"/>
            <w:noWrap/>
            <w:vAlign w:val="center"/>
            <w:hideMark/>
          </w:tcPr>
          <w:p w14:paraId="43B8220C" w14:textId="77777777" w:rsidR="00C40BFD" w:rsidRPr="002F63E8" w:rsidRDefault="00C40BFD" w:rsidP="00A742DE">
            <w:pPr>
              <w:spacing w:after="0" w:line="240" w:lineRule="auto"/>
              <w:jc w:val="right"/>
              <w:rPr>
                <w:rFonts w:ascii="Arial" w:hAnsi="Arial" w:cs="Arial"/>
                <w:b/>
                <w:bCs/>
                <w:sz w:val="16"/>
                <w:szCs w:val="16"/>
              </w:rPr>
            </w:pPr>
            <w:r w:rsidRPr="002F63E8">
              <w:rPr>
                <w:rFonts w:ascii="Arial" w:hAnsi="Arial" w:cs="Arial"/>
                <w:b/>
                <w:bCs/>
                <w:sz w:val="16"/>
                <w:szCs w:val="16"/>
              </w:rPr>
              <w:t>194.3</w:t>
            </w:r>
          </w:p>
        </w:tc>
        <w:tc>
          <w:tcPr>
            <w:tcW w:w="446" w:type="pct"/>
            <w:tcBorders>
              <w:top w:val="single" w:sz="4" w:space="0" w:color="auto"/>
              <w:left w:val="nil"/>
              <w:bottom w:val="single" w:sz="4" w:space="0" w:color="auto"/>
              <w:right w:val="nil"/>
            </w:tcBorders>
            <w:shd w:val="clear" w:color="000000" w:fill="FFFFFF"/>
            <w:noWrap/>
            <w:vAlign w:val="center"/>
            <w:hideMark/>
          </w:tcPr>
          <w:p w14:paraId="09FEF650" w14:textId="77777777" w:rsidR="00C40BFD" w:rsidRPr="002F63E8" w:rsidRDefault="00C40BFD" w:rsidP="00A742DE">
            <w:pPr>
              <w:spacing w:after="0" w:line="240" w:lineRule="auto"/>
              <w:jc w:val="right"/>
              <w:rPr>
                <w:rFonts w:ascii="Arial" w:hAnsi="Arial" w:cs="Arial"/>
                <w:b/>
                <w:bCs/>
                <w:sz w:val="16"/>
                <w:szCs w:val="16"/>
              </w:rPr>
            </w:pPr>
            <w:r w:rsidRPr="002F63E8">
              <w:rPr>
                <w:rFonts w:ascii="Arial" w:hAnsi="Arial" w:cs="Arial"/>
                <w:b/>
                <w:bCs/>
                <w:sz w:val="16"/>
                <w:szCs w:val="16"/>
              </w:rPr>
              <w:t xml:space="preserve">   8,207 </w:t>
            </w:r>
          </w:p>
        </w:tc>
        <w:tc>
          <w:tcPr>
            <w:tcW w:w="439" w:type="pct"/>
            <w:tcBorders>
              <w:top w:val="single" w:sz="4" w:space="0" w:color="auto"/>
              <w:left w:val="nil"/>
              <w:bottom w:val="single" w:sz="4" w:space="0" w:color="auto"/>
              <w:right w:val="nil"/>
            </w:tcBorders>
            <w:shd w:val="clear" w:color="000000" w:fill="FFFFFF"/>
            <w:noWrap/>
            <w:vAlign w:val="center"/>
            <w:hideMark/>
          </w:tcPr>
          <w:p w14:paraId="153C0746" w14:textId="77777777" w:rsidR="00C40BFD" w:rsidRPr="002F63E8" w:rsidRDefault="00C40BFD" w:rsidP="00A742DE">
            <w:pPr>
              <w:spacing w:after="0" w:line="240" w:lineRule="auto"/>
              <w:jc w:val="right"/>
              <w:rPr>
                <w:rFonts w:ascii="Arial" w:hAnsi="Arial" w:cs="Arial"/>
                <w:b/>
                <w:bCs/>
                <w:sz w:val="16"/>
                <w:szCs w:val="16"/>
              </w:rPr>
            </w:pPr>
            <w:r w:rsidRPr="002F63E8">
              <w:rPr>
                <w:rFonts w:ascii="Arial" w:hAnsi="Arial" w:cs="Arial"/>
                <w:b/>
                <w:bCs/>
                <w:sz w:val="16"/>
                <w:szCs w:val="16"/>
              </w:rPr>
              <w:t>195.5</w:t>
            </w:r>
          </w:p>
        </w:tc>
        <w:tc>
          <w:tcPr>
            <w:tcW w:w="479" w:type="pct"/>
            <w:tcBorders>
              <w:top w:val="single" w:sz="4" w:space="0" w:color="auto"/>
              <w:left w:val="nil"/>
              <w:bottom w:val="single" w:sz="4" w:space="0" w:color="auto"/>
              <w:right w:val="nil"/>
            </w:tcBorders>
            <w:shd w:val="clear" w:color="auto" w:fill="E1E8EB"/>
            <w:noWrap/>
            <w:vAlign w:val="center"/>
            <w:hideMark/>
          </w:tcPr>
          <w:p w14:paraId="3AEFC25A" w14:textId="485B8CC1" w:rsidR="00C40BFD" w:rsidRPr="002F63E8" w:rsidRDefault="00C40BFD" w:rsidP="00A742DE">
            <w:pPr>
              <w:spacing w:after="0" w:line="240" w:lineRule="auto"/>
              <w:jc w:val="right"/>
              <w:rPr>
                <w:rFonts w:ascii="Arial" w:hAnsi="Arial" w:cs="Arial"/>
                <w:b/>
                <w:bCs/>
                <w:sz w:val="16"/>
                <w:szCs w:val="16"/>
              </w:rPr>
            </w:pPr>
            <w:r w:rsidRPr="002F63E8">
              <w:rPr>
                <w:rFonts w:ascii="Arial" w:hAnsi="Arial" w:cs="Arial"/>
                <w:b/>
                <w:bCs/>
                <w:sz w:val="16"/>
                <w:szCs w:val="16"/>
              </w:rPr>
              <w:t xml:space="preserve">   </w:t>
            </w:r>
            <w:r w:rsidR="002D065E">
              <w:rPr>
                <w:rFonts w:ascii="Arial" w:hAnsi="Arial" w:cs="Arial"/>
                <w:b/>
                <w:bCs/>
                <w:sz w:val="16"/>
                <w:szCs w:val="16"/>
              </w:rPr>
              <w:t>6,594</w:t>
            </w:r>
            <w:r w:rsidRPr="002F63E8">
              <w:rPr>
                <w:rFonts w:ascii="Arial" w:hAnsi="Arial" w:cs="Arial"/>
                <w:b/>
                <w:bCs/>
                <w:sz w:val="16"/>
                <w:szCs w:val="16"/>
              </w:rPr>
              <w:t xml:space="preserve"> </w:t>
            </w:r>
          </w:p>
        </w:tc>
        <w:tc>
          <w:tcPr>
            <w:tcW w:w="404" w:type="pct"/>
            <w:tcBorders>
              <w:top w:val="single" w:sz="4" w:space="0" w:color="auto"/>
              <w:left w:val="nil"/>
              <w:bottom w:val="single" w:sz="4" w:space="0" w:color="auto"/>
              <w:right w:val="nil"/>
            </w:tcBorders>
            <w:shd w:val="clear" w:color="auto" w:fill="E1E8EB"/>
            <w:noWrap/>
            <w:vAlign w:val="center"/>
            <w:hideMark/>
          </w:tcPr>
          <w:p w14:paraId="1AFFB9D5" w14:textId="2190B8FC" w:rsidR="00C40BFD" w:rsidRPr="002F63E8" w:rsidRDefault="00C40BFD" w:rsidP="00A742DE">
            <w:pPr>
              <w:spacing w:after="0" w:line="240" w:lineRule="auto"/>
              <w:jc w:val="right"/>
              <w:rPr>
                <w:rFonts w:ascii="Arial" w:hAnsi="Arial" w:cs="Arial"/>
                <w:b/>
                <w:bCs/>
                <w:sz w:val="16"/>
                <w:szCs w:val="16"/>
              </w:rPr>
            </w:pPr>
            <w:r w:rsidRPr="002F63E8">
              <w:rPr>
                <w:rFonts w:ascii="Arial" w:hAnsi="Arial" w:cs="Arial"/>
                <w:b/>
                <w:bCs/>
                <w:sz w:val="16"/>
                <w:szCs w:val="16"/>
              </w:rPr>
              <w:t>23</w:t>
            </w:r>
            <w:r w:rsidR="002D065E">
              <w:rPr>
                <w:rFonts w:ascii="Arial" w:hAnsi="Arial" w:cs="Arial"/>
                <w:b/>
                <w:bCs/>
                <w:sz w:val="16"/>
                <w:szCs w:val="16"/>
              </w:rPr>
              <w:t>3.0</w:t>
            </w:r>
          </w:p>
        </w:tc>
      </w:tr>
    </w:tbl>
    <w:p w14:paraId="7F58C7E1" w14:textId="6C6338C6" w:rsidR="004768BA" w:rsidRDefault="004768BA" w:rsidP="004768BA">
      <w:pPr>
        <w:pStyle w:val="ChartorTableNote"/>
      </w:pPr>
      <w:r w:rsidRPr="00BF48CD">
        <w:t xml:space="preserve">Before republishing this data or comparing between years, thoroughly review the methodological and data caveats in Appendix </w:t>
      </w:r>
      <w:r w:rsidRPr="00BD2674">
        <w:t>B.</w:t>
      </w:r>
      <w:r w:rsidRPr="00BF48CD">
        <w:t xml:space="preserve"> </w:t>
      </w:r>
    </w:p>
    <w:p w14:paraId="57BCC68F" w14:textId="77777777" w:rsidR="0009137E" w:rsidRPr="008F11F0" w:rsidRDefault="0009137E" w:rsidP="0009137E">
      <w:pPr>
        <w:pStyle w:val="SingleParagraph"/>
      </w:pPr>
    </w:p>
    <w:p w14:paraId="001A49CC" w14:textId="77777777" w:rsidR="0009137E" w:rsidRPr="00820C89" w:rsidRDefault="0009137E" w:rsidP="00655CC7">
      <w:pPr>
        <w:pStyle w:val="Heading3noTOC"/>
      </w:pPr>
      <w:bookmarkStart w:id="116" w:name="_Toc80368782"/>
      <w:bookmarkStart w:id="117" w:name="_Toc87014316"/>
      <w:r w:rsidRPr="00820C89">
        <w:t>Agriculture, forestry and fishing</w:t>
      </w:r>
      <w:bookmarkEnd w:id="116"/>
      <w:bookmarkEnd w:id="117"/>
    </w:p>
    <w:p w14:paraId="5538C8B6" w14:textId="5A1767FC" w:rsidR="00634B81" w:rsidRDefault="0009137E" w:rsidP="009542CF">
      <w:r>
        <w:t>T</w:t>
      </w:r>
      <w:r w:rsidRPr="00820C89">
        <w:t xml:space="preserve">here </w:t>
      </w:r>
      <w:r w:rsidRPr="00CC27B9">
        <w:t>were 1</w:t>
      </w:r>
      <w:r w:rsidR="00854E7B" w:rsidRPr="00CC27B9">
        <w:t>90</w:t>
      </w:r>
      <w:r w:rsidRPr="00CC27B9">
        <w:t xml:space="preserve"> approvals </w:t>
      </w:r>
      <w:r w:rsidR="00DD0D56" w:rsidRPr="00CC27B9">
        <w:t xml:space="preserve">of proposed investment worth </w:t>
      </w:r>
      <w:r w:rsidRPr="00CC27B9">
        <w:t>$</w:t>
      </w:r>
      <w:r w:rsidR="00854E7B" w:rsidRPr="00CC27B9">
        <w:t>5</w:t>
      </w:r>
      <w:r w:rsidRPr="00CC27B9">
        <w:t>.</w:t>
      </w:r>
      <w:r w:rsidR="00854E7B" w:rsidRPr="00CC27B9">
        <w:t>8</w:t>
      </w:r>
      <w:r w:rsidRPr="00CC27B9">
        <w:t xml:space="preserve"> billion in the agriculture, forestry and fishing sector. The largest source countries of investment by value in this sector were </w:t>
      </w:r>
      <w:r w:rsidR="00854E7B" w:rsidRPr="00CC27B9">
        <w:t>the United</w:t>
      </w:r>
      <w:r w:rsidR="00C64693">
        <w:t> </w:t>
      </w:r>
      <w:r w:rsidR="00854E7B" w:rsidRPr="00CC27B9">
        <w:t>States</w:t>
      </w:r>
      <w:r w:rsidRPr="00CC27B9">
        <w:t xml:space="preserve"> ($</w:t>
      </w:r>
      <w:r w:rsidR="00854E7B" w:rsidRPr="00CC27B9">
        <w:t>874.7</w:t>
      </w:r>
      <w:r w:rsidR="003E7C79">
        <w:t> </w:t>
      </w:r>
      <w:r w:rsidR="00854E7B" w:rsidRPr="00CC27B9">
        <w:t>million</w:t>
      </w:r>
      <w:r w:rsidRPr="00CC27B9">
        <w:t xml:space="preserve">) and </w:t>
      </w:r>
      <w:r w:rsidR="00854E7B" w:rsidRPr="00CC27B9">
        <w:t>Canada</w:t>
      </w:r>
      <w:r w:rsidRPr="00CC27B9">
        <w:t xml:space="preserve"> ($</w:t>
      </w:r>
      <w:r w:rsidR="00854E7B" w:rsidRPr="00CC27B9">
        <w:t>818.</w:t>
      </w:r>
      <w:r w:rsidR="00DD0D56" w:rsidRPr="00CC27B9">
        <w:t>5</w:t>
      </w:r>
      <w:r w:rsidRPr="00CC27B9">
        <w:t> </w:t>
      </w:r>
      <w:r w:rsidR="00854E7B" w:rsidRPr="00CC27B9">
        <w:t>m</w:t>
      </w:r>
      <w:r w:rsidRPr="00CC27B9">
        <w:t>illion) (see</w:t>
      </w:r>
      <w:r w:rsidR="00C64693">
        <w:t> </w:t>
      </w:r>
      <w:r w:rsidRPr="00CC27B9">
        <w:t>Table</w:t>
      </w:r>
      <w:r w:rsidR="00C64693">
        <w:t> </w:t>
      </w:r>
      <w:r w:rsidRPr="00CC27B9">
        <w:t>3.17).</w:t>
      </w:r>
    </w:p>
    <w:p w14:paraId="31E7D4E7" w14:textId="77777777" w:rsidR="00EC798B" w:rsidRPr="00820C89" w:rsidRDefault="00EC798B" w:rsidP="00655CC7">
      <w:pPr>
        <w:pStyle w:val="Heading3noTOC"/>
      </w:pPr>
      <w:bookmarkStart w:id="118" w:name="_Toc80368783"/>
      <w:bookmarkStart w:id="119" w:name="_Toc87014317"/>
      <w:r w:rsidRPr="00820C89">
        <w:t>Finance and insurance</w:t>
      </w:r>
      <w:bookmarkEnd w:id="118"/>
      <w:bookmarkEnd w:id="119"/>
    </w:p>
    <w:p w14:paraId="25DF7D2F" w14:textId="46B32423" w:rsidR="00EC798B" w:rsidRPr="00D85FD9" w:rsidRDefault="00DD0D56" w:rsidP="00EC798B">
      <w:r>
        <w:t xml:space="preserve">There were 79 approvals of </w:t>
      </w:r>
      <w:r w:rsidRPr="00D85FD9">
        <w:t>proposed investment worth $10.7</w:t>
      </w:r>
      <w:r w:rsidR="003E7C79">
        <w:t> </w:t>
      </w:r>
      <w:r w:rsidRPr="00D85FD9">
        <w:t xml:space="preserve">billion </w:t>
      </w:r>
      <w:r w:rsidR="00EC798B" w:rsidRPr="00D85FD9">
        <w:t xml:space="preserve">in the finance and insurance sector. </w:t>
      </w:r>
      <w:r w:rsidR="00811B02">
        <w:t xml:space="preserve">In </w:t>
      </w:r>
      <w:r w:rsidR="00D76ED2">
        <w:t>2020</w:t>
      </w:r>
      <w:r w:rsidR="00D76ED2">
        <w:noBreakHyphen/>
        <w:t>21</w:t>
      </w:r>
      <w:r w:rsidR="00811B02">
        <w:t xml:space="preserve">, the value of approvals decreased by </w:t>
      </w:r>
      <w:r w:rsidR="00EC798B" w:rsidRPr="00D85FD9">
        <w:t>$</w:t>
      </w:r>
      <w:r w:rsidR="004C2B5C" w:rsidRPr="00D85FD9">
        <w:t>2</w:t>
      </w:r>
      <w:r w:rsidR="00EC798B" w:rsidRPr="00D85FD9">
        <w:t>.</w:t>
      </w:r>
      <w:r w:rsidR="004C2B5C" w:rsidRPr="00D85FD9">
        <w:t>9</w:t>
      </w:r>
      <w:r w:rsidR="00EC798B" w:rsidRPr="00D85FD9">
        <w:t xml:space="preserve"> billion compared to </w:t>
      </w:r>
      <w:r w:rsidR="00D76ED2">
        <w:t>2019</w:t>
      </w:r>
      <w:r w:rsidR="00D76ED2">
        <w:noBreakHyphen/>
        <w:t>20</w:t>
      </w:r>
      <w:r w:rsidR="00EC798B" w:rsidRPr="00D85FD9">
        <w:t>.</w:t>
      </w:r>
    </w:p>
    <w:p w14:paraId="4DDD90AA" w14:textId="1332B60F" w:rsidR="009542CF" w:rsidRDefault="00EC798B" w:rsidP="009542CF">
      <w:r w:rsidRPr="00D85FD9">
        <w:t>The United</w:t>
      </w:r>
      <w:r w:rsidR="00C64693">
        <w:t> </w:t>
      </w:r>
      <w:r w:rsidRPr="00D85FD9">
        <w:t>States was the largest source country of investment by value in this sector ($2.</w:t>
      </w:r>
      <w:r w:rsidR="001B133C" w:rsidRPr="00D85FD9">
        <w:t>3</w:t>
      </w:r>
      <w:r w:rsidRPr="00D85FD9">
        <w:t xml:space="preserve"> billion), </w:t>
      </w:r>
      <w:r w:rsidR="00811B02">
        <w:t>and</w:t>
      </w:r>
      <w:r w:rsidRPr="00D85FD9">
        <w:t xml:space="preserve"> </w:t>
      </w:r>
      <w:r w:rsidR="001B133C" w:rsidRPr="00D85FD9">
        <w:t xml:space="preserve">China </w:t>
      </w:r>
      <w:r w:rsidR="00811B02">
        <w:t xml:space="preserve">was </w:t>
      </w:r>
      <w:r w:rsidRPr="00D85FD9">
        <w:t xml:space="preserve">the </w:t>
      </w:r>
      <w:r w:rsidR="00811B02">
        <w:t>second</w:t>
      </w:r>
      <w:r w:rsidRPr="00D85FD9">
        <w:t xml:space="preserve"> largest source country ($</w:t>
      </w:r>
      <w:r w:rsidR="001B133C" w:rsidRPr="00D85FD9">
        <w:t>1</w:t>
      </w:r>
      <w:r w:rsidRPr="00D85FD9">
        <w:t>.</w:t>
      </w:r>
      <w:r w:rsidR="001B133C" w:rsidRPr="00D85FD9">
        <w:t>9</w:t>
      </w:r>
      <w:r w:rsidR="00A44160">
        <w:t> </w:t>
      </w:r>
      <w:r w:rsidRPr="00D85FD9">
        <w:t>billion) (see</w:t>
      </w:r>
      <w:r w:rsidR="00C64693">
        <w:t> </w:t>
      </w:r>
      <w:r w:rsidRPr="00D85FD9">
        <w:t>Table 3.17).</w:t>
      </w:r>
    </w:p>
    <w:p w14:paraId="1D93551D" w14:textId="77777777" w:rsidR="00EC798B" w:rsidRPr="00820C89" w:rsidRDefault="00EC798B" w:rsidP="00655CC7">
      <w:pPr>
        <w:pStyle w:val="Heading3noTOC"/>
      </w:pPr>
      <w:bookmarkStart w:id="120" w:name="_Toc80368784"/>
      <w:bookmarkStart w:id="121" w:name="_Toc87014318"/>
      <w:r w:rsidRPr="00820C89">
        <w:t>Manufacturing, electricity and gas</w:t>
      </w:r>
      <w:bookmarkEnd w:id="120"/>
      <w:bookmarkEnd w:id="121"/>
    </w:p>
    <w:p w14:paraId="3834FEB2" w14:textId="419CA874" w:rsidR="00EC798B" w:rsidRPr="00820C89" w:rsidRDefault="00EC798B" w:rsidP="00EC798B">
      <w:r>
        <w:t>T</w:t>
      </w:r>
      <w:r w:rsidRPr="00820C89">
        <w:t>here w</w:t>
      </w:r>
      <w:r w:rsidR="00811B02">
        <w:t>ere 187 proposals worth</w:t>
      </w:r>
      <w:r w:rsidRPr="00820C89">
        <w:t xml:space="preserve"> </w:t>
      </w:r>
      <w:r w:rsidRPr="00762A93">
        <w:t>$3</w:t>
      </w:r>
      <w:r w:rsidR="00762A93" w:rsidRPr="00762A93">
        <w:t>5</w:t>
      </w:r>
      <w:r w:rsidR="00762A93">
        <w:t>.</w:t>
      </w:r>
      <w:r w:rsidR="00DD0D56">
        <w:t>8</w:t>
      </w:r>
      <w:r w:rsidRPr="00762A93">
        <w:t xml:space="preserve"> billion </w:t>
      </w:r>
      <w:r w:rsidR="00833D51">
        <w:t xml:space="preserve">approved </w:t>
      </w:r>
      <w:r w:rsidRPr="00820C89">
        <w:t>in the manufacturing, electricity and gas sector</w:t>
      </w:r>
      <w:r>
        <w:t xml:space="preserve"> (see</w:t>
      </w:r>
      <w:r w:rsidR="009A30B1">
        <w:t> </w:t>
      </w:r>
      <w:r>
        <w:t>Table</w:t>
      </w:r>
      <w:r w:rsidR="009A30B1">
        <w:t> </w:t>
      </w:r>
      <w:r w:rsidRPr="00762A93">
        <w:t>3.8</w:t>
      </w:r>
      <w:r>
        <w:t>)</w:t>
      </w:r>
      <w:r w:rsidRPr="00820C89">
        <w:t xml:space="preserve">. This represents </w:t>
      </w:r>
      <w:r w:rsidRPr="00762A93">
        <w:t>a $</w:t>
      </w:r>
      <w:r w:rsidR="00762A93" w:rsidRPr="00762A93">
        <w:t>2</w:t>
      </w:r>
      <w:r w:rsidRPr="00762A93">
        <w:t>.</w:t>
      </w:r>
      <w:r w:rsidR="009E503F">
        <w:t>8</w:t>
      </w:r>
      <w:r w:rsidRPr="00762A93">
        <w:t xml:space="preserve"> billion </w:t>
      </w:r>
      <w:r w:rsidR="00762A93" w:rsidRPr="00762A93">
        <w:t xml:space="preserve">increase </w:t>
      </w:r>
      <w:r w:rsidR="00833D51">
        <w:t>in the value of approvals</w:t>
      </w:r>
      <w:r w:rsidRPr="00820C89">
        <w:t xml:space="preserve"> recorded </w:t>
      </w:r>
      <w:r w:rsidRPr="00762A93">
        <w:t xml:space="preserve">in </w:t>
      </w:r>
      <w:r w:rsidR="00D76ED2">
        <w:t>2019</w:t>
      </w:r>
      <w:r w:rsidR="00D76ED2">
        <w:noBreakHyphen/>
        <w:t>20</w:t>
      </w:r>
      <w:r w:rsidRPr="00762A93">
        <w:t>.</w:t>
      </w:r>
    </w:p>
    <w:p w14:paraId="50332483" w14:textId="0482601E" w:rsidR="00EC798B" w:rsidRPr="00820C89" w:rsidRDefault="00EC798B" w:rsidP="00EC798B">
      <w:r>
        <w:t xml:space="preserve">This was </w:t>
      </w:r>
      <w:r w:rsidRPr="00820C89">
        <w:t>the result of a</w:t>
      </w:r>
      <w:r w:rsidR="00DE1E4A">
        <w:t>n</w:t>
      </w:r>
      <w:r w:rsidRPr="00820C89">
        <w:t xml:space="preserve"> </w:t>
      </w:r>
      <w:r w:rsidR="009241E9" w:rsidRPr="006266B3">
        <w:t>increase</w:t>
      </w:r>
      <w:r w:rsidRPr="006266B3">
        <w:t xml:space="preserve"> </w:t>
      </w:r>
      <w:r>
        <w:t xml:space="preserve">in the value of approvals in the </w:t>
      </w:r>
      <w:r w:rsidR="00BE1F25" w:rsidRPr="006266B3">
        <w:t xml:space="preserve">electricity </w:t>
      </w:r>
      <w:r w:rsidR="00AE430D" w:rsidRPr="006266B3">
        <w:t>&amp;</w:t>
      </w:r>
      <w:r w:rsidR="00BE1F25" w:rsidRPr="006266B3">
        <w:t xml:space="preserve"> gas supply</w:t>
      </w:r>
      <w:r w:rsidRPr="006266B3">
        <w:t xml:space="preserve"> </w:t>
      </w:r>
      <w:r w:rsidR="00AE430D" w:rsidRPr="006266B3">
        <w:t>group</w:t>
      </w:r>
      <w:r w:rsidRPr="006266B3">
        <w:t xml:space="preserve"> ($</w:t>
      </w:r>
      <w:r w:rsidR="00BE1F25" w:rsidRPr="006266B3">
        <w:t>12</w:t>
      </w:r>
      <w:r w:rsidRPr="006266B3">
        <w:t>.</w:t>
      </w:r>
      <w:r w:rsidR="00BE1F25" w:rsidRPr="006266B3">
        <w:t>1</w:t>
      </w:r>
      <w:r w:rsidRPr="006266B3">
        <w:t> billion)</w:t>
      </w:r>
      <w:r w:rsidR="00AE430D" w:rsidRPr="006266B3">
        <w:t>.</w:t>
      </w:r>
      <w:r w:rsidR="00AE430D">
        <w:t xml:space="preserve"> This increase offset the decrease in the value of approvals in the chemical, petroleum </w:t>
      </w:r>
      <w:r w:rsidR="00B035E9">
        <w:t>&amp;</w:t>
      </w:r>
      <w:r w:rsidR="00AE430D">
        <w:t xml:space="preserve"> coal products group, </w:t>
      </w:r>
      <w:r w:rsidR="00B035E9">
        <w:t xml:space="preserve">the </w:t>
      </w:r>
      <w:r w:rsidR="00AE430D">
        <w:t xml:space="preserve">food, beverages </w:t>
      </w:r>
      <w:r w:rsidR="00B035E9">
        <w:t>&amp;</w:t>
      </w:r>
      <w:r w:rsidR="00AE430D">
        <w:t xml:space="preserve"> tobacco group</w:t>
      </w:r>
      <w:r w:rsidR="00B035E9">
        <w:t>,</w:t>
      </w:r>
      <w:r w:rsidR="00AE430D">
        <w:t xml:space="preserve"> and the </w:t>
      </w:r>
      <w:r w:rsidR="00065800">
        <w:t>‘</w:t>
      </w:r>
      <w:r w:rsidR="00AE430D">
        <w:t>other</w:t>
      </w:r>
      <w:r w:rsidR="00065800">
        <w:t>’</w:t>
      </w:r>
      <w:r w:rsidR="00AE430D">
        <w:t xml:space="preserve"> group. </w:t>
      </w:r>
      <w:bookmarkStart w:id="122" w:name="_Toc32247766"/>
      <w:r w:rsidR="00B035E9">
        <w:t>Spain</w:t>
      </w:r>
      <w:r w:rsidR="00D73BE4" w:rsidRPr="006266B3" w:rsidDel="00B035E9">
        <w:t xml:space="preserve"> </w:t>
      </w:r>
      <w:r w:rsidR="00D73BE4" w:rsidRPr="006266B3">
        <w:t xml:space="preserve">was the </w:t>
      </w:r>
      <w:r w:rsidRPr="00820C89">
        <w:t>largest source country of investment by value in this sector (</w:t>
      </w:r>
      <w:r w:rsidRPr="006266B3">
        <w:t>$</w:t>
      </w:r>
      <w:r w:rsidR="00B035E9">
        <w:t>5</w:t>
      </w:r>
      <w:r w:rsidRPr="006266B3">
        <w:t>.</w:t>
      </w:r>
      <w:r w:rsidR="00B035E9">
        <w:t>0</w:t>
      </w:r>
      <w:r w:rsidRPr="006266B3">
        <w:t> billion</w:t>
      </w:r>
      <w:r w:rsidRPr="00820C89">
        <w:t xml:space="preserve">), followed by </w:t>
      </w:r>
      <w:r w:rsidR="00B035E9">
        <w:t>the United States</w:t>
      </w:r>
      <w:r w:rsidRPr="00820C89">
        <w:t xml:space="preserve"> (</w:t>
      </w:r>
      <w:r w:rsidRPr="006266B3">
        <w:t>$</w:t>
      </w:r>
      <w:r w:rsidR="00D73BE4" w:rsidRPr="006266B3">
        <w:t>3.</w:t>
      </w:r>
      <w:r w:rsidR="00B035E9">
        <w:t>9</w:t>
      </w:r>
      <w:r w:rsidRPr="006266B3">
        <w:t> billion</w:t>
      </w:r>
      <w:r w:rsidRPr="00820C89">
        <w:t xml:space="preserve">), </w:t>
      </w:r>
      <w:r w:rsidR="00B035E9">
        <w:t>Canada</w:t>
      </w:r>
      <w:r w:rsidRPr="00820C89">
        <w:t xml:space="preserve"> (</w:t>
      </w:r>
      <w:r w:rsidRPr="006266B3">
        <w:t>$</w:t>
      </w:r>
      <w:r w:rsidR="00D73BE4" w:rsidRPr="006266B3">
        <w:t>3.</w:t>
      </w:r>
      <w:r w:rsidR="00B035E9">
        <w:t>5</w:t>
      </w:r>
      <w:r w:rsidRPr="006266B3">
        <w:t> billion</w:t>
      </w:r>
      <w:r w:rsidRPr="00820C89">
        <w:t xml:space="preserve">) and </w:t>
      </w:r>
      <w:r w:rsidR="00B035E9">
        <w:t>China</w:t>
      </w:r>
      <w:r w:rsidRPr="00820C89">
        <w:t xml:space="preserve"> (</w:t>
      </w:r>
      <w:r w:rsidRPr="006266B3">
        <w:t>$1.</w:t>
      </w:r>
      <w:r w:rsidR="00D73BE4" w:rsidRPr="006266B3">
        <w:t>5</w:t>
      </w:r>
      <w:r w:rsidRPr="006266B3">
        <w:t> billion</w:t>
      </w:r>
      <w:r w:rsidRPr="00820C89">
        <w:t>)</w:t>
      </w:r>
      <w:r>
        <w:t xml:space="preserve"> (see</w:t>
      </w:r>
      <w:r w:rsidR="00C64693">
        <w:t> </w:t>
      </w:r>
      <w:r>
        <w:t>Table </w:t>
      </w:r>
      <w:r w:rsidRPr="006266B3">
        <w:t>3.17</w:t>
      </w:r>
      <w:r>
        <w:t>)</w:t>
      </w:r>
      <w:r w:rsidRPr="00820C89">
        <w:t>.</w:t>
      </w:r>
    </w:p>
    <w:p w14:paraId="4DA8AE4E" w14:textId="71EF8F02" w:rsidR="008F2798" w:rsidRPr="009955B8" w:rsidRDefault="008F2798" w:rsidP="009955B8">
      <w:pPr>
        <w:pStyle w:val="TableMainHeading"/>
      </w:pPr>
      <w:bookmarkStart w:id="123" w:name="_Toc89939942"/>
      <w:bookmarkEnd w:id="122"/>
      <w:r w:rsidRPr="009955B8">
        <w:lastRenderedPageBreak/>
        <w:t xml:space="preserve">Table </w:t>
      </w:r>
      <w:fldSimple w:instr=" STYLEREF 1 \s ">
        <w:r w:rsidR="0019342F">
          <w:rPr>
            <w:noProof/>
          </w:rPr>
          <w:t>3</w:t>
        </w:r>
      </w:fldSimple>
      <w:r w:rsidR="009812FE" w:rsidRPr="009955B8">
        <w:t>.</w:t>
      </w:r>
      <w:fldSimple w:instr=" SEQ Table \* ARABIC \s 1 ">
        <w:r w:rsidR="0019342F">
          <w:rPr>
            <w:noProof/>
          </w:rPr>
          <w:t>8</w:t>
        </w:r>
      </w:fldSimple>
      <w:r w:rsidRPr="009955B8">
        <w:t>: Manufacturing, electricity and gas sector approvals</w:t>
      </w:r>
      <w:r w:rsidR="00F07785" w:rsidRPr="009955B8">
        <w:t>,</w:t>
      </w:r>
      <w:r w:rsidRPr="009955B8">
        <w:t xml:space="preserve"> </w:t>
      </w:r>
      <w:r w:rsidR="00DC1928">
        <w:t>2017</w:t>
      </w:r>
      <w:r w:rsidR="00DC1928">
        <w:noBreakHyphen/>
        <w:t>18</w:t>
      </w:r>
      <w:r w:rsidRPr="009955B8">
        <w:t xml:space="preserve"> to </w:t>
      </w:r>
      <w:r w:rsidR="00D76ED2">
        <w:t>2020</w:t>
      </w:r>
      <w:r w:rsidR="00D76ED2">
        <w:noBreakHyphen/>
        <w:t>21</w:t>
      </w:r>
      <w:bookmarkEnd w:id="123"/>
    </w:p>
    <w:tbl>
      <w:tblPr>
        <w:tblW w:w="5000" w:type="pct"/>
        <w:tblLook w:val="04A0" w:firstRow="1" w:lastRow="0" w:firstColumn="1" w:lastColumn="0" w:noHBand="0" w:noVBand="1"/>
      </w:tblPr>
      <w:tblGrid>
        <w:gridCol w:w="3701"/>
        <w:gridCol w:w="465"/>
        <w:gridCol w:w="528"/>
        <w:gridCol w:w="465"/>
        <w:gridCol w:w="528"/>
        <w:gridCol w:w="483"/>
        <w:gridCol w:w="529"/>
        <w:gridCol w:w="483"/>
        <w:gridCol w:w="528"/>
      </w:tblGrid>
      <w:tr w:rsidR="004A5FEC" w:rsidRPr="00023C48" w14:paraId="29734764" w14:textId="77777777" w:rsidTr="009955B8">
        <w:trPr>
          <w:trHeight w:val="227"/>
        </w:trPr>
        <w:tc>
          <w:tcPr>
            <w:tcW w:w="2401" w:type="pct"/>
            <w:tcBorders>
              <w:top w:val="single" w:sz="4" w:space="0" w:color="auto"/>
              <w:left w:val="nil"/>
              <w:bottom w:val="nil"/>
              <w:right w:val="nil"/>
            </w:tcBorders>
            <w:shd w:val="clear" w:color="000000" w:fill="FFFFFF"/>
            <w:noWrap/>
            <w:vAlign w:val="center"/>
            <w:hideMark/>
          </w:tcPr>
          <w:p w14:paraId="5DB942B3" w14:textId="77777777" w:rsidR="004A5FEC" w:rsidRPr="00023C48" w:rsidRDefault="004A5FEC" w:rsidP="004A5FEC">
            <w:pPr>
              <w:keepNext/>
              <w:keepLines/>
              <w:spacing w:after="0" w:line="240" w:lineRule="auto"/>
              <w:jc w:val="left"/>
              <w:rPr>
                <w:rFonts w:ascii="Calibri" w:hAnsi="Calibri" w:cs="Calibri"/>
                <w:sz w:val="22"/>
                <w:szCs w:val="22"/>
              </w:rPr>
            </w:pPr>
            <w:r w:rsidRPr="00023C48">
              <w:rPr>
                <w:rFonts w:ascii="Calibri" w:hAnsi="Calibri" w:cs="Calibri"/>
                <w:sz w:val="22"/>
                <w:szCs w:val="22"/>
              </w:rPr>
              <w:t> </w:t>
            </w:r>
          </w:p>
        </w:tc>
        <w:tc>
          <w:tcPr>
            <w:tcW w:w="644" w:type="pct"/>
            <w:gridSpan w:val="2"/>
            <w:tcBorders>
              <w:top w:val="single" w:sz="4" w:space="0" w:color="auto"/>
              <w:left w:val="nil"/>
              <w:bottom w:val="single" w:sz="4" w:space="0" w:color="auto"/>
              <w:right w:val="nil"/>
            </w:tcBorders>
            <w:shd w:val="clear" w:color="000000" w:fill="FFFFFF"/>
            <w:noWrap/>
            <w:vAlign w:val="center"/>
            <w:hideMark/>
          </w:tcPr>
          <w:p w14:paraId="2740C1FE" w14:textId="4FA0EBBB" w:rsidR="004A5FEC" w:rsidRPr="004A5FEC" w:rsidRDefault="00DC1928" w:rsidP="004A5FEC">
            <w:pPr>
              <w:keepNext/>
              <w:keepLines/>
              <w:spacing w:after="0" w:line="240" w:lineRule="auto"/>
              <w:jc w:val="right"/>
              <w:rPr>
                <w:rFonts w:ascii="Arial" w:hAnsi="Arial" w:cs="Arial"/>
                <w:color w:val="auto"/>
                <w:sz w:val="16"/>
                <w:szCs w:val="16"/>
              </w:rPr>
            </w:pPr>
            <w:r>
              <w:rPr>
                <w:rFonts w:ascii="Arial" w:hAnsi="Arial" w:cs="Arial"/>
                <w:color w:val="auto"/>
                <w:sz w:val="16"/>
                <w:szCs w:val="16"/>
              </w:rPr>
              <w:t>2017</w:t>
            </w:r>
            <w:r>
              <w:rPr>
                <w:rFonts w:ascii="Arial" w:hAnsi="Arial" w:cs="Arial"/>
                <w:color w:val="auto"/>
                <w:sz w:val="16"/>
                <w:szCs w:val="16"/>
              </w:rPr>
              <w:noBreakHyphen/>
              <w:t>18</w:t>
            </w:r>
          </w:p>
        </w:tc>
        <w:tc>
          <w:tcPr>
            <w:tcW w:w="644" w:type="pct"/>
            <w:gridSpan w:val="2"/>
            <w:tcBorders>
              <w:top w:val="single" w:sz="4" w:space="0" w:color="auto"/>
              <w:left w:val="nil"/>
              <w:bottom w:val="single" w:sz="4" w:space="0" w:color="auto"/>
              <w:right w:val="nil"/>
            </w:tcBorders>
            <w:shd w:val="clear" w:color="auto" w:fill="auto"/>
            <w:noWrap/>
            <w:vAlign w:val="center"/>
            <w:hideMark/>
          </w:tcPr>
          <w:p w14:paraId="7A5EF580" w14:textId="6E12C0CF" w:rsidR="004A5FEC" w:rsidRPr="004A5FEC" w:rsidRDefault="00C17F09" w:rsidP="004A5FEC">
            <w:pPr>
              <w:keepNext/>
              <w:keepLines/>
              <w:spacing w:after="0" w:line="240" w:lineRule="auto"/>
              <w:jc w:val="right"/>
              <w:rPr>
                <w:rFonts w:ascii="Arial" w:hAnsi="Arial" w:cs="Arial"/>
                <w:color w:val="auto"/>
                <w:sz w:val="16"/>
                <w:szCs w:val="16"/>
              </w:rPr>
            </w:pPr>
            <w:r>
              <w:rPr>
                <w:rFonts w:ascii="Arial" w:hAnsi="Arial" w:cs="Arial"/>
                <w:color w:val="auto"/>
                <w:sz w:val="16"/>
                <w:szCs w:val="16"/>
              </w:rPr>
              <w:t>2018</w:t>
            </w:r>
            <w:r>
              <w:rPr>
                <w:rFonts w:ascii="Arial" w:hAnsi="Arial" w:cs="Arial"/>
                <w:color w:val="auto"/>
                <w:sz w:val="16"/>
                <w:szCs w:val="16"/>
              </w:rPr>
              <w:noBreakHyphen/>
              <w:t>19</w:t>
            </w:r>
          </w:p>
        </w:tc>
        <w:tc>
          <w:tcPr>
            <w:tcW w:w="656" w:type="pct"/>
            <w:gridSpan w:val="2"/>
            <w:tcBorders>
              <w:top w:val="single" w:sz="4" w:space="0" w:color="auto"/>
              <w:left w:val="nil"/>
              <w:bottom w:val="single" w:sz="4" w:space="0" w:color="auto"/>
              <w:right w:val="nil"/>
            </w:tcBorders>
            <w:shd w:val="clear" w:color="000000" w:fill="FFFFFF"/>
            <w:noWrap/>
            <w:vAlign w:val="center"/>
            <w:hideMark/>
          </w:tcPr>
          <w:p w14:paraId="27FD339A" w14:textId="78000E72" w:rsidR="004A5FEC" w:rsidRPr="004A5FEC" w:rsidRDefault="00D76ED2" w:rsidP="004A5FEC">
            <w:pPr>
              <w:keepNext/>
              <w:keepLines/>
              <w:spacing w:after="0" w:line="240" w:lineRule="auto"/>
              <w:jc w:val="right"/>
              <w:rPr>
                <w:rFonts w:ascii="Arial" w:hAnsi="Arial" w:cs="Arial"/>
                <w:color w:val="auto"/>
                <w:sz w:val="16"/>
                <w:szCs w:val="16"/>
              </w:rPr>
            </w:pPr>
            <w:r>
              <w:rPr>
                <w:rFonts w:ascii="Arial" w:hAnsi="Arial" w:cs="Arial"/>
                <w:color w:val="auto"/>
                <w:sz w:val="16"/>
                <w:szCs w:val="16"/>
              </w:rPr>
              <w:t>2019</w:t>
            </w:r>
            <w:r>
              <w:rPr>
                <w:rFonts w:ascii="Arial" w:hAnsi="Arial" w:cs="Arial"/>
                <w:color w:val="auto"/>
                <w:sz w:val="16"/>
                <w:szCs w:val="16"/>
              </w:rPr>
              <w:noBreakHyphen/>
              <w:t>20</w:t>
            </w:r>
          </w:p>
        </w:tc>
        <w:tc>
          <w:tcPr>
            <w:tcW w:w="656" w:type="pct"/>
            <w:gridSpan w:val="2"/>
            <w:tcBorders>
              <w:top w:val="single" w:sz="4" w:space="0" w:color="auto"/>
              <w:left w:val="nil"/>
              <w:bottom w:val="single" w:sz="4" w:space="0" w:color="auto"/>
              <w:right w:val="nil"/>
            </w:tcBorders>
            <w:shd w:val="clear" w:color="auto" w:fill="E1E8EB"/>
            <w:noWrap/>
            <w:vAlign w:val="center"/>
            <w:hideMark/>
          </w:tcPr>
          <w:p w14:paraId="37B1576A" w14:textId="2483E052" w:rsidR="004A5FEC" w:rsidRPr="004A5FEC" w:rsidRDefault="00D76ED2" w:rsidP="004A5FEC">
            <w:pPr>
              <w:keepNext/>
              <w:keepLines/>
              <w:spacing w:after="0" w:line="240" w:lineRule="auto"/>
              <w:jc w:val="right"/>
              <w:rPr>
                <w:rFonts w:ascii="Arial" w:hAnsi="Arial" w:cs="Arial"/>
                <w:color w:val="auto"/>
                <w:sz w:val="16"/>
                <w:szCs w:val="16"/>
              </w:rPr>
            </w:pPr>
            <w:r>
              <w:rPr>
                <w:rFonts w:ascii="Arial" w:hAnsi="Arial" w:cs="Arial"/>
                <w:color w:val="auto"/>
                <w:sz w:val="16"/>
                <w:szCs w:val="16"/>
              </w:rPr>
              <w:t>2020</w:t>
            </w:r>
            <w:r>
              <w:rPr>
                <w:rFonts w:ascii="Arial" w:hAnsi="Arial" w:cs="Arial"/>
                <w:color w:val="auto"/>
                <w:sz w:val="16"/>
                <w:szCs w:val="16"/>
              </w:rPr>
              <w:noBreakHyphen/>
              <w:t>21</w:t>
            </w:r>
          </w:p>
        </w:tc>
      </w:tr>
      <w:tr w:rsidR="00EC798B" w:rsidRPr="00023C48" w14:paraId="36FA8B08" w14:textId="77777777" w:rsidTr="009955B8">
        <w:trPr>
          <w:trHeight w:val="227"/>
        </w:trPr>
        <w:tc>
          <w:tcPr>
            <w:tcW w:w="2401" w:type="pct"/>
            <w:tcBorders>
              <w:top w:val="nil"/>
              <w:left w:val="nil"/>
              <w:bottom w:val="single" w:sz="4" w:space="0" w:color="auto"/>
              <w:right w:val="nil"/>
            </w:tcBorders>
            <w:shd w:val="clear" w:color="000000" w:fill="FFFFFF"/>
            <w:vAlign w:val="center"/>
            <w:hideMark/>
          </w:tcPr>
          <w:p w14:paraId="46867E8D" w14:textId="77777777" w:rsidR="00EC798B" w:rsidRPr="00023C48" w:rsidRDefault="00EC798B" w:rsidP="00EC798B">
            <w:pPr>
              <w:keepNext/>
              <w:keepLines/>
              <w:spacing w:after="0" w:line="240" w:lineRule="auto"/>
              <w:jc w:val="left"/>
              <w:rPr>
                <w:rFonts w:ascii="Arial" w:hAnsi="Arial" w:cs="Arial"/>
                <w:color w:val="auto"/>
                <w:sz w:val="16"/>
                <w:szCs w:val="16"/>
              </w:rPr>
            </w:pPr>
            <w:r w:rsidRPr="00023C48">
              <w:rPr>
                <w:rFonts w:ascii="Arial" w:hAnsi="Arial" w:cs="Arial"/>
                <w:color w:val="auto"/>
                <w:sz w:val="16"/>
                <w:szCs w:val="16"/>
              </w:rPr>
              <w:t>Group</w:t>
            </w:r>
          </w:p>
        </w:tc>
        <w:tc>
          <w:tcPr>
            <w:tcW w:w="302" w:type="pct"/>
            <w:tcBorders>
              <w:top w:val="nil"/>
              <w:left w:val="nil"/>
              <w:bottom w:val="single" w:sz="4" w:space="0" w:color="auto"/>
              <w:right w:val="nil"/>
            </w:tcBorders>
            <w:shd w:val="clear" w:color="000000" w:fill="FFFFFF"/>
            <w:vAlign w:val="center"/>
            <w:hideMark/>
          </w:tcPr>
          <w:p w14:paraId="30B1BC0B" w14:textId="77777777" w:rsidR="00EC798B" w:rsidRPr="00023C48" w:rsidRDefault="00EC798B" w:rsidP="00EC798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No.</w:t>
            </w:r>
          </w:p>
        </w:tc>
        <w:tc>
          <w:tcPr>
            <w:tcW w:w="342" w:type="pct"/>
            <w:tcBorders>
              <w:top w:val="nil"/>
              <w:left w:val="nil"/>
              <w:bottom w:val="single" w:sz="4" w:space="0" w:color="auto"/>
              <w:right w:val="nil"/>
            </w:tcBorders>
            <w:shd w:val="clear" w:color="000000" w:fill="FFFFFF"/>
            <w:vAlign w:val="bottom"/>
            <w:hideMark/>
          </w:tcPr>
          <w:p w14:paraId="2D87BD27" w14:textId="77777777" w:rsidR="00EC798B" w:rsidRPr="00023C48" w:rsidRDefault="00EC798B" w:rsidP="00EC798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$b</w:t>
            </w:r>
          </w:p>
        </w:tc>
        <w:tc>
          <w:tcPr>
            <w:tcW w:w="302" w:type="pct"/>
            <w:tcBorders>
              <w:top w:val="nil"/>
              <w:left w:val="nil"/>
              <w:bottom w:val="single" w:sz="4" w:space="0" w:color="auto"/>
              <w:right w:val="nil"/>
            </w:tcBorders>
            <w:shd w:val="clear" w:color="000000" w:fill="FFFFFF"/>
            <w:vAlign w:val="center"/>
            <w:hideMark/>
          </w:tcPr>
          <w:p w14:paraId="4B703BC3" w14:textId="77777777" w:rsidR="00EC798B" w:rsidRPr="00023C48" w:rsidRDefault="00EC798B" w:rsidP="00EC798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No.</w:t>
            </w:r>
          </w:p>
        </w:tc>
        <w:tc>
          <w:tcPr>
            <w:tcW w:w="342" w:type="pct"/>
            <w:tcBorders>
              <w:top w:val="nil"/>
              <w:left w:val="nil"/>
              <w:bottom w:val="single" w:sz="4" w:space="0" w:color="auto"/>
              <w:right w:val="nil"/>
            </w:tcBorders>
            <w:shd w:val="clear" w:color="000000" w:fill="FFFFFF"/>
            <w:vAlign w:val="bottom"/>
            <w:hideMark/>
          </w:tcPr>
          <w:p w14:paraId="2BB18354" w14:textId="77777777" w:rsidR="00EC798B" w:rsidRPr="00023C48" w:rsidRDefault="00EC798B" w:rsidP="00EC798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$b</w:t>
            </w:r>
          </w:p>
        </w:tc>
        <w:tc>
          <w:tcPr>
            <w:tcW w:w="313" w:type="pct"/>
            <w:tcBorders>
              <w:top w:val="nil"/>
              <w:left w:val="nil"/>
              <w:bottom w:val="single" w:sz="4" w:space="0" w:color="auto"/>
              <w:right w:val="nil"/>
            </w:tcBorders>
            <w:shd w:val="clear" w:color="000000" w:fill="FFFFFF"/>
            <w:vAlign w:val="center"/>
            <w:hideMark/>
          </w:tcPr>
          <w:p w14:paraId="5407FF09" w14:textId="77777777" w:rsidR="00EC798B" w:rsidRPr="00023C48" w:rsidRDefault="00EC798B" w:rsidP="00EC798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No.</w:t>
            </w:r>
          </w:p>
        </w:tc>
        <w:tc>
          <w:tcPr>
            <w:tcW w:w="342" w:type="pct"/>
            <w:tcBorders>
              <w:top w:val="nil"/>
              <w:left w:val="nil"/>
              <w:bottom w:val="single" w:sz="4" w:space="0" w:color="auto"/>
              <w:right w:val="nil"/>
            </w:tcBorders>
            <w:shd w:val="clear" w:color="000000" w:fill="FFFFFF"/>
            <w:vAlign w:val="bottom"/>
            <w:hideMark/>
          </w:tcPr>
          <w:p w14:paraId="51CFEE16" w14:textId="77777777" w:rsidR="00EC798B" w:rsidRPr="00023C48" w:rsidRDefault="00EC798B" w:rsidP="00EC798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$b</w:t>
            </w:r>
          </w:p>
        </w:tc>
        <w:tc>
          <w:tcPr>
            <w:tcW w:w="313" w:type="pct"/>
            <w:tcBorders>
              <w:top w:val="nil"/>
              <w:left w:val="nil"/>
              <w:bottom w:val="single" w:sz="4" w:space="0" w:color="auto"/>
              <w:right w:val="nil"/>
            </w:tcBorders>
            <w:shd w:val="clear" w:color="auto" w:fill="E1E8EB"/>
            <w:vAlign w:val="center"/>
            <w:hideMark/>
          </w:tcPr>
          <w:p w14:paraId="30ED9876" w14:textId="77777777" w:rsidR="00EC798B" w:rsidRPr="00023C48" w:rsidRDefault="00EC798B" w:rsidP="00EC798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No.</w:t>
            </w:r>
          </w:p>
        </w:tc>
        <w:tc>
          <w:tcPr>
            <w:tcW w:w="342" w:type="pct"/>
            <w:tcBorders>
              <w:top w:val="nil"/>
              <w:left w:val="nil"/>
              <w:bottom w:val="single" w:sz="4" w:space="0" w:color="auto"/>
              <w:right w:val="nil"/>
            </w:tcBorders>
            <w:shd w:val="clear" w:color="auto" w:fill="E1E8EB"/>
            <w:vAlign w:val="bottom"/>
            <w:hideMark/>
          </w:tcPr>
          <w:p w14:paraId="25FEB1DF" w14:textId="77777777" w:rsidR="00EC798B" w:rsidRPr="00023C48" w:rsidRDefault="00EC798B" w:rsidP="00EC798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$b</w:t>
            </w:r>
          </w:p>
        </w:tc>
      </w:tr>
      <w:tr w:rsidR="004A5FEC" w:rsidRPr="00023C48" w14:paraId="420A67B1" w14:textId="77777777" w:rsidTr="009955B8">
        <w:trPr>
          <w:trHeight w:val="227"/>
        </w:trPr>
        <w:tc>
          <w:tcPr>
            <w:tcW w:w="2401" w:type="pct"/>
            <w:tcBorders>
              <w:top w:val="nil"/>
              <w:left w:val="nil"/>
              <w:bottom w:val="nil"/>
              <w:right w:val="nil"/>
            </w:tcBorders>
            <w:shd w:val="clear" w:color="000000" w:fill="FFFFFF"/>
            <w:vAlign w:val="center"/>
            <w:hideMark/>
          </w:tcPr>
          <w:p w14:paraId="44B495A3" w14:textId="77777777" w:rsidR="004A5FEC" w:rsidRPr="00023C48" w:rsidRDefault="004A5FEC" w:rsidP="004A5FEC">
            <w:pPr>
              <w:keepNext/>
              <w:keepLines/>
              <w:spacing w:after="0" w:line="240" w:lineRule="auto"/>
              <w:jc w:val="left"/>
              <w:rPr>
                <w:rFonts w:ascii="Arial" w:hAnsi="Arial" w:cs="Arial"/>
                <w:color w:val="auto"/>
                <w:sz w:val="16"/>
                <w:szCs w:val="16"/>
              </w:rPr>
            </w:pPr>
            <w:r w:rsidRPr="00023C48">
              <w:rPr>
                <w:rFonts w:ascii="Arial" w:hAnsi="Arial" w:cs="Arial"/>
                <w:color w:val="auto"/>
                <w:sz w:val="16"/>
                <w:szCs w:val="16"/>
              </w:rPr>
              <w:t>Chemical, petroleum &amp;</w:t>
            </w:r>
            <w:r w:rsidRPr="00023C48">
              <w:rPr>
                <w:rFonts w:ascii="Arial" w:hAnsi="Arial" w:cs="Arial"/>
                <w:color w:val="auto"/>
                <w:sz w:val="16"/>
                <w:szCs w:val="16"/>
              </w:rPr>
              <w:br/>
              <w:t xml:space="preserve">  coal products</w:t>
            </w:r>
          </w:p>
        </w:tc>
        <w:tc>
          <w:tcPr>
            <w:tcW w:w="302" w:type="pct"/>
            <w:tcBorders>
              <w:top w:val="nil"/>
              <w:left w:val="nil"/>
              <w:bottom w:val="nil"/>
              <w:right w:val="nil"/>
            </w:tcBorders>
            <w:shd w:val="clear" w:color="000000" w:fill="FFFFFF"/>
            <w:noWrap/>
            <w:vAlign w:val="center"/>
            <w:hideMark/>
          </w:tcPr>
          <w:p w14:paraId="5EDD5EFC" w14:textId="0BBC5E77"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2</w:t>
            </w:r>
          </w:p>
        </w:tc>
        <w:tc>
          <w:tcPr>
            <w:tcW w:w="342" w:type="pct"/>
            <w:tcBorders>
              <w:top w:val="nil"/>
              <w:left w:val="nil"/>
              <w:bottom w:val="nil"/>
              <w:right w:val="nil"/>
            </w:tcBorders>
            <w:shd w:val="clear" w:color="000000" w:fill="FFFFFF"/>
            <w:noWrap/>
            <w:vAlign w:val="center"/>
            <w:hideMark/>
          </w:tcPr>
          <w:p w14:paraId="6D91E267" w14:textId="5480BA52"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0.3</w:t>
            </w:r>
          </w:p>
        </w:tc>
        <w:tc>
          <w:tcPr>
            <w:tcW w:w="302" w:type="pct"/>
            <w:tcBorders>
              <w:top w:val="nil"/>
              <w:left w:val="nil"/>
              <w:bottom w:val="nil"/>
              <w:right w:val="nil"/>
            </w:tcBorders>
            <w:shd w:val="clear" w:color="000000" w:fill="FFFFFF"/>
            <w:noWrap/>
            <w:vAlign w:val="center"/>
          </w:tcPr>
          <w:p w14:paraId="10A78919" w14:textId="6978B361"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4</w:t>
            </w:r>
          </w:p>
        </w:tc>
        <w:tc>
          <w:tcPr>
            <w:tcW w:w="342" w:type="pct"/>
            <w:tcBorders>
              <w:top w:val="nil"/>
              <w:left w:val="nil"/>
              <w:bottom w:val="nil"/>
              <w:right w:val="nil"/>
            </w:tcBorders>
            <w:shd w:val="clear" w:color="000000" w:fill="FFFFFF"/>
            <w:noWrap/>
            <w:vAlign w:val="center"/>
          </w:tcPr>
          <w:p w14:paraId="06434B58" w14:textId="5686770A"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4.4</w:t>
            </w:r>
          </w:p>
        </w:tc>
        <w:tc>
          <w:tcPr>
            <w:tcW w:w="313" w:type="pct"/>
            <w:tcBorders>
              <w:top w:val="nil"/>
              <w:left w:val="nil"/>
              <w:bottom w:val="nil"/>
              <w:right w:val="nil"/>
            </w:tcBorders>
            <w:shd w:val="clear" w:color="000000" w:fill="FFFFFF"/>
            <w:noWrap/>
            <w:vAlign w:val="center"/>
          </w:tcPr>
          <w:p w14:paraId="5EAE187A" w14:textId="7F919C8F"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3</w:t>
            </w:r>
          </w:p>
        </w:tc>
        <w:tc>
          <w:tcPr>
            <w:tcW w:w="342" w:type="pct"/>
            <w:tcBorders>
              <w:top w:val="nil"/>
              <w:left w:val="nil"/>
              <w:bottom w:val="nil"/>
              <w:right w:val="nil"/>
            </w:tcBorders>
            <w:shd w:val="clear" w:color="000000" w:fill="FFFFFF"/>
            <w:noWrap/>
            <w:vAlign w:val="center"/>
          </w:tcPr>
          <w:p w14:paraId="57EDF249" w14:textId="103029AA"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0.7</w:t>
            </w:r>
          </w:p>
        </w:tc>
        <w:tc>
          <w:tcPr>
            <w:tcW w:w="313" w:type="pct"/>
            <w:tcBorders>
              <w:top w:val="nil"/>
              <w:left w:val="nil"/>
              <w:bottom w:val="nil"/>
              <w:right w:val="nil"/>
            </w:tcBorders>
            <w:shd w:val="clear" w:color="auto" w:fill="E1E8EB"/>
            <w:noWrap/>
            <w:vAlign w:val="center"/>
          </w:tcPr>
          <w:p w14:paraId="5E74BEEC" w14:textId="79FA2406" w:rsidR="004A5FEC" w:rsidRPr="0087590F" w:rsidRDefault="004A5FEC" w:rsidP="004A5FEC">
            <w:pPr>
              <w:keepNext/>
              <w:keepLines/>
              <w:spacing w:after="0" w:line="240" w:lineRule="auto"/>
              <w:jc w:val="right"/>
              <w:rPr>
                <w:rFonts w:ascii="Arial" w:hAnsi="Arial" w:cs="Arial"/>
                <w:color w:val="auto"/>
                <w:sz w:val="16"/>
                <w:szCs w:val="16"/>
                <w:highlight w:val="yellow"/>
              </w:rPr>
            </w:pPr>
            <w:r w:rsidRPr="002C1CAA">
              <w:rPr>
                <w:rFonts w:ascii="Arial" w:hAnsi="Arial" w:cs="Arial"/>
                <w:sz w:val="16"/>
                <w:szCs w:val="16"/>
              </w:rPr>
              <w:t>4</w:t>
            </w:r>
          </w:p>
        </w:tc>
        <w:tc>
          <w:tcPr>
            <w:tcW w:w="342" w:type="pct"/>
            <w:tcBorders>
              <w:top w:val="nil"/>
              <w:left w:val="nil"/>
              <w:bottom w:val="nil"/>
              <w:right w:val="nil"/>
            </w:tcBorders>
            <w:shd w:val="clear" w:color="auto" w:fill="E1E8EB"/>
            <w:noWrap/>
            <w:vAlign w:val="center"/>
          </w:tcPr>
          <w:p w14:paraId="3FCD4CDC" w14:textId="0C44E8DA" w:rsidR="004A5FEC" w:rsidRPr="0087590F" w:rsidRDefault="004A5FEC" w:rsidP="004A5FEC">
            <w:pPr>
              <w:keepNext/>
              <w:keepLines/>
              <w:spacing w:after="0" w:line="240" w:lineRule="auto"/>
              <w:jc w:val="right"/>
              <w:rPr>
                <w:rFonts w:ascii="Arial" w:hAnsi="Arial" w:cs="Arial"/>
                <w:color w:val="auto"/>
                <w:sz w:val="16"/>
                <w:szCs w:val="16"/>
                <w:highlight w:val="yellow"/>
              </w:rPr>
            </w:pPr>
            <w:r w:rsidRPr="002C1CAA">
              <w:rPr>
                <w:rFonts w:ascii="Arial" w:hAnsi="Arial" w:cs="Arial"/>
                <w:sz w:val="16"/>
                <w:szCs w:val="16"/>
              </w:rPr>
              <w:t>0.1</w:t>
            </w:r>
          </w:p>
        </w:tc>
      </w:tr>
      <w:tr w:rsidR="004A5FEC" w:rsidRPr="00023C48" w14:paraId="02A33F53" w14:textId="77777777" w:rsidTr="009955B8">
        <w:trPr>
          <w:trHeight w:val="227"/>
        </w:trPr>
        <w:tc>
          <w:tcPr>
            <w:tcW w:w="2401" w:type="pct"/>
            <w:tcBorders>
              <w:top w:val="nil"/>
              <w:left w:val="nil"/>
              <w:bottom w:val="nil"/>
              <w:right w:val="nil"/>
            </w:tcBorders>
            <w:shd w:val="clear" w:color="000000" w:fill="FFFFFF"/>
            <w:noWrap/>
            <w:vAlign w:val="center"/>
            <w:hideMark/>
          </w:tcPr>
          <w:p w14:paraId="2438CDFD" w14:textId="77777777" w:rsidR="004A5FEC" w:rsidRPr="00023C48" w:rsidRDefault="004A5FEC" w:rsidP="004A5FEC">
            <w:pPr>
              <w:keepNext/>
              <w:keepLines/>
              <w:spacing w:after="0" w:line="240" w:lineRule="auto"/>
              <w:jc w:val="left"/>
              <w:rPr>
                <w:rFonts w:ascii="Arial" w:hAnsi="Arial" w:cs="Arial"/>
                <w:color w:val="auto"/>
                <w:sz w:val="16"/>
                <w:szCs w:val="16"/>
              </w:rPr>
            </w:pPr>
            <w:r w:rsidRPr="00023C48">
              <w:rPr>
                <w:rFonts w:ascii="Arial" w:hAnsi="Arial" w:cs="Arial"/>
                <w:color w:val="auto"/>
                <w:sz w:val="16"/>
                <w:szCs w:val="16"/>
              </w:rPr>
              <w:t>Electricity &amp; gas supply</w:t>
            </w:r>
          </w:p>
        </w:tc>
        <w:tc>
          <w:tcPr>
            <w:tcW w:w="302" w:type="pct"/>
            <w:tcBorders>
              <w:top w:val="nil"/>
              <w:left w:val="nil"/>
              <w:bottom w:val="nil"/>
              <w:right w:val="nil"/>
            </w:tcBorders>
            <w:shd w:val="clear" w:color="000000" w:fill="FFFFFF"/>
            <w:noWrap/>
            <w:vAlign w:val="center"/>
            <w:hideMark/>
          </w:tcPr>
          <w:p w14:paraId="324330D6" w14:textId="24F2E41E"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52</w:t>
            </w:r>
          </w:p>
        </w:tc>
        <w:tc>
          <w:tcPr>
            <w:tcW w:w="342" w:type="pct"/>
            <w:tcBorders>
              <w:top w:val="nil"/>
              <w:left w:val="nil"/>
              <w:bottom w:val="nil"/>
              <w:right w:val="nil"/>
            </w:tcBorders>
            <w:shd w:val="clear" w:color="000000" w:fill="FFFFFF"/>
            <w:noWrap/>
            <w:vAlign w:val="center"/>
            <w:hideMark/>
          </w:tcPr>
          <w:p w14:paraId="56B557FC" w14:textId="15261F67"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9.3</w:t>
            </w:r>
          </w:p>
        </w:tc>
        <w:tc>
          <w:tcPr>
            <w:tcW w:w="302" w:type="pct"/>
            <w:tcBorders>
              <w:top w:val="nil"/>
              <w:left w:val="nil"/>
              <w:bottom w:val="nil"/>
              <w:right w:val="nil"/>
            </w:tcBorders>
            <w:shd w:val="clear" w:color="000000" w:fill="FFFFFF"/>
            <w:noWrap/>
            <w:vAlign w:val="center"/>
          </w:tcPr>
          <w:p w14:paraId="05FD3B03" w14:textId="728F7759"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47</w:t>
            </w:r>
          </w:p>
        </w:tc>
        <w:tc>
          <w:tcPr>
            <w:tcW w:w="342" w:type="pct"/>
            <w:tcBorders>
              <w:top w:val="nil"/>
              <w:left w:val="nil"/>
              <w:bottom w:val="nil"/>
              <w:right w:val="nil"/>
            </w:tcBorders>
            <w:shd w:val="clear" w:color="000000" w:fill="FFFFFF"/>
            <w:noWrap/>
            <w:vAlign w:val="center"/>
          </w:tcPr>
          <w:p w14:paraId="5ECD9B1C" w14:textId="04E295BC"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3.7</w:t>
            </w:r>
          </w:p>
        </w:tc>
        <w:tc>
          <w:tcPr>
            <w:tcW w:w="313" w:type="pct"/>
            <w:tcBorders>
              <w:top w:val="nil"/>
              <w:left w:val="nil"/>
              <w:bottom w:val="nil"/>
              <w:right w:val="nil"/>
            </w:tcBorders>
            <w:shd w:val="clear" w:color="000000" w:fill="FFFFFF"/>
            <w:noWrap/>
            <w:vAlign w:val="center"/>
          </w:tcPr>
          <w:p w14:paraId="10C463C8" w14:textId="0396FF47"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65</w:t>
            </w:r>
          </w:p>
        </w:tc>
        <w:tc>
          <w:tcPr>
            <w:tcW w:w="342" w:type="pct"/>
            <w:tcBorders>
              <w:top w:val="nil"/>
              <w:left w:val="nil"/>
              <w:bottom w:val="nil"/>
              <w:right w:val="nil"/>
            </w:tcBorders>
            <w:shd w:val="clear" w:color="000000" w:fill="FFFFFF"/>
            <w:noWrap/>
            <w:vAlign w:val="center"/>
          </w:tcPr>
          <w:p w14:paraId="5934A4A1" w14:textId="52CC0030"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5.6</w:t>
            </w:r>
          </w:p>
        </w:tc>
        <w:tc>
          <w:tcPr>
            <w:tcW w:w="313" w:type="pct"/>
            <w:tcBorders>
              <w:top w:val="nil"/>
              <w:left w:val="nil"/>
              <w:bottom w:val="nil"/>
              <w:right w:val="nil"/>
            </w:tcBorders>
            <w:shd w:val="clear" w:color="auto" w:fill="E1E8EB"/>
            <w:noWrap/>
            <w:vAlign w:val="center"/>
          </w:tcPr>
          <w:p w14:paraId="539C9E70" w14:textId="694E086D" w:rsidR="004A5FEC" w:rsidRPr="0087590F" w:rsidRDefault="009E503F" w:rsidP="004A5FEC">
            <w:pPr>
              <w:keepNext/>
              <w:keepLines/>
              <w:spacing w:after="0" w:line="240" w:lineRule="auto"/>
              <w:jc w:val="right"/>
              <w:rPr>
                <w:rFonts w:ascii="Arial" w:hAnsi="Arial" w:cs="Arial"/>
                <w:color w:val="auto"/>
                <w:sz w:val="16"/>
                <w:szCs w:val="16"/>
                <w:highlight w:val="yellow"/>
              </w:rPr>
            </w:pPr>
            <w:r>
              <w:rPr>
                <w:rFonts w:ascii="Arial" w:hAnsi="Arial" w:cs="Arial"/>
                <w:sz w:val="16"/>
                <w:szCs w:val="16"/>
              </w:rPr>
              <w:t>84</w:t>
            </w:r>
          </w:p>
        </w:tc>
        <w:tc>
          <w:tcPr>
            <w:tcW w:w="342" w:type="pct"/>
            <w:tcBorders>
              <w:top w:val="nil"/>
              <w:left w:val="nil"/>
              <w:bottom w:val="nil"/>
              <w:right w:val="nil"/>
            </w:tcBorders>
            <w:shd w:val="clear" w:color="auto" w:fill="E1E8EB"/>
            <w:noWrap/>
            <w:vAlign w:val="center"/>
          </w:tcPr>
          <w:p w14:paraId="3A770262" w14:textId="519B9346" w:rsidR="004A5FEC" w:rsidRPr="0087590F" w:rsidRDefault="004A5FEC" w:rsidP="004A5FEC">
            <w:pPr>
              <w:keepNext/>
              <w:keepLines/>
              <w:spacing w:after="0" w:line="240" w:lineRule="auto"/>
              <w:jc w:val="right"/>
              <w:rPr>
                <w:rFonts w:ascii="Arial" w:hAnsi="Arial" w:cs="Arial"/>
                <w:color w:val="auto"/>
                <w:sz w:val="16"/>
                <w:szCs w:val="16"/>
                <w:highlight w:val="yellow"/>
              </w:rPr>
            </w:pPr>
            <w:r w:rsidRPr="002C1CAA">
              <w:rPr>
                <w:rFonts w:ascii="Arial" w:hAnsi="Arial" w:cs="Arial"/>
                <w:sz w:val="16"/>
                <w:szCs w:val="16"/>
              </w:rPr>
              <w:t>17.7</w:t>
            </w:r>
          </w:p>
        </w:tc>
      </w:tr>
      <w:tr w:rsidR="004A5FEC" w:rsidRPr="00023C48" w14:paraId="57C6C771" w14:textId="77777777" w:rsidTr="009955B8">
        <w:trPr>
          <w:trHeight w:val="227"/>
        </w:trPr>
        <w:tc>
          <w:tcPr>
            <w:tcW w:w="2401" w:type="pct"/>
            <w:tcBorders>
              <w:top w:val="nil"/>
              <w:left w:val="nil"/>
              <w:bottom w:val="nil"/>
              <w:right w:val="nil"/>
            </w:tcBorders>
            <w:shd w:val="clear" w:color="000000" w:fill="FFFFFF"/>
            <w:noWrap/>
            <w:vAlign w:val="center"/>
            <w:hideMark/>
          </w:tcPr>
          <w:p w14:paraId="4BC0FED6" w14:textId="77777777" w:rsidR="004A5FEC" w:rsidRPr="00023C48" w:rsidRDefault="004A5FEC" w:rsidP="004A5FEC">
            <w:pPr>
              <w:keepNext/>
              <w:keepLines/>
              <w:spacing w:after="0" w:line="240" w:lineRule="auto"/>
              <w:jc w:val="left"/>
              <w:rPr>
                <w:rFonts w:ascii="Arial" w:hAnsi="Arial" w:cs="Arial"/>
                <w:color w:val="auto"/>
                <w:sz w:val="16"/>
                <w:szCs w:val="16"/>
              </w:rPr>
            </w:pPr>
            <w:r w:rsidRPr="00023C48">
              <w:rPr>
                <w:rFonts w:ascii="Arial" w:hAnsi="Arial" w:cs="Arial"/>
                <w:color w:val="auto"/>
                <w:sz w:val="16"/>
                <w:szCs w:val="16"/>
              </w:rPr>
              <w:t>Food, beverages &amp; tobacco</w:t>
            </w:r>
          </w:p>
        </w:tc>
        <w:tc>
          <w:tcPr>
            <w:tcW w:w="302" w:type="pct"/>
            <w:tcBorders>
              <w:top w:val="nil"/>
              <w:left w:val="nil"/>
              <w:bottom w:val="nil"/>
              <w:right w:val="nil"/>
            </w:tcBorders>
            <w:shd w:val="clear" w:color="000000" w:fill="FFFFFF"/>
            <w:noWrap/>
            <w:vAlign w:val="center"/>
            <w:hideMark/>
          </w:tcPr>
          <w:p w14:paraId="45FD2D9D" w14:textId="571AC6F7"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15</w:t>
            </w:r>
          </w:p>
        </w:tc>
        <w:tc>
          <w:tcPr>
            <w:tcW w:w="342" w:type="pct"/>
            <w:tcBorders>
              <w:top w:val="nil"/>
              <w:left w:val="nil"/>
              <w:bottom w:val="nil"/>
              <w:right w:val="nil"/>
            </w:tcBorders>
            <w:shd w:val="clear" w:color="000000" w:fill="FFFFFF"/>
            <w:noWrap/>
            <w:vAlign w:val="center"/>
            <w:hideMark/>
          </w:tcPr>
          <w:p w14:paraId="1CCBB0A9" w14:textId="394FDA2E"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4.6</w:t>
            </w:r>
          </w:p>
        </w:tc>
        <w:tc>
          <w:tcPr>
            <w:tcW w:w="302" w:type="pct"/>
            <w:tcBorders>
              <w:top w:val="nil"/>
              <w:left w:val="nil"/>
              <w:bottom w:val="nil"/>
              <w:right w:val="nil"/>
            </w:tcBorders>
            <w:shd w:val="clear" w:color="000000" w:fill="FFFFFF"/>
            <w:noWrap/>
            <w:vAlign w:val="center"/>
          </w:tcPr>
          <w:p w14:paraId="4D4507F4" w14:textId="77777777"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15</w:t>
            </w:r>
          </w:p>
        </w:tc>
        <w:tc>
          <w:tcPr>
            <w:tcW w:w="342" w:type="pct"/>
            <w:tcBorders>
              <w:top w:val="nil"/>
              <w:left w:val="nil"/>
              <w:bottom w:val="nil"/>
              <w:right w:val="nil"/>
            </w:tcBorders>
            <w:shd w:val="clear" w:color="000000" w:fill="FFFFFF"/>
            <w:noWrap/>
            <w:vAlign w:val="center"/>
          </w:tcPr>
          <w:p w14:paraId="6C4EFD32" w14:textId="7A56D52F"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1.3</w:t>
            </w:r>
          </w:p>
        </w:tc>
        <w:tc>
          <w:tcPr>
            <w:tcW w:w="313" w:type="pct"/>
            <w:tcBorders>
              <w:top w:val="nil"/>
              <w:left w:val="nil"/>
              <w:bottom w:val="nil"/>
              <w:right w:val="nil"/>
            </w:tcBorders>
            <w:shd w:val="clear" w:color="000000" w:fill="FFFFFF"/>
            <w:noWrap/>
            <w:vAlign w:val="center"/>
          </w:tcPr>
          <w:p w14:paraId="2D545409" w14:textId="703D5CFD"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17</w:t>
            </w:r>
          </w:p>
        </w:tc>
        <w:tc>
          <w:tcPr>
            <w:tcW w:w="342" w:type="pct"/>
            <w:tcBorders>
              <w:top w:val="nil"/>
              <w:left w:val="nil"/>
              <w:bottom w:val="nil"/>
              <w:right w:val="nil"/>
            </w:tcBorders>
            <w:shd w:val="clear" w:color="000000" w:fill="FFFFFF"/>
            <w:noWrap/>
            <w:vAlign w:val="center"/>
          </w:tcPr>
          <w:p w14:paraId="1728B444" w14:textId="7D254BEB"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18.5</w:t>
            </w:r>
          </w:p>
        </w:tc>
        <w:tc>
          <w:tcPr>
            <w:tcW w:w="313" w:type="pct"/>
            <w:tcBorders>
              <w:top w:val="nil"/>
              <w:left w:val="nil"/>
              <w:bottom w:val="nil"/>
              <w:right w:val="nil"/>
            </w:tcBorders>
            <w:shd w:val="clear" w:color="auto" w:fill="E1E8EB"/>
            <w:noWrap/>
            <w:vAlign w:val="center"/>
          </w:tcPr>
          <w:p w14:paraId="0F9843C3" w14:textId="586DC9F5" w:rsidR="004A5FEC" w:rsidRPr="0087590F" w:rsidRDefault="004A5FEC" w:rsidP="004A5FEC">
            <w:pPr>
              <w:keepNext/>
              <w:keepLines/>
              <w:spacing w:after="0" w:line="240" w:lineRule="auto"/>
              <w:jc w:val="right"/>
              <w:rPr>
                <w:rFonts w:ascii="Arial" w:hAnsi="Arial" w:cs="Arial"/>
                <w:color w:val="auto"/>
                <w:sz w:val="16"/>
                <w:szCs w:val="16"/>
                <w:highlight w:val="yellow"/>
              </w:rPr>
            </w:pPr>
            <w:r w:rsidRPr="002C1CAA">
              <w:rPr>
                <w:rFonts w:ascii="Arial" w:hAnsi="Arial" w:cs="Arial"/>
                <w:sz w:val="16"/>
                <w:szCs w:val="16"/>
              </w:rPr>
              <w:t>33</w:t>
            </w:r>
          </w:p>
        </w:tc>
        <w:tc>
          <w:tcPr>
            <w:tcW w:w="342" w:type="pct"/>
            <w:tcBorders>
              <w:top w:val="nil"/>
              <w:left w:val="nil"/>
              <w:bottom w:val="nil"/>
              <w:right w:val="nil"/>
            </w:tcBorders>
            <w:shd w:val="clear" w:color="auto" w:fill="E1E8EB"/>
            <w:noWrap/>
            <w:vAlign w:val="center"/>
          </w:tcPr>
          <w:p w14:paraId="5F6C4603" w14:textId="06E99A91" w:rsidR="004A5FEC" w:rsidRPr="0087590F" w:rsidRDefault="004A5FEC" w:rsidP="004A5FEC">
            <w:pPr>
              <w:keepNext/>
              <w:keepLines/>
              <w:spacing w:after="0" w:line="240" w:lineRule="auto"/>
              <w:jc w:val="right"/>
              <w:rPr>
                <w:rFonts w:ascii="Arial" w:hAnsi="Arial" w:cs="Arial"/>
                <w:color w:val="auto"/>
                <w:sz w:val="16"/>
                <w:szCs w:val="16"/>
                <w:highlight w:val="yellow"/>
              </w:rPr>
            </w:pPr>
            <w:r w:rsidRPr="002C1CAA">
              <w:rPr>
                <w:rFonts w:ascii="Arial" w:hAnsi="Arial" w:cs="Arial"/>
                <w:sz w:val="16"/>
                <w:szCs w:val="16"/>
              </w:rPr>
              <w:t>13.5</w:t>
            </w:r>
          </w:p>
        </w:tc>
      </w:tr>
      <w:tr w:rsidR="004A5FEC" w:rsidRPr="00023C48" w14:paraId="326AB039" w14:textId="77777777" w:rsidTr="009955B8">
        <w:trPr>
          <w:trHeight w:val="227"/>
        </w:trPr>
        <w:tc>
          <w:tcPr>
            <w:tcW w:w="2401" w:type="pct"/>
            <w:tcBorders>
              <w:top w:val="nil"/>
              <w:left w:val="nil"/>
              <w:bottom w:val="nil"/>
              <w:right w:val="nil"/>
            </w:tcBorders>
            <w:shd w:val="clear" w:color="000000" w:fill="FFFFFF"/>
            <w:vAlign w:val="center"/>
            <w:hideMark/>
          </w:tcPr>
          <w:p w14:paraId="7FDE1888" w14:textId="77777777" w:rsidR="004A5FEC" w:rsidRPr="00023C48" w:rsidRDefault="004A5FEC" w:rsidP="004A5FEC">
            <w:pPr>
              <w:keepNext/>
              <w:keepLines/>
              <w:spacing w:after="0" w:line="240" w:lineRule="auto"/>
              <w:jc w:val="left"/>
              <w:rPr>
                <w:rFonts w:ascii="Arial" w:hAnsi="Arial" w:cs="Arial"/>
                <w:color w:val="auto"/>
                <w:sz w:val="16"/>
                <w:szCs w:val="16"/>
              </w:rPr>
            </w:pPr>
            <w:r w:rsidRPr="00023C48">
              <w:rPr>
                <w:rFonts w:ascii="Arial" w:hAnsi="Arial" w:cs="Arial"/>
                <w:color w:val="auto"/>
                <w:sz w:val="16"/>
                <w:szCs w:val="16"/>
              </w:rPr>
              <w:t>Water, sewerage &amp; waste disposal</w:t>
            </w:r>
          </w:p>
        </w:tc>
        <w:tc>
          <w:tcPr>
            <w:tcW w:w="302" w:type="pct"/>
            <w:tcBorders>
              <w:top w:val="nil"/>
              <w:left w:val="nil"/>
              <w:bottom w:val="nil"/>
              <w:right w:val="nil"/>
            </w:tcBorders>
            <w:shd w:val="clear" w:color="000000" w:fill="FFFFFF"/>
            <w:noWrap/>
            <w:vAlign w:val="center"/>
            <w:hideMark/>
          </w:tcPr>
          <w:p w14:paraId="06601B7C" w14:textId="76D44059"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8</w:t>
            </w:r>
          </w:p>
        </w:tc>
        <w:tc>
          <w:tcPr>
            <w:tcW w:w="342" w:type="pct"/>
            <w:tcBorders>
              <w:top w:val="nil"/>
              <w:left w:val="nil"/>
              <w:bottom w:val="nil"/>
              <w:right w:val="nil"/>
            </w:tcBorders>
            <w:shd w:val="clear" w:color="000000" w:fill="FFFFFF"/>
            <w:noWrap/>
            <w:vAlign w:val="center"/>
            <w:hideMark/>
          </w:tcPr>
          <w:p w14:paraId="300B241D" w14:textId="47B59749"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0.2</w:t>
            </w:r>
          </w:p>
        </w:tc>
        <w:tc>
          <w:tcPr>
            <w:tcW w:w="302" w:type="pct"/>
            <w:tcBorders>
              <w:top w:val="nil"/>
              <w:left w:val="nil"/>
              <w:bottom w:val="nil"/>
              <w:right w:val="nil"/>
            </w:tcBorders>
            <w:shd w:val="clear" w:color="000000" w:fill="FFFFFF"/>
            <w:noWrap/>
            <w:vAlign w:val="center"/>
          </w:tcPr>
          <w:p w14:paraId="36752BA0" w14:textId="1C79963A"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9</w:t>
            </w:r>
          </w:p>
        </w:tc>
        <w:tc>
          <w:tcPr>
            <w:tcW w:w="342" w:type="pct"/>
            <w:tcBorders>
              <w:top w:val="nil"/>
              <w:left w:val="nil"/>
              <w:bottom w:val="nil"/>
              <w:right w:val="nil"/>
            </w:tcBorders>
            <w:shd w:val="clear" w:color="000000" w:fill="FFFFFF"/>
            <w:noWrap/>
            <w:vAlign w:val="center"/>
          </w:tcPr>
          <w:p w14:paraId="481770B7" w14:textId="7F84E637"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2.0</w:t>
            </w:r>
          </w:p>
        </w:tc>
        <w:tc>
          <w:tcPr>
            <w:tcW w:w="313" w:type="pct"/>
            <w:tcBorders>
              <w:top w:val="nil"/>
              <w:left w:val="nil"/>
              <w:bottom w:val="nil"/>
              <w:right w:val="nil"/>
            </w:tcBorders>
            <w:shd w:val="clear" w:color="000000" w:fill="FFFFFF"/>
            <w:noWrap/>
            <w:vAlign w:val="center"/>
          </w:tcPr>
          <w:p w14:paraId="464C0348" w14:textId="2880C032"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5</w:t>
            </w:r>
          </w:p>
        </w:tc>
        <w:tc>
          <w:tcPr>
            <w:tcW w:w="342" w:type="pct"/>
            <w:tcBorders>
              <w:top w:val="nil"/>
              <w:left w:val="nil"/>
              <w:bottom w:val="nil"/>
              <w:right w:val="nil"/>
            </w:tcBorders>
            <w:shd w:val="clear" w:color="000000" w:fill="FFFFFF"/>
            <w:noWrap/>
            <w:vAlign w:val="center"/>
          </w:tcPr>
          <w:p w14:paraId="6D26C316" w14:textId="6E5A0D83"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0.2</w:t>
            </w:r>
          </w:p>
        </w:tc>
        <w:tc>
          <w:tcPr>
            <w:tcW w:w="313" w:type="pct"/>
            <w:tcBorders>
              <w:top w:val="nil"/>
              <w:left w:val="nil"/>
              <w:bottom w:val="nil"/>
              <w:right w:val="nil"/>
            </w:tcBorders>
            <w:shd w:val="clear" w:color="auto" w:fill="E1E8EB"/>
            <w:noWrap/>
            <w:vAlign w:val="center"/>
          </w:tcPr>
          <w:p w14:paraId="03170C58" w14:textId="4ADB68FE" w:rsidR="004A5FEC" w:rsidRPr="0087590F" w:rsidRDefault="004A5FEC" w:rsidP="004A5FEC">
            <w:pPr>
              <w:keepNext/>
              <w:keepLines/>
              <w:spacing w:after="0" w:line="240" w:lineRule="auto"/>
              <w:jc w:val="right"/>
              <w:rPr>
                <w:rFonts w:ascii="Arial" w:hAnsi="Arial" w:cs="Arial"/>
                <w:color w:val="auto"/>
                <w:sz w:val="16"/>
                <w:szCs w:val="16"/>
                <w:highlight w:val="yellow"/>
              </w:rPr>
            </w:pPr>
            <w:r w:rsidRPr="002C1CAA">
              <w:rPr>
                <w:rFonts w:ascii="Arial" w:hAnsi="Arial" w:cs="Arial"/>
                <w:sz w:val="16"/>
                <w:szCs w:val="16"/>
              </w:rPr>
              <w:t>11</w:t>
            </w:r>
          </w:p>
        </w:tc>
        <w:tc>
          <w:tcPr>
            <w:tcW w:w="342" w:type="pct"/>
            <w:tcBorders>
              <w:top w:val="nil"/>
              <w:left w:val="nil"/>
              <w:bottom w:val="nil"/>
              <w:right w:val="nil"/>
            </w:tcBorders>
            <w:shd w:val="clear" w:color="auto" w:fill="E1E8EB"/>
            <w:noWrap/>
            <w:vAlign w:val="center"/>
          </w:tcPr>
          <w:p w14:paraId="26414E6F" w14:textId="5E57BA94" w:rsidR="004A5FEC" w:rsidRPr="0087590F" w:rsidRDefault="004A5FEC" w:rsidP="004A5FEC">
            <w:pPr>
              <w:keepNext/>
              <w:keepLines/>
              <w:spacing w:after="0" w:line="240" w:lineRule="auto"/>
              <w:jc w:val="right"/>
              <w:rPr>
                <w:rFonts w:ascii="Arial" w:hAnsi="Arial" w:cs="Arial"/>
                <w:color w:val="auto"/>
                <w:sz w:val="16"/>
                <w:szCs w:val="16"/>
                <w:highlight w:val="yellow"/>
              </w:rPr>
            </w:pPr>
            <w:r w:rsidRPr="002C1CAA">
              <w:rPr>
                <w:rFonts w:ascii="Arial" w:hAnsi="Arial" w:cs="Arial"/>
                <w:sz w:val="16"/>
                <w:szCs w:val="16"/>
              </w:rPr>
              <w:t>0.8</w:t>
            </w:r>
          </w:p>
        </w:tc>
      </w:tr>
      <w:tr w:rsidR="004A5FEC" w:rsidRPr="00023C48" w14:paraId="619B123B" w14:textId="77777777" w:rsidTr="009955B8">
        <w:trPr>
          <w:trHeight w:val="227"/>
        </w:trPr>
        <w:tc>
          <w:tcPr>
            <w:tcW w:w="2401" w:type="pct"/>
            <w:tcBorders>
              <w:top w:val="nil"/>
              <w:left w:val="nil"/>
              <w:bottom w:val="nil"/>
              <w:right w:val="nil"/>
            </w:tcBorders>
            <w:shd w:val="clear" w:color="000000" w:fill="FFFFFF"/>
            <w:noWrap/>
            <w:vAlign w:val="center"/>
            <w:hideMark/>
          </w:tcPr>
          <w:p w14:paraId="41F75884" w14:textId="77777777" w:rsidR="004A5FEC" w:rsidRPr="00023C48" w:rsidRDefault="004A5FEC" w:rsidP="004A5FEC">
            <w:pPr>
              <w:keepNext/>
              <w:keepLines/>
              <w:spacing w:after="0" w:line="240" w:lineRule="auto"/>
              <w:jc w:val="left"/>
              <w:rPr>
                <w:rFonts w:ascii="Arial" w:hAnsi="Arial" w:cs="Arial"/>
                <w:color w:val="auto"/>
                <w:sz w:val="16"/>
                <w:szCs w:val="16"/>
              </w:rPr>
            </w:pPr>
            <w:r w:rsidRPr="00023C48">
              <w:rPr>
                <w:rFonts w:ascii="Arial" w:hAnsi="Arial" w:cs="Arial"/>
                <w:color w:val="auto"/>
                <w:sz w:val="16"/>
                <w:szCs w:val="16"/>
              </w:rPr>
              <w:t>Other</w:t>
            </w:r>
            <w:r w:rsidRPr="00023C48">
              <w:rPr>
                <w:rFonts w:ascii="Arial" w:hAnsi="Arial" w:cs="Arial"/>
                <w:color w:val="auto"/>
                <w:sz w:val="12"/>
                <w:szCs w:val="12"/>
              </w:rPr>
              <w:t xml:space="preserve"> </w:t>
            </w:r>
            <w:r w:rsidRPr="00023C48">
              <w:rPr>
                <w:rFonts w:ascii="Arial" w:hAnsi="Arial" w:cs="Arial"/>
                <w:color w:val="auto"/>
                <w:sz w:val="16"/>
                <w:szCs w:val="16"/>
              </w:rPr>
              <w:t>(a)</w:t>
            </w:r>
          </w:p>
        </w:tc>
        <w:tc>
          <w:tcPr>
            <w:tcW w:w="302" w:type="pct"/>
            <w:tcBorders>
              <w:top w:val="nil"/>
              <w:left w:val="nil"/>
              <w:bottom w:val="nil"/>
              <w:right w:val="nil"/>
            </w:tcBorders>
            <w:shd w:val="clear" w:color="000000" w:fill="FFFFFF"/>
            <w:noWrap/>
            <w:vAlign w:val="center"/>
            <w:hideMark/>
          </w:tcPr>
          <w:p w14:paraId="490BA9AD" w14:textId="67CD5EF9"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18</w:t>
            </w:r>
          </w:p>
        </w:tc>
        <w:tc>
          <w:tcPr>
            <w:tcW w:w="342" w:type="pct"/>
            <w:tcBorders>
              <w:top w:val="nil"/>
              <w:left w:val="nil"/>
              <w:bottom w:val="nil"/>
              <w:right w:val="nil"/>
            </w:tcBorders>
            <w:shd w:val="clear" w:color="000000" w:fill="FFFFFF"/>
            <w:noWrap/>
            <w:vAlign w:val="center"/>
            <w:hideMark/>
          </w:tcPr>
          <w:p w14:paraId="5F793700" w14:textId="4CC15AA3"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2.2</w:t>
            </w:r>
          </w:p>
        </w:tc>
        <w:tc>
          <w:tcPr>
            <w:tcW w:w="302" w:type="pct"/>
            <w:tcBorders>
              <w:top w:val="nil"/>
              <w:left w:val="nil"/>
              <w:bottom w:val="nil"/>
              <w:right w:val="nil"/>
            </w:tcBorders>
            <w:shd w:val="clear" w:color="000000" w:fill="FFFFFF"/>
            <w:noWrap/>
            <w:vAlign w:val="center"/>
          </w:tcPr>
          <w:p w14:paraId="483FDD15" w14:textId="30BEF36F"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24</w:t>
            </w:r>
          </w:p>
        </w:tc>
        <w:tc>
          <w:tcPr>
            <w:tcW w:w="342" w:type="pct"/>
            <w:tcBorders>
              <w:top w:val="nil"/>
              <w:left w:val="nil"/>
              <w:bottom w:val="nil"/>
              <w:right w:val="nil"/>
            </w:tcBorders>
            <w:shd w:val="clear" w:color="000000" w:fill="FFFFFF"/>
            <w:noWrap/>
            <w:vAlign w:val="center"/>
          </w:tcPr>
          <w:p w14:paraId="55113F8D" w14:textId="288DC975"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25.3</w:t>
            </w:r>
          </w:p>
        </w:tc>
        <w:tc>
          <w:tcPr>
            <w:tcW w:w="313" w:type="pct"/>
            <w:tcBorders>
              <w:top w:val="nil"/>
              <w:left w:val="nil"/>
              <w:bottom w:val="nil"/>
              <w:right w:val="nil"/>
            </w:tcBorders>
            <w:shd w:val="clear" w:color="000000" w:fill="FFFFFF"/>
            <w:noWrap/>
            <w:vAlign w:val="center"/>
          </w:tcPr>
          <w:p w14:paraId="11BFE4A9" w14:textId="62766911"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10</w:t>
            </w:r>
          </w:p>
        </w:tc>
        <w:tc>
          <w:tcPr>
            <w:tcW w:w="342" w:type="pct"/>
            <w:tcBorders>
              <w:top w:val="nil"/>
              <w:left w:val="nil"/>
              <w:bottom w:val="nil"/>
              <w:right w:val="nil"/>
            </w:tcBorders>
            <w:shd w:val="clear" w:color="000000" w:fill="FFFFFF"/>
            <w:noWrap/>
            <w:vAlign w:val="center"/>
          </w:tcPr>
          <w:p w14:paraId="09B3D21B" w14:textId="73A989AA" w:rsidR="004A5FEC" w:rsidRPr="004A5FEC" w:rsidRDefault="004A5FEC" w:rsidP="004A5FEC">
            <w:pPr>
              <w:keepNext/>
              <w:keepLines/>
              <w:spacing w:after="0" w:line="240" w:lineRule="auto"/>
              <w:jc w:val="right"/>
              <w:rPr>
                <w:rFonts w:ascii="Arial" w:hAnsi="Arial" w:cs="Arial"/>
                <w:color w:val="auto"/>
                <w:sz w:val="16"/>
                <w:szCs w:val="16"/>
              </w:rPr>
            </w:pPr>
            <w:r w:rsidRPr="004A5FEC">
              <w:rPr>
                <w:rFonts w:ascii="Arial" w:hAnsi="Arial" w:cs="Arial"/>
                <w:color w:val="auto"/>
                <w:sz w:val="16"/>
                <w:szCs w:val="16"/>
              </w:rPr>
              <w:t>8.0</w:t>
            </w:r>
          </w:p>
        </w:tc>
        <w:tc>
          <w:tcPr>
            <w:tcW w:w="313" w:type="pct"/>
            <w:tcBorders>
              <w:top w:val="nil"/>
              <w:left w:val="nil"/>
              <w:bottom w:val="nil"/>
              <w:right w:val="nil"/>
            </w:tcBorders>
            <w:shd w:val="clear" w:color="auto" w:fill="E1E8EB"/>
            <w:noWrap/>
            <w:vAlign w:val="center"/>
          </w:tcPr>
          <w:p w14:paraId="52901DD0" w14:textId="365EB16B" w:rsidR="004A5FEC" w:rsidRPr="0087590F" w:rsidRDefault="00B035E9" w:rsidP="004A5FEC">
            <w:pPr>
              <w:keepNext/>
              <w:keepLines/>
              <w:spacing w:after="0" w:line="240" w:lineRule="auto"/>
              <w:jc w:val="right"/>
              <w:rPr>
                <w:rFonts w:ascii="Arial" w:hAnsi="Arial" w:cs="Arial"/>
                <w:color w:val="auto"/>
                <w:sz w:val="16"/>
                <w:szCs w:val="16"/>
                <w:highlight w:val="yellow"/>
              </w:rPr>
            </w:pPr>
            <w:r>
              <w:rPr>
                <w:rFonts w:ascii="Arial" w:hAnsi="Arial" w:cs="Arial"/>
                <w:sz w:val="16"/>
                <w:szCs w:val="16"/>
              </w:rPr>
              <w:t>55</w:t>
            </w:r>
          </w:p>
        </w:tc>
        <w:tc>
          <w:tcPr>
            <w:tcW w:w="342" w:type="pct"/>
            <w:tcBorders>
              <w:top w:val="nil"/>
              <w:left w:val="nil"/>
              <w:bottom w:val="nil"/>
              <w:right w:val="nil"/>
            </w:tcBorders>
            <w:shd w:val="clear" w:color="auto" w:fill="E1E8EB"/>
            <w:noWrap/>
            <w:vAlign w:val="center"/>
          </w:tcPr>
          <w:p w14:paraId="7DD4A3C1" w14:textId="797DE3A6" w:rsidR="004A5FEC" w:rsidRPr="0087590F" w:rsidRDefault="004A5FEC" w:rsidP="004A5FEC">
            <w:pPr>
              <w:keepNext/>
              <w:keepLines/>
              <w:spacing w:after="0" w:line="240" w:lineRule="auto"/>
              <w:jc w:val="right"/>
              <w:rPr>
                <w:rFonts w:ascii="Arial" w:hAnsi="Arial" w:cs="Arial"/>
                <w:color w:val="auto"/>
                <w:sz w:val="16"/>
                <w:szCs w:val="16"/>
                <w:highlight w:val="yellow"/>
              </w:rPr>
            </w:pPr>
            <w:r w:rsidRPr="002C1CAA">
              <w:rPr>
                <w:rFonts w:ascii="Arial" w:hAnsi="Arial" w:cs="Arial"/>
                <w:sz w:val="16"/>
                <w:szCs w:val="16"/>
              </w:rPr>
              <w:t>3.</w:t>
            </w:r>
            <w:r w:rsidR="00B035E9">
              <w:rPr>
                <w:rFonts w:ascii="Arial" w:hAnsi="Arial" w:cs="Arial"/>
                <w:sz w:val="16"/>
                <w:szCs w:val="16"/>
              </w:rPr>
              <w:t>7</w:t>
            </w:r>
          </w:p>
        </w:tc>
      </w:tr>
      <w:tr w:rsidR="004A5FEC" w:rsidRPr="00023C48" w14:paraId="358A3F41" w14:textId="77777777" w:rsidTr="009955B8">
        <w:trPr>
          <w:trHeight w:val="227"/>
        </w:trPr>
        <w:tc>
          <w:tcPr>
            <w:tcW w:w="2401" w:type="pct"/>
            <w:tcBorders>
              <w:top w:val="single" w:sz="4" w:space="0" w:color="auto"/>
              <w:left w:val="nil"/>
              <w:bottom w:val="single" w:sz="4" w:space="0" w:color="auto"/>
              <w:right w:val="nil"/>
            </w:tcBorders>
            <w:shd w:val="clear" w:color="000000" w:fill="FFFFFF"/>
            <w:noWrap/>
            <w:vAlign w:val="center"/>
            <w:hideMark/>
          </w:tcPr>
          <w:p w14:paraId="151749A9" w14:textId="77777777" w:rsidR="004A5FEC" w:rsidRPr="00023C48" w:rsidRDefault="004A5FEC" w:rsidP="004A5FEC">
            <w:pPr>
              <w:keepNext/>
              <w:keepLines/>
              <w:spacing w:after="0" w:line="240" w:lineRule="auto"/>
              <w:jc w:val="left"/>
              <w:rPr>
                <w:rFonts w:ascii="Arial" w:hAnsi="Arial" w:cs="Arial"/>
                <w:b/>
                <w:bCs/>
                <w:color w:val="auto"/>
                <w:sz w:val="16"/>
                <w:szCs w:val="16"/>
              </w:rPr>
            </w:pPr>
            <w:r w:rsidRPr="00023C48">
              <w:rPr>
                <w:rFonts w:ascii="Arial" w:hAnsi="Arial" w:cs="Arial"/>
                <w:b/>
                <w:bCs/>
                <w:color w:val="auto"/>
                <w:sz w:val="16"/>
                <w:szCs w:val="16"/>
              </w:rPr>
              <w:t>Total</w:t>
            </w:r>
          </w:p>
        </w:tc>
        <w:tc>
          <w:tcPr>
            <w:tcW w:w="302" w:type="pct"/>
            <w:tcBorders>
              <w:top w:val="single" w:sz="4" w:space="0" w:color="auto"/>
              <w:left w:val="nil"/>
              <w:bottom w:val="single" w:sz="4" w:space="0" w:color="auto"/>
              <w:right w:val="nil"/>
            </w:tcBorders>
            <w:shd w:val="clear" w:color="000000" w:fill="FFFFFF"/>
            <w:noWrap/>
            <w:vAlign w:val="center"/>
            <w:hideMark/>
          </w:tcPr>
          <w:p w14:paraId="3971A546" w14:textId="16066F08" w:rsidR="004A5FEC" w:rsidRPr="004A5FEC" w:rsidRDefault="004A5FEC" w:rsidP="004A5FEC">
            <w:pPr>
              <w:keepNext/>
              <w:keepLines/>
              <w:spacing w:after="0" w:line="240" w:lineRule="auto"/>
              <w:jc w:val="right"/>
              <w:rPr>
                <w:rFonts w:ascii="Arial" w:hAnsi="Arial" w:cs="Arial"/>
                <w:b/>
                <w:bCs/>
                <w:color w:val="auto"/>
                <w:sz w:val="16"/>
                <w:szCs w:val="16"/>
              </w:rPr>
            </w:pPr>
            <w:r w:rsidRPr="004A5FEC">
              <w:rPr>
                <w:rFonts w:ascii="Arial" w:hAnsi="Arial" w:cs="Arial"/>
                <w:b/>
                <w:bCs/>
                <w:color w:val="auto"/>
                <w:sz w:val="16"/>
                <w:szCs w:val="16"/>
              </w:rPr>
              <w:t>95</w:t>
            </w:r>
          </w:p>
        </w:tc>
        <w:tc>
          <w:tcPr>
            <w:tcW w:w="342" w:type="pct"/>
            <w:tcBorders>
              <w:top w:val="single" w:sz="4" w:space="0" w:color="auto"/>
              <w:left w:val="nil"/>
              <w:bottom w:val="single" w:sz="4" w:space="0" w:color="auto"/>
              <w:right w:val="nil"/>
            </w:tcBorders>
            <w:shd w:val="clear" w:color="000000" w:fill="FFFFFF"/>
            <w:noWrap/>
            <w:vAlign w:val="center"/>
            <w:hideMark/>
          </w:tcPr>
          <w:p w14:paraId="57DE2FD7" w14:textId="5CEFE364" w:rsidR="004A5FEC" w:rsidRPr="004A5FEC" w:rsidRDefault="004A5FEC" w:rsidP="004A5FEC">
            <w:pPr>
              <w:keepNext/>
              <w:keepLines/>
              <w:spacing w:after="0" w:line="240" w:lineRule="auto"/>
              <w:jc w:val="right"/>
              <w:rPr>
                <w:rFonts w:ascii="Arial" w:hAnsi="Arial" w:cs="Arial"/>
                <w:b/>
                <w:bCs/>
                <w:color w:val="auto"/>
                <w:sz w:val="16"/>
                <w:szCs w:val="16"/>
              </w:rPr>
            </w:pPr>
            <w:r w:rsidRPr="004A5FEC">
              <w:rPr>
                <w:rFonts w:ascii="Arial" w:hAnsi="Arial" w:cs="Arial"/>
                <w:b/>
                <w:bCs/>
                <w:color w:val="auto"/>
                <w:sz w:val="16"/>
                <w:szCs w:val="16"/>
              </w:rPr>
              <w:t>16.6</w:t>
            </w:r>
          </w:p>
        </w:tc>
        <w:tc>
          <w:tcPr>
            <w:tcW w:w="302" w:type="pct"/>
            <w:tcBorders>
              <w:top w:val="single" w:sz="4" w:space="0" w:color="auto"/>
              <w:left w:val="nil"/>
              <w:bottom w:val="single" w:sz="4" w:space="0" w:color="auto"/>
              <w:right w:val="nil"/>
            </w:tcBorders>
            <w:shd w:val="clear" w:color="000000" w:fill="FFFFFF"/>
            <w:noWrap/>
            <w:vAlign w:val="center"/>
          </w:tcPr>
          <w:p w14:paraId="01DE3AE7" w14:textId="79F358DA" w:rsidR="004A5FEC" w:rsidRPr="004A5FEC" w:rsidRDefault="004A5FEC" w:rsidP="004A5FEC">
            <w:pPr>
              <w:keepNext/>
              <w:keepLines/>
              <w:spacing w:after="0" w:line="240" w:lineRule="auto"/>
              <w:jc w:val="right"/>
              <w:rPr>
                <w:rFonts w:ascii="Arial" w:hAnsi="Arial" w:cs="Arial"/>
                <w:b/>
                <w:bCs/>
                <w:color w:val="auto"/>
                <w:sz w:val="16"/>
                <w:szCs w:val="16"/>
              </w:rPr>
            </w:pPr>
            <w:r w:rsidRPr="004A5FEC">
              <w:rPr>
                <w:rFonts w:ascii="Arial" w:hAnsi="Arial" w:cs="Arial"/>
                <w:b/>
                <w:color w:val="auto"/>
                <w:sz w:val="16"/>
                <w:szCs w:val="16"/>
              </w:rPr>
              <w:t>99</w:t>
            </w:r>
          </w:p>
        </w:tc>
        <w:tc>
          <w:tcPr>
            <w:tcW w:w="342" w:type="pct"/>
            <w:tcBorders>
              <w:top w:val="single" w:sz="4" w:space="0" w:color="auto"/>
              <w:left w:val="nil"/>
              <w:bottom w:val="single" w:sz="4" w:space="0" w:color="auto"/>
              <w:right w:val="nil"/>
            </w:tcBorders>
            <w:shd w:val="clear" w:color="000000" w:fill="FFFFFF"/>
            <w:noWrap/>
            <w:vAlign w:val="center"/>
          </w:tcPr>
          <w:p w14:paraId="458663B2" w14:textId="07A4A81F" w:rsidR="004A5FEC" w:rsidRPr="004A5FEC" w:rsidRDefault="004A5FEC" w:rsidP="004A5FEC">
            <w:pPr>
              <w:keepNext/>
              <w:keepLines/>
              <w:spacing w:after="0" w:line="240" w:lineRule="auto"/>
              <w:jc w:val="right"/>
              <w:rPr>
                <w:rFonts w:ascii="Arial" w:hAnsi="Arial" w:cs="Arial"/>
                <w:b/>
                <w:bCs/>
                <w:color w:val="auto"/>
                <w:sz w:val="16"/>
                <w:szCs w:val="16"/>
              </w:rPr>
            </w:pPr>
            <w:r w:rsidRPr="004A5FEC">
              <w:rPr>
                <w:rFonts w:ascii="Arial" w:hAnsi="Arial" w:cs="Arial"/>
                <w:b/>
                <w:color w:val="auto"/>
                <w:sz w:val="16"/>
                <w:szCs w:val="16"/>
              </w:rPr>
              <w:t>36.7</w:t>
            </w:r>
          </w:p>
        </w:tc>
        <w:tc>
          <w:tcPr>
            <w:tcW w:w="313" w:type="pct"/>
            <w:tcBorders>
              <w:top w:val="single" w:sz="4" w:space="0" w:color="auto"/>
              <w:left w:val="nil"/>
              <w:bottom w:val="single" w:sz="4" w:space="0" w:color="auto"/>
              <w:right w:val="nil"/>
            </w:tcBorders>
            <w:shd w:val="clear" w:color="000000" w:fill="FFFFFF"/>
            <w:noWrap/>
            <w:vAlign w:val="center"/>
          </w:tcPr>
          <w:p w14:paraId="4FAB6AD9" w14:textId="52D269BA" w:rsidR="004A5FEC" w:rsidRPr="004A5FEC" w:rsidRDefault="004A5FEC" w:rsidP="004A5FEC">
            <w:pPr>
              <w:keepNext/>
              <w:keepLines/>
              <w:spacing w:after="0" w:line="240" w:lineRule="auto"/>
              <w:jc w:val="right"/>
              <w:rPr>
                <w:rFonts w:ascii="Arial" w:hAnsi="Arial" w:cs="Arial"/>
                <w:b/>
                <w:color w:val="auto"/>
                <w:sz w:val="16"/>
                <w:szCs w:val="16"/>
              </w:rPr>
            </w:pPr>
            <w:r w:rsidRPr="004A5FEC">
              <w:rPr>
                <w:rFonts w:ascii="Arial" w:hAnsi="Arial" w:cs="Arial"/>
                <w:b/>
                <w:color w:val="auto"/>
                <w:sz w:val="16"/>
                <w:szCs w:val="16"/>
              </w:rPr>
              <w:t>100</w:t>
            </w:r>
          </w:p>
        </w:tc>
        <w:tc>
          <w:tcPr>
            <w:tcW w:w="342" w:type="pct"/>
            <w:tcBorders>
              <w:top w:val="single" w:sz="4" w:space="0" w:color="auto"/>
              <w:left w:val="nil"/>
              <w:bottom w:val="single" w:sz="4" w:space="0" w:color="auto"/>
              <w:right w:val="nil"/>
            </w:tcBorders>
            <w:shd w:val="clear" w:color="000000" w:fill="FFFFFF"/>
            <w:noWrap/>
            <w:vAlign w:val="center"/>
          </w:tcPr>
          <w:p w14:paraId="7E2EE6BD" w14:textId="6D2EF4CF" w:rsidR="004A5FEC" w:rsidRPr="004A5FEC" w:rsidRDefault="004A5FEC" w:rsidP="004A5FEC">
            <w:pPr>
              <w:keepNext/>
              <w:keepLines/>
              <w:spacing w:after="0" w:line="240" w:lineRule="auto"/>
              <w:jc w:val="right"/>
              <w:rPr>
                <w:rFonts w:ascii="Arial" w:hAnsi="Arial" w:cs="Arial"/>
                <w:b/>
                <w:color w:val="auto"/>
                <w:sz w:val="16"/>
                <w:szCs w:val="16"/>
              </w:rPr>
            </w:pPr>
            <w:r w:rsidRPr="004A5FEC">
              <w:rPr>
                <w:rFonts w:ascii="Arial" w:hAnsi="Arial" w:cs="Arial"/>
                <w:b/>
                <w:color w:val="auto"/>
                <w:sz w:val="16"/>
                <w:szCs w:val="16"/>
              </w:rPr>
              <w:t>33.0</w:t>
            </w:r>
          </w:p>
        </w:tc>
        <w:tc>
          <w:tcPr>
            <w:tcW w:w="313" w:type="pct"/>
            <w:tcBorders>
              <w:top w:val="single" w:sz="4" w:space="0" w:color="auto"/>
              <w:left w:val="nil"/>
              <w:bottom w:val="single" w:sz="4" w:space="0" w:color="auto"/>
              <w:right w:val="nil"/>
            </w:tcBorders>
            <w:shd w:val="clear" w:color="auto" w:fill="E1E8EB"/>
            <w:noWrap/>
            <w:vAlign w:val="center"/>
          </w:tcPr>
          <w:p w14:paraId="6856CDAE" w14:textId="6D427156" w:rsidR="004A5FEC" w:rsidRPr="0087590F" w:rsidRDefault="004A5FEC" w:rsidP="004A5FEC">
            <w:pPr>
              <w:keepNext/>
              <w:keepLines/>
              <w:spacing w:after="0" w:line="240" w:lineRule="auto"/>
              <w:jc w:val="right"/>
              <w:rPr>
                <w:rFonts w:ascii="Arial" w:hAnsi="Arial" w:cs="Arial"/>
                <w:b/>
                <w:color w:val="auto"/>
                <w:sz w:val="16"/>
                <w:szCs w:val="16"/>
                <w:highlight w:val="yellow"/>
              </w:rPr>
            </w:pPr>
            <w:r w:rsidRPr="002C1CAA">
              <w:rPr>
                <w:rFonts w:ascii="Arial" w:hAnsi="Arial" w:cs="Arial"/>
                <w:b/>
                <w:bCs/>
                <w:sz w:val="16"/>
                <w:szCs w:val="16"/>
              </w:rPr>
              <w:t>1</w:t>
            </w:r>
            <w:r w:rsidR="00B035E9">
              <w:rPr>
                <w:rFonts w:ascii="Arial" w:hAnsi="Arial" w:cs="Arial"/>
                <w:b/>
                <w:bCs/>
                <w:sz w:val="16"/>
                <w:szCs w:val="16"/>
              </w:rPr>
              <w:t>87</w:t>
            </w:r>
          </w:p>
        </w:tc>
        <w:tc>
          <w:tcPr>
            <w:tcW w:w="342" w:type="pct"/>
            <w:tcBorders>
              <w:top w:val="single" w:sz="4" w:space="0" w:color="auto"/>
              <w:left w:val="nil"/>
              <w:bottom w:val="single" w:sz="4" w:space="0" w:color="auto"/>
              <w:right w:val="nil"/>
            </w:tcBorders>
            <w:shd w:val="clear" w:color="auto" w:fill="E1E8EB"/>
            <w:noWrap/>
            <w:vAlign w:val="center"/>
          </w:tcPr>
          <w:p w14:paraId="651D7123" w14:textId="75FE2874" w:rsidR="004A5FEC" w:rsidRPr="0087590F" w:rsidRDefault="004A5FEC" w:rsidP="004A5FEC">
            <w:pPr>
              <w:keepNext/>
              <w:keepLines/>
              <w:spacing w:after="0" w:line="240" w:lineRule="auto"/>
              <w:jc w:val="right"/>
              <w:rPr>
                <w:rFonts w:ascii="Arial" w:hAnsi="Arial" w:cs="Arial"/>
                <w:b/>
                <w:color w:val="auto"/>
                <w:sz w:val="16"/>
                <w:szCs w:val="16"/>
                <w:highlight w:val="yellow"/>
              </w:rPr>
            </w:pPr>
            <w:r w:rsidRPr="002C1CAA">
              <w:rPr>
                <w:rFonts w:ascii="Arial" w:hAnsi="Arial" w:cs="Arial"/>
                <w:b/>
                <w:bCs/>
                <w:sz w:val="16"/>
                <w:szCs w:val="16"/>
              </w:rPr>
              <w:t>35.</w:t>
            </w:r>
            <w:r w:rsidR="00B035E9">
              <w:rPr>
                <w:rFonts w:ascii="Arial" w:hAnsi="Arial" w:cs="Arial"/>
                <w:b/>
                <w:bCs/>
                <w:sz w:val="16"/>
                <w:szCs w:val="16"/>
              </w:rPr>
              <w:t>8</w:t>
            </w:r>
          </w:p>
        </w:tc>
      </w:tr>
    </w:tbl>
    <w:p w14:paraId="7092686C" w14:textId="3DFF4DE4" w:rsidR="0087590F" w:rsidRDefault="0087590F" w:rsidP="0087590F">
      <w:pPr>
        <w:pStyle w:val="ChartandTableFootnoteAlpha"/>
        <w:numPr>
          <w:ilvl w:val="0"/>
          <w:numId w:val="0"/>
        </w:numPr>
      </w:pPr>
      <w:r w:rsidRPr="00BF48CD">
        <w:t xml:space="preserve">Before republishing this data or comparing between years, thoroughly review the methodological and data caveats in </w:t>
      </w:r>
      <w:r w:rsidRPr="004A5FEC">
        <w:t>Appendix B.</w:t>
      </w:r>
      <w:r w:rsidRPr="00BF48CD">
        <w:t xml:space="preserve"> </w:t>
      </w:r>
    </w:p>
    <w:p w14:paraId="684FBFDD" w14:textId="55F2C51E" w:rsidR="00EC798B" w:rsidRDefault="00EC798B" w:rsidP="00EC798B">
      <w:pPr>
        <w:pStyle w:val="ChartandTableFootnoteAlpha"/>
      </w:pPr>
      <w:r w:rsidRPr="00BF48CD">
        <w:t>Comprises: textile, leather, clothing and footwear manufacturing; pulp, paper and converted paper product manufacturing; polymer product and rubber products manufacturing; non</w:t>
      </w:r>
      <w:r w:rsidR="003E7C79">
        <w:t>–</w:t>
      </w:r>
      <w:r w:rsidRPr="00BF48CD">
        <w:t>metallic mineral product manufacturing; primary metal and metal product manufacturing; fabricated metal products manufacturing; transport equipment manufacturing; machinery and equipment manufacturing; and furniture manufacturing.</w:t>
      </w:r>
    </w:p>
    <w:p w14:paraId="56805CEC" w14:textId="77777777" w:rsidR="00EC798B" w:rsidRPr="00BF48CD" w:rsidRDefault="00EC798B" w:rsidP="00EC798B">
      <w:pPr>
        <w:pStyle w:val="SingleParagraph"/>
      </w:pPr>
    </w:p>
    <w:p w14:paraId="1579A932" w14:textId="77777777" w:rsidR="00EC798B" w:rsidRPr="00820C89" w:rsidRDefault="00EC798B" w:rsidP="00655CC7">
      <w:pPr>
        <w:pStyle w:val="Heading3noTOC"/>
      </w:pPr>
      <w:bookmarkStart w:id="124" w:name="_Toc80368785"/>
      <w:bookmarkStart w:id="125" w:name="_Toc87014319"/>
      <w:r w:rsidRPr="00820C89">
        <w:t>Mineral exploration and development</w:t>
      </w:r>
      <w:bookmarkEnd w:id="124"/>
      <w:bookmarkEnd w:id="125"/>
    </w:p>
    <w:p w14:paraId="775CA65F" w14:textId="7E2CE24F" w:rsidR="00EC798B" w:rsidRDefault="00EC798B" w:rsidP="00EC798B">
      <w:bookmarkStart w:id="126" w:name="_Toc32247767"/>
      <w:r>
        <w:t>The mineral exploration and development sector saw a</w:t>
      </w:r>
      <w:r w:rsidR="002B251D">
        <w:t>n increase</w:t>
      </w:r>
      <w:r>
        <w:t xml:space="preserve"> in both the number of approvals (from </w:t>
      </w:r>
      <w:r w:rsidR="002B251D" w:rsidRPr="006266B3">
        <w:t>108</w:t>
      </w:r>
      <w:r>
        <w:t xml:space="preserve"> in </w:t>
      </w:r>
      <w:r w:rsidRPr="006266B3">
        <w:t>201</w:t>
      </w:r>
      <w:r w:rsidR="002B251D" w:rsidRPr="006266B3">
        <w:t>9</w:t>
      </w:r>
      <w:r w:rsidR="00065800">
        <w:noBreakHyphen/>
      </w:r>
      <w:r w:rsidR="002B251D" w:rsidRPr="006266B3">
        <w:t>20</w:t>
      </w:r>
      <w:r w:rsidRPr="006266B3">
        <w:t xml:space="preserve"> </w:t>
      </w:r>
      <w:r>
        <w:t xml:space="preserve">to </w:t>
      </w:r>
      <w:r w:rsidR="002B251D" w:rsidRPr="006266B3">
        <w:t>148</w:t>
      </w:r>
      <w:r>
        <w:t xml:space="preserve"> in </w:t>
      </w:r>
      <w:r w:rsidRPr="006266B3">
        <w:t>20</w:t>
      </w:r>
      <w:r w:rsidR="002B251D" w:rsidRPr="006266B3">
        <w:t>20</w:t>
      </w:r>
      <w:r w:rsidR="00065800">
        <w:noBreakHyphen/>
      </w:r>
      <w:r w:rsidRPr="006266B3">
        <w:t>2</w:t>
      </w:r>
      <w:r w:rsidR="002B251D" w:rsidRPr="006266B3">
        <w:t>1</w:t>
      </w:r>
      <w:r>
        <w:t xml:space="preserve">), and in the value of those approvals (from </w:t>
      </w:r>
      <w:r w:rsidRPr="006266B3">
        <w:t>$</w:t>
      </w:r>
      <w:r w:rsidR="002B251D" w:rsidRPr="006266B3">
        <w:t>11.2</w:t>
      </w:r>
      <w:r w:rsidRPr="006266B3">
        <w:t xml:space="preserve"> billion </w:t>
      </w:r>
      <w:r>
        <w:t xml:space="preserve">in </w:t>
      </w:r>
      <w:r w:rsidRPr="006266B3">
        <w:t>201</w:t>
      </w:r>
      <w:r w:rsidR="002B251D" w:rsidRPr="006266B3">
        <w:t>9</w:t>
      </w:r>
      <w:r w:rsidR="00065800">
        <w:noBreakHyphen/>
      </w:r>
      <w:r w:rsidR="002B251D" w:rsidRPr="006266B3">
        <w:t>20</w:t>
      </w:r>
      <w:r w:rsidRPr="006266B3">
        <w:t xml:space="preserve"> </w:t>
      </w:r>
      <w:r>
        <w:t xml:space="preserve">to </w:t>
      </w:r>
      <w:r w:rsidRPr="006266B3">
        <w:t>$11.</w:t>
      </w:r>
      <w:r w:rsidR="002B251D" w:rsidRPr="006266B3">
        <w:t>5</w:t>
      </w:r>
      <w:r w:rsidRPr="006266B3">
        <w:t xml:space="preserve"> billion </w:t>
      </w:r>
      <w:r>
        <w:t xml:space="preserve">in </w:t>
      </w:r>
      <w:r w:rsidRPr="006266B3">
        <w:t>20</w:t>
      </w:r>
      <w:r w:rsidR="002B251D" w:rsidRPr="006266B3">
        <w:t>20</w:t>
      </w:r>
      <w:r w:rsidR="00065800">
        <w:noBreakHyphen/>
      </w:r>
      <w:r w:rsidRPr="006266B3">
        <w:t>2</w:t>
      </w:r>
      <w:r w:rsidR="002B251D" w:rsidRPr="006266B3">
        <w:t>1</w:t>
      </w:r>
      <w:r>
        <w:t>).</w:t>
      </w:r>
    </w:p>
    <w:p w14:paraId="38678818" w14:textId="2769CED7" w:rsidR="00EC798B" w:rsidRDefault="00EC798B" w:rsidP="00EC798B">
      <w:r>
        <w:t xml:space="preserve">The </w:t>
      </w:r>
      <w:r w:rsidRPr="006266B3">
        <w:t>United</w:t>
      </w:r>
      <w:r w:rsidR="00802E3D">
        <w:t> </w:t>
      </w:r>
      <w:r w:rsidRPr="006266B3">
        <w:t xml:space="preserve">States </w:t>
      </w:r>
      <w:r>
        <w:t>(</w:t>
      </w:r>
      <w:r w:rsidRPr="006266B3">
        <w:t>$</w:t>
      </w:r>
      <w:r w:rsidR="000D14F9" w:rsidRPr="006266B3">
        <w:t>1</w:t>
      </w:r>
      <w:r w:rsidRPr="006266B3">
        <w:t>.</w:t>
      </w:r>
      <w:r w:rsidR="000D14F9" w:rsidRPr="006266B3">
        <w:t>6</w:t>
      </w:r>
      <w:r w:rsidRPr="006266B3">
        <w:t> billion</w:t>
      </w:r>
      <w:r>
        <w:t xml:space="preserve">), </w:t>
      </w:r>
      <w:r w:rsidR="000D14F9">
        <w:t>China</w:t>
      </w:r>
      <w:r w:rsidRPr="0087590F">
        <w:t xml:space="preserve"> (</w:t>
      </w:r>
      <w:r w:rsidRPr="006266B3">
        <w:t>$1.</w:t>
      </w:r>
      <w:r w:rsidR="00954C65">
        <w:t>5</w:t>
      </w:r>
      <w:r w:rsidRPr="006266B3">
        <w:t> billion</w:t>
      </w:r>
      <w:r>
        <w:t xml:space="preserve">) and </w:t>
      </w:r>
      <w:r w:rsidR="000D14F9" w:rsidRPr="006266B3">
        <w:t>the Cayman</w:t>
      </w:r>
      <w:r w:rsidR="00802E3D">
        <w:t> </w:t>
      </w:r>
      <w:r w:rsidR="000D14F9" w:rsidRPr="006266B3">
        <w:t>Islands</w:t>
      </w:r>
      <w:r>
        <w:t xml:space="preserve"> (</w:t>
      </w:r>
      <w:r w:rsidRPr="006266B3">
        <w:t>$</w:t>
      </w:r>
      <w:r w:rsidR="000D14F9" w:rsidRPr="006266B3">
        <w:t>1</w:t>
      </w:r>
      <w:r w:rsidRPr="006266B3">
        <w:t>.</w:t>
      </w:r>
      <w:r w:rsidR="000D14F9" w:rsidRPr="006266B3" w:rsidDel="00DB066D">
        <w:t>3</w:t>
      </w:r>
      <w:r w:rsidRPr="006266B3">
        <w:t> billion</w:t>
      </w:r>
      <w:r>
        <w:t>) were the largest source countries of investment by value in the sector (see Table</w:t>
      </w:r>
      <w:r w:rsidR="00802E3D">
        <w:t> </w:t>
      </w:r>
      <w:r w:rsidRPr="006266B3">
        <w:t>3.17</w:t>
      </w:r>
      <w:r>
        <w:t>).</w:t>
      </w:r>
    </w:p>
    <w:p w14:paraId="12728E74" w14:textId="51ADE76B" w:rsidR="008F2798" w:rsidRPr="009955B8" w:rsidRDefault="008F2798" w:rsidP="009955B8">
      <w:pPr>
        <w:pStyle w:val="TableMainHeading"/>
      </w:pPr>
      <w:bookmarkStart w:id="127" w:name="_Toc89939943"/>
      <w:r w:rsidRPr="009955B8">
        <w:t xml:space="preserve">Table </w:t>
      </w:r>
      <w:fldSimple w:instr=" STYLEREF 1 \s ">
        <w:r w:rsidR="0019342F">
          <w:rPr>
            <w:noProof/>
          </w:rPr>
          <w:t>3</w:t>
        </w:r>
      </w:fldSimple>
      <w:r w:rsidR="009812FE" w:rsidRPr="009955B8">
        <w:t>.</w:t>
      </w:r>
      <w:fldSimple w:instr=" SEQ Table \* ARABIC \s 1 ">
        <w:r w:rsidR="0019342F">
          <w:rPr>
            <w:noProof/>
          </w:rPr>
          <w:t>9</w:t>
        </w:r>
      </w:fldSimple>
      <w:r w:rsidRPr="009955B8">
        <w:t>: Mineral exploration and development sector approvals</w:t>
      </w:r>
      <w:r w:rsidR="00F07785" w:rsidRPr="009955B8">
        <w:t>,</w:t>
      </w:r>
      <w:r w:rsidRPr="009955B8">
        <w:t xml:space="preserve"> </w:t>
      </w:r>
      <w:r w:rsidR="00DC1928">
        <w:t>2017</w:t>
      </w:r>
      <w:r w:rsidR="00DC1928">
        <w:noBreakHyphen/>
        <w:t>18</w:t>
      </w:r>
      <w:r w:rsidRPr="009955B8">
        <w:t xml:space="preserve"> to 2020</w:t>
      </w:r>
      <w:r w:rsidR="00065800" w:rsidRPr="009955B8">
        <w:noBreakHyphen/>
      </w:r>
      <w:r w:rsidRPr="009955B8">
        <w:t>21</w:t>
      </w:r>
      <w:bookmarkEnd w:id="127"/>
    </w:p>
    <w:tbl>
      <w:tblPr>
        <w:tblW w:w="5000" w:type="pct"/>
        <w:tblLook w:val="04A0" w:firstRow="1" w:lastRow="0" w:firstColumn="1" w:lastColumn="0" w:noHBand="0" w:noVBand="1"/>
      </w:tblPr>
      <w:tblGrid>
        <w:gridCol w:w="2605"/>
        <w:gridCol w:w="598"/>
        <w:gridCol w:w="685"/>
        <w:gridCol w:w="638"/>
        <w:gridCol w:w="638"/>
        <w:gridCol w:w="638"/>
        <w:gridCol w:w="638"/>
        <w:gridCol w:w="638"/>
        <w:gridCol w:w="632"/>
      </w:tblGrid>
      <w:tr w:rsidR="000B5A5B" w:rsidRPr="00C95D7C" w14:paraId="62DA11D8" w14:textId="77777777" w:rsidTr="009955B8">
        <w:trPr>
          <w:trHeight w:val="227"/>
        </w:trPr>
        <w:tc>
          <w:tcPr>
            <w:tcW w:w="1689" w:type="pct"/>
            <w:tcBorders>
              <w:top w:val="single" w:sz="4" w:space="0" w:color="auto"/>
              <w:left w:val="nil"/>
              <w:bottom w:val="nil"/>
              <w:right w:val="nil"/>
            </w:tcBorders>
            <w:shd w:val="clear" w:color="000000" w:fill="FFFFFF"/>
            <w:noWrap/>
            <w:vAlign w:val="center"/>
            <w:hideMark/>
          </w:tcPr>
          <w:p w14:paraId="0E721763" w14:textId="77777777" w:rsidR="00EC798B" w:rsidRPr="00C95D7C" w:rsidRDefault="00EC798B" w:rsidP="00EC798B">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 </w:t>
            </w:r>
          </w:p>
        </w:tc>
        <w:tc>
          <w:tcPr>
            <w:tcW w:w="830" w:type="pct"/>
            <w:gridSpan w:val="2"/>
            <w:tcBorders>
              <w:top w:val="single" w:sz="4" w:space="0" w:color="auto"/>
              <w:left w:val="nil"/>
              <w:bottom w:val="single" w:sz="4" w:space="0" w:color="auto"/>
              <w:right w:val="nil"/>
            </w:tcBorders>
            <w:shd w:val="clear" w:color="000000" w:fill="FFFFFF"/>
            <w:noWrap/>
            <w:vAlign w:val="center"/>
            <w:hideMark/>
          </w:tcPr>
          <w:p w14:paraId="49F7F23A" w14:textId="79A24A38" w:rsidR="00EC798B" w:rsidRPr="002B251D" w:rsidRDefault="00DC1928" w:rsidP="00EC798B">
            <w:pPr>
              <w:keepNext/>
              <w:keepLines/>
              <w:spacing w:after="0" w:line="240" w:lineRule="auto"/>
              <w:jc w:val="center"/>
              <w:rPr>
                <w:rFonts w:ascii="Arial" w:hAnsi="Arial" w:cs="Arial"/>
                <w:color w:val="auto"/>
                <w:sz w:val="16"/>
                <w:szCs w:val="16"/>
              </w:rPr>
            </w:pPr>
            <w:r>
              <w:rPr>
                <w:rFonts w:ascii="Arial" w:hAnsi="Arial" w:cs="Arial"/>
                <w:color w:val="auto"/>
                <w:sz w:val="16"/>
                <w:szCs w:val="16"/>
              </w:rPr>
              <w:t>2017</w:t>
            </w:r>
            <w:r>
              <w:rPr>
                <w:rFonts w:ascii="Arial" w:hAnsi="Arial" w:cs="Arial"/>
                <w:color w:val="auto"/>
                <w:sz w:val="16"/>
                <w:szCs w:val="16"/>
              </w:rPr>
              <w:noBreakHyphen/>
              <w:t>18</w:t>
            </w:r>
          </w:p>
        </w:tc>
        <w:tc>
          <w:tcPr>
            <w:tcW w:w="827" w:type="pct"/>
            <w:gridSpan w:val="2"/>
            <w:tcBorders>
              <w:top w:val="single" w:sz="4" w:space="0" w:color="auto"/>
              <w:left w:val="nil"/>
              <w:bottom w:val="single" w:sz="4" w:space="0" w:color="auto"/>
              <w:right w:val="nil"/>
            </w:tcBorders>
            <w:shd w:val="clear" w:color="auto" w:fill="auto"/>
            <w:noWrap/>
            <w:vAlign w:val="center"/>
            <w:hideMark/>
          </w:tcPr>
          <w:p w14:paraId="48147CED" w14:textId="04C72F65" w:rsidR="00EC798B" w:rsidRPr="002B251D" w:rsidRDefault="00C17F09" w:rsidP="00EC798B">
            <w:pPr>
              <w:keepNext/>
              <w:keepLines/>
              <w:spacing w:after="0" w:line="240" w:lineRule="auto"/>
              <w:jc w:val="center"/>
              <w:rPr>
                <w:rFonts w:ascii="Arial" w:hAnsi="Arial" w:cs="Arial"/>
                <w:sz w:val="16"/>
                <w:szCs w:val="16"/>
              </w:rPr>
            </w:pPr>
            <w:r>
              <w:rPr>
                <w:rFonts w:ascii="Arial" w:hAnsi="Arial" w:cs="Arial"/>
                <w:sz w:val="16"/>
                <w:szCs w:val="16"/>
              </w:rPr>
              <w:t>2018</w:t>
            </w:r>
            <w:r>
              <w:rPr>
                <w:rFonts w:ascii="Arial" w:hAnsi="Arial" w:cs="Arial"/>
                <w:sz w:val="16"/>
                <w:szCs w:val="16"/>
              </w:rPr>
              <w:noBreakHyphen/>
              <w:t>19</w:t>
            </w:r>
          </w:p>
        </w:tc>
        <w:tc>
          <w:tcPr>
            <w:tcW w:w="827" w:type="pct"/>
            <w:gridSpan w:val="2"/>
            <w:tcBorders>
              <w:top w:val="single" w:sz="4" w:space="0" w:color="auto"/>
              <w:left w:val="nil"/>
              <w:bottom w:val="single" w:sz="4" w:space="0" w:color="auto"/>
              <w:right w:val="nil"/>
            </w:tcBorders>
            <w:shd w:val="clear" w:color="000000" w:fill="FFFFFF"/>
            <w:noWrap/>
            <w:vAlign w:val="center"/>
            <w:hideMark/>
          </w:tcPr>
          <w:p w14:paraId="5509727A" w14:textId="1DF35C5B" w:rsidR="00EC798B" w:rsidRPr="002B251D" w:rsidRDefault="00D76ED2" w:rsidP="00EC798B">
            <w:pPr>
              <w:keepNext/>
              <w:keepLines/>
              <w:spacing w:after="0" w:line="240" w:lineRule="auto"/>
              <w:jc w:val="center"/>
              <w:rPr>
                <w:rFonts w:ascii="Arial" w:hAnsi="Arial" w:cs="Arial"/>
                <w:sz w:val="16"/>
                <w:szCs w:val="16"/>
              </w:rPr>
            </w:pPr>
            <w:r>
              <w:rPr>
                <w:rFonts w:ascii="Arial" w:hAnsi="Arial" w:cs="Arial"/>
                <w:sz w:val="16"/>
                <w:szCs w:val="16"/>
              </w:rPr>
              <w:t>2019</w:t>
            </w:r>
            <w:r>
              <w:rPr>
                <w:rFonts w:ascii="Arial" w:hAnsi="Arial" w:cs="Arial"/>
                <w:sz w:val="16"/>
                <w:szCs w:val="16"/>
              </w:rPr>
              <w:noBreakHyphen/>
              <w:t>20</w:t>
            </w:r>
          </w:p>
        </w:tc>
        <w:tc>
          <w:tcPr>
            <w:tcW w:w="826" w:type="pct"/>
            <w:gridSpan w:val="2"/>
            <w:tcBorders>
              <w:top w:val="single" w:sz="4" w:space="0" w:color="auto"/>
              <w:left w:val="nil"/>
              <w:bottom w:val="single" w:sz="4" w:space="0" w:color="auto"/>
              <w:right w:val="nil"/>
            </w:tcBorders>
            <w:shd w:val="clear" w:color="auto" w:fill="E1E8EB"/>
            <w:noWrap/>
            <w:vAlign w:val="center"/>
            <w:hideMark/>
          </w:tcPr>
          <w:p w14:paraId="66799F1D" w14:textId="547DBF04" w:rsidR="00EC798B" w:rsidRPr="002B251D" w:rsidRDefault="00D76ED2" w:rsidP="00EC798B">
            <w:pPr>
              <w:keepNext/>
              <w:keepLines/>
              <w:spacing w:after="0" w:line="240" w:lineRule="auto"/>
              <w:jc w:val="center"/>
              <w:rPr>
                <w:rFonts w:ascii="Arial" w:hAnsi="Arial" w:cs="Arial"/>
                <w:sz w:val="16"/>
                <w:szCs w:val="16"/>
              </w:rPr>
            </w:pPr>
            <w:r>
              <w:rPr>
                <w:rFonts w:ascii="Arial" w:hAnsi="Arial" w:cs="Arial"/>
                <w:sz w:val="16"/>
                <w:szCs w:val="16"/>
              </w:rPr>
              <w:t>2020</w:t>
            </w:r>
            <w:r>
              <w:rPr>
                <w:rFonts w:ascii="Arial" w:hAnsi="Arial" w:cs="Arial"/>
                <w:sz w:val="16"/>
                <w:szCs w:val="16"/>
              </w:rPr>
              <w:noBreakHyphen/>
              <w:t>21</w:t>
            </w:r>
          </w:p>
        </w:tc>
      </w:tr>
      <w:tr w:rsidR="000B5A5B" w:rsidRPr="00C95D7C" w14:paraId="19DD5B96" w14:textId="77777777" w:rsidTr="009955B8">
        <w:trPr>
          <w:trHeight w:val="227"/>
        </w:trPr>
        <w:tc>
          <w:tcPr>
            <w:tcW w:w="1689" w:type="pct"/>
            <w:tcBorders>
              <w:top w:val="nil"/>
              <w:left w:val="nil"/>
              <w:bottom w:val="single" w:sz="4" w:space="0" w:color="000000"/>
              <w:right w:val="nil"/>
            </w:tcBorders>
            <w:shd w:val="clear" w:color="000000" w:fill="FFFFFF"/>
            <w:noWrap/>
            <w:vAlign w:val="center"/>
            <w:hideMark/>
          </w:tcPr>
          <w:p w14:paraId="62EB8467" w14:textId="77777777" w:rsidR="00EC798B" w:rsidRPr="00C95D7C" w:rsidRDefault="00EC798B" w:rsidP="00EC798B">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Group</w:t>
            </w:r>
          </w:p>
        </w:tc>
        <w:tc>
          <w:tcPr>
            <w:tcW w:w="387" w:type="pct"/>
            <w:tcBorders>
              <w:top w:val="nil"/>
              <w:left w:val="nil"/>
              <w:bottom w:val="single" w:sz="4" w:space="0" w:color="000000"/>
              <w:right w:val="nil"/>
            </w:tcBorders>
            <w:shd w:val="clear" w:color="000000" w:fill="FFFFFF"/>
            <w:noWrap/>
            <w:vAlign w:val="center"/>
            <w:hideMark/>
          </w:tcPr>
          <w:p w14:paraId="004343B4" w14:textId="77777777" w:rsidR="00EC798B" w:rsidRPr="002B251D" w:rsidRDefault="00EC798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No.</w:t>
            </w:r>
          </w:p>
        </w:tc>
        <w:tc>
          <w:tcPr>
            <w:tcW w:w="444" w:type="pct"/>
            <w:tcBorders>
              <w:top w:val="nil"/>
              <w:left w:val="nil"/>
              <w:bottom w:val="single" w:sz="4" w:space="0" w:color="000000"/>
              <w:right w:val="nil"/>
            </w:tcBorders>
            <w:shd w:val="clear" w:color="000000" w:fill="FFFFFF"/>
            <w:noWrap/>
            <w:vAlign w:val="center"/>
            <w:hideMark/>
          </w:tcPr>
          <w:p w14:paraId="2F891387" w14:textId="77777777" w:rsidR="00EC798B" w:rsidRPr="002B251D" w:rsidRDefault="00EC798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$b</w:t>
            </w:r>
          </w:p>
        </w:tc>
        <w:tc>
          <w:tcPr>
            <w:tcW w:w="414" w:type="pct"/>
            <w:tcBorders>
              <w:top w:val="nil"/>
              <w:left w:val="nil"/>
              <w:bottom w:val="single" w:sz="4" w:space="0" w:color="auto"/>
              <w:right w:val="nil"/>
            </w:tcBorders>
            <w:shd w:val="clear" w:color="000000" w:fill="FFFFFF"/>
            <w:vAlign w:val="center"/>
            <w:hideMark/>
          </w:tcPr>
          <w:p w14:paraId="38BEF24B" w14:textId="77777777" w:rsidR="00EC798B" w:rsidRPr="002B251D" w:rsidRDefault="00EC798B" w:rsidP="00EC798B">
            <w:pPr>
              <w:keepNext/>
              <w:keepLines/>
              <w:spacing w:after="0" w:line="240" w:lineRule="auto"/>
              <w:jc w:val="right"/>
              <w:rPr>
                <w:rFonts w:ascii="Arial" w:hAnsi="Arial" w:cs="Arial"/>
                <w:sz w:val="16"/>
                <w:szCs w:val="16"/>
              </w:rPr>
            </w:pPr>
            <w:r w:rsidRPr="002B251D">
              <w:rPr>
                <w:rFonts w:ascii="Arial" w:hAnsi="Arial" w:cs="Arial"/>
                <w:sz w:val="16"/>
                <w:szCs w:val="16"/>
              </w:rPr>
              <w:t>No.</w:t>
            </w:r>
          </w:p>
        </w:tc>
        <w:tc>
          <w:tcPr>
            <w:tcW w:w="414" w:type="pct"/>
            <w:tcBorders>
              <w:top w:val="nil"/>
              <w:left w:val="nil"/>
              <w:bottom w:val="single" w:sz="4" w:space="0" w:color="auto"/>
              <w:right w:val="nil"/>
            </w:tcBorders>
            <w:shd w:val="clear" w:color="000000" w:fill="FFFFFF"/>
            <w:vAlign w:val="center"/>
            <w:hideMark/>
          </w:tcPr>
          <w:p w14:paraId="1061FDB7" w14:textId="77777777" w:rsidR="00EC798B" w:rsidRPr="002B251D" w:rsidRDefault="00EC798B" w:rsidP="00EC798B">
            <w:pPr>
              <w:keepNext/>
              <w:keepLines/>
              <w:spacing w:after="0" w:line="240" w:lineRule="auto"/>
              <w:jc w:val="right"/>
              <w:rPr>
                <w:rFonts w:ascii="Arial" w:hAnsi="Arial" w:cs="Arial"/>
                <w:sz w:val="16"/>
                <w:szCs w:val="16"/>
              </w:rPr>
            </w:pPr>
            <w:r w:rsidRPr="002B251D">
              <w:rPr>
                <w:rFonts w:ascii="Arial" w:hAnsi="Arial" w:cs="Arial"/>
                <w:sz w:val="16"/>
                <w:szCs w:val="16"/>
              </w:rPr>
              <w:t>$b</w:t>
            </w:r>
          </w:p>
        </w:tc>
        <w:tc>
          <w:tcPr>
            <w:tcW w:w="414" w:type="pct"/>
            <w:tcBorders>
              <w:top w:val="nil"/>
              <w:left w:val="nil"/>
              <w:bottom w:val="single" w:sz="4" w:space="0" w:color="auto"/>
              <w:right w:val="nil"/>
            </w:tcBorders>
            <w:shd w:val="clear" w:color="000000" w:fill="FFFFFF"/>
            <w:vAlign w:val="center"/>
            <w:hideMark/>
          </w:tcPr>
          <w:p w14:paraId="1A4F207C" w14:textId="77777777" w:rsidR="00EC798B" w:rsidRPr="002B251D" w:rsidRDefault="00EC798B" w:rsidP="00EC798B">
            <w:pPr>
              <w:keepNext/>
              <w:keepLines/>
              <w:spacing w:after="0" w:line="240" w:lineRule="auto"/>
              <w:jc w:val="right"/>
              <w:rPr>
                <w:rFonts w:ascii="Arial" w:hAnsi="Arial" w:cs="Arial"/>
                <w:sz w:val="16"/>
                <w:szCs w:val="16"/>
              </w:rPr>
            </w:pPr>
            <w:r w:rsidRPr="002B251D">
              <w:rPr>
                <w:rFonts w:ascii="Arial" w:hAnsi="Arial" w:cs="Arial"/>
                <w:sz w:val="16"/>
                <w:szCs w:val="16"/>
              </w:rPr>
              <w:t>No.</w:t>
            </w:r>
          </w:p>
        </w:tc>
        <w:tc>
          <w:tcPr>
            <w:tcW w:w="414" w:type="pct"/>
            <w:tcBorders>
              <w:top w:val="nil"/>
              <w:left w:val="nil"/>
              <w:bottom w:val="single" w:sz="4" w:space="0" w:color="auto"/>
              <w:right w:val="nil"/>
            </w:tcBorders>
            <w:shd w:val="clear" w:color="000000" w:fill="FFFFFF"/>
            <w:vAlign w:val="center"/>
            <w:hideMark/>
          </w:tcPr>
          <w:p w14:paraId="689E0811" w14:textId="77777777" w:rsidR="00EC798B" w:rsidRPr="002B251D" w:rsidRDefault="00EC798B" w:rsidP="00EC798B">
            <w:pPr>
              <w:keepNext/>
              <w:keepLines/>
              <w:spacing w:after="0" w:line="240" w:lineRule="auto"/>
              <w:jc w:val="right"/>
              <w:rPr>
                <w:rFonts w:ascii="Arial" w:hAnsi="Arial" w:cs="Arial"/>
                <w:sz w:val="16"/>
                <w:szCs w:val="16"/>
              </w:rPr>
            </w:pPr>
            <w:r w:rsidRPr="002B251D">
              <w:rPr>
                <w:rFonts w:ascii="Arial" w:hAnsi="Arial" w:cs="Arial"/>
                <w:sz w:val="16"/>
                <w:szCs w:val="16"/>
              </w:rPr>
              <w:t>$b</w:t>
            </w:r>
          </w:p>
        </w:tc>
        <w:tc>
          <w:tcPr>
            <w:tcW w:w="414" w:type="pct"/>
            <w:tcBorders>
              <w:top w:val="nil"/>
              <w:left w:val="nil"/>
              <w:bottom w:val="single" w:sz="4" w:space="0" w:color="auto"/>
              <w:right w:val="nil"/>
            </w:tcBorders>
            <w:shd w:val="clear" w:color="auto" w:fill="E1E8EB"/>
            <w:vAlign w:val="center"/>
            <w:hideMark/>
          </w:tcPr>
          <w:p w14:paraId="11A857E9" w14:textId="77777777" w:rsidR="00EC798B" w:rsidRPr="002B251D" w:rsidRDefault="00EC798B" w:rsidP="00EC798B">
            <w:pPr>
              <w:keepNext/>
              <w:keepLines/>
              <w:spacing w:after="0" w:line="240" w:lineRule="auto"/>
              <w:jc w:val="right"/>
              <w:rPr>
                <w:rFonts w:ascii="Arial" w:hAnsi="Arial" w:cs="Arial"/>
                <w:sz w:val="16"/>
                <w:szCs w:val="16"/>
              </w:rPr>
            </w:pPr>
            <w:r w:rsidRPr="002B251D">
              <w:rPr>
                <w:rFonts w:ascii="Arial" w:hAnsi="Arial" w:cs="Arial"/>
                <w:sz w:val="16"/>
                <w:szCs w:val="16"/>
              </w:rPr>
              <w:t>No.</w:t>
            </w:r>
          </w:p>
        </w:tc>
        <w:tc>
          <w:tcPr>
            <w:tcW w:w="412" w:type="pct"/>
            <w:tcBorders>
              <w:top w:val="nil"/>
              <w:left w:val="nil"/>
              <w:bottom w:val="single" w:sz="4" w:space="0" w:color="auto"/>
              <w:right w:val="nil"/>
            </w:tcBorders>
            <w:shd w:val="clear" w:color="auto" w:fill="E1E8EB"/>
            <w:vAlign w:val="center"/>
            <w:hideMark/>
          </w:tcPr>
          <w:p w14:paraId="0241300F" w14:textId="77777777" w:rsidR="00EC798B" w:rsidRPr="002B251D" w:rsidRDefault="00EC798B" w:rsidP="00EC798B">
            <w:pPr>
              <w:keepNext/>
              <w:keepLines/>
              <w:spacing w:after="0" w:line="240" w:lineRule="auto"/>
              <w:jc w:val="right"/>
              <w:rPr>
                <w:rFonts w:ascii="Arial" w:hAnsi="Arial" w:cs="Arial"/>
                <w:sz w:val="16"/>
                <w:szCs w:val="16"/>
              </w:rPr>
            </w:pPr>
            <w:r w:rsidRPr="002B251D">
              <w:rPr>
                <w:rFonts w:ascii="Arial" w:hAnsi="Arial" w:cs="Arial"/>
                <w:sz w:val="16"/>
                <w:szCs w:val="16"/>
              </w:rPr>
              <w:t>$b</w:t>
            </w:r>
          </w:p>
        </w:tc>
      </w:tr>
      <w:tr w:rsidR="000B5A5B" w:rsidRPr="00C95D7C" w14:paraId="7ACF565F" w14:textId="77777777" w:rsidTr="009955B8">
        <w:trPr>
          <w:trHeight w:val="227"/>
        </w:trPr>
        <w:tc>
          <w:tcPr>
            <w:tcW w:w="1689" w:type="pct"/>
            <w:tcBorders>
              <w:top w:val="nil"/>
              <w:left w:val="nil"/>
              <w:bottom w:val="nil"/>
              <w:right w:val="nil"/>
            </w:tcBorders>
            <w:shd w:val="clear" w:color="000000" w:fill="FFFFFF"/>
            <w:noWrap/>
            <w:vAlign w:val="center"/>
            <w:hideMark/>
          </w:tcPr>
          <w:p w14:paraId="5C0F3C72" w14:textId="77777777" w:rsidR="00EC798B" w:rsidRPr="00C95D7C" w:rsidRDefault="00EC798B" w:rsidP="00EC798B">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Coal</w:t>
            </w:r>
          </w:p>
        </w:tc>
        <w:tc>
          <w:tcPr>
            <w:tcW w:w="387" w:type="pct"/>
            <w:tcBorders>
              <w:top w:val="nil"/>
              <w:left w:val="nil"/>
              <w:bottom w:val="nil"/>
              <w:right w:val="nil"/>
            </w:tcBorders>
            <w:shd w:val="clear" w:color="000000" w:fill="FFFFFF"/>
            <w:noWrap/>
            <w:vAlign w:val="center"/>
            <w:hideMark/>
          </w:tcPr>
          <w:p w14:paraId="4F8EBFAC" w14:textId="6217E1C6"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23</w:t>
            </w:r>
          </w:p>
        </w:tc>
        <w:tc>
          <w:tcPr>
            <w:tcW w:w="444" w:type="pct"/>
            <w:tcBorders>
              <w:top w:val="nil"/>
              <w:left w:val="nil"/>
              <w:bottom w:val="nil"/>
              <w:right w:val="nil"/>
            </w:tcBorders>
            <w:shd w:val="clear" w:color="000000" w:fill="FFFFFF"/>
            <w:noWrap/>
            <w:vAlign w:val="center"/>
            <w:hideMark/>
          </w:tcPr>
          <w:p w14:paraId="325C16A8" w14:textId="493D5174"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8.5</w:t>
            </w:r>
          </w:p>
        </w:tc>
        <w:tc>
          <w:tcPr>
            <w:tcW w:w="414" w:type="pct"/>
            <w:tcBorders>
              <w:top w:val="nil"/>
              <w:left w:val="nil"/>
              <w:bottom w:val="nil"/>
              <w:right w:val="nil"/>
            </w:tcBorders>
            <w:shd w:val="clear" w:color="000000" w:fill="FFFFFF"/>
            <w:noWrap/>
            <w:vAlign w:val="center"/>
            <w:hideMark/>
          </w:tcPr>
          <w:p w14:paraId="11DDF776" w14:textId="506AB7E4"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37</w:t>
            </w:r>
          </w:p>
        </w:tc>
        <w:tc>
          <w:tcPr>
            <w:tcW w:w="414" w:type="pct"/>
            <w:tcBorders>
              <w:top w:val="nil"/>
              <w:left w:val="nil"/>
              <w:bottom w:val="nil"/>
              <w:right w:val="nil"/>
            </w:tcBorders>
            <w:shd w:val="clear" w:color="000000" w:fill="FFFFFF"/>
            <w:noWrap/>
            <w:vAlign w:val="center"/>
            <w:hideMark/>
          </w:tcPr>
          <w:p w14:paraId="0B6B27D6" w14:textId="291D7D1F"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6.5</w:t>
            </w:r>
          </w:p>
        </w:tc>
        <w:tc>
          <w:tcPr>
            <w:tcW w:w="414" w:type="pct"/>
            <w:tcBorders>
              <w:top w:val="nil"/>
              <w:left w:val="nil"/>
              <w:bottom w:val="nil"/>
              <w:right w:val="nil"/>
            </w:tcBorders>
            <w:shd w:val="clear" w:color="000000" w:fill="FFFFFF"/>
            <w:noWrap/>
            <w:vAlign w:val="center"/>
            <w:hideMark/>
          </w:tcPr>
          <w:p w14:paraId="28E3F889" w14:textId="6B55D930"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27</w:t>
            </w:r>
          </w:p>
        </w:tc>
        <w:tc>
          <w:tcPr>
            <w:tcW w:w="414" w:type="pct"/>
            <w:tcBorders>
              <w:top w:val="nil"/>
              <w:left w:val="nil"/>
              <w:bottom w:val="nil"/>
              <w:right w:val="nil"/>
            </w:tcBorders>
            <w:shd w:val="clear" w:color="000000" w:fill="FFFFFF"/>
            <w:noWrap/>
            <w:vAlign w:val="center"/>
            <w:hideMark/>
          </w:tcPr>
          <w:p w14:paraId="4CC277A9" w14:textId="5779F8DA"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1.3</w:t>
            </w:r>
          </w:p>
        </w:tc>
        <w:tc>
          <w:tcPr>
            <w:tcW w:w="414" w:type="pct"/>
            <w:tcBorders>
              <w:top w:val="nil"/>
              <w:left w:val="nil"/>
              <w:bottom w:val="nil"/>
              <w:right w:val="nil"/>
            </w:tcBorders>
            <w:shd w:val="clear" w:color="auto" w:fill="E1E8EB"/>
            <w:noWrap/>
            <w:vAlign w:val="center"/>
            <w:hideMark/>
          </w:tcPr>
          <w:p w14:paraId="5B756AB4" w14:textId="7D4CAB1E"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23</w:t>
            </w:r>
          </w:p>
        </w:tc>
        <w:tc>
          <w:tcPr>
            <w:tcW w:w="412" w:type="pct"/>
            <w:tcBorders>
              <w:top w:val="nil"/>
              <w:left w:val="nil"/>
              <w:bottom w:val="nil"/>
              <w:right w:val="nil"/>
            </w:tcBorders>
            <w:shd w:val="clear" w:color="auto" w:fill="E1E8EB"/>
            <w:noWrap/>
            <w:vAlign w:val="center"/>
            <w:hideMark/>
          </w:tcPr>
          <w:p w14:paraId="428B7333" w14:textId="014D9BA2"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1.0</w:t>
            </w:r>
          </w:p>
        </w:tc>
      </w:tr>
      <w:tr w:rsidR="000B5A5B" w:rsidRPr="00C95D7C" w14:paraId="08E1D7A8" w14:textId="77777777" w:rsidTr="009955B8">
        <w:trPr>
          <w:trHeight w:val="227"/>
        </w:trPr>
        <w:tc>
          <w:tcPr>
            <w:tcW w:w="1689" w:type="pct"/>
            <w:tcBorders>
              <w:top w:val="nil"/>
              <w:left w:val="nil"/>
              <w:bottom w:val="nil"/>
              <w:right w:val="nil"/>
            </w:tcBorders>
            <w:shd w:val="clear" w:color="000000" w:fill="FFFFFF"/>
            <w:noWrap/>
            <w:vAlign w:val="center"/>
            <w:hideMark/>
          </w:tcPr>
          <w:p w14:paraId="7F317B76" w14:textId="77777777" w:rsidR="00EC798B" w:rsidRPr="00C95D7C" w:rsidRDefault="00EC798B" w:rsidP="00EC798B">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Oil &amp; gas extraction</w:t>
            </w:r>
          </w:p>
        </w:tc>
        <w:tc>
          <w:tcPr>
            <w:tcW w:w="387" w:type="pct"/>
            <w:tcBorders>
              <w:top w:val="nil"/>
              <w:left w:val="nil"/>
              <w:bottom w:val="nil"/>
              <w:right w:val="nil"/>
            </w:tcBorders>
            <w:shd w:val="clear" w:color="000000" w:fill="FFFFFF"/>
            <w:noWrap/>
            <w:vAlign w:val="center"/>
            <w:hideMark/>
          </w:tcPr>
          <w:p w14:paraId="285A4EF0" w14:textId="1958418A"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20</w:t>
            </w:r>
          </w:p>
        </w:tc>
        <w:tc>
          <w:tcPr>
            <w:tcW w:w="444" w:type="pct"/>
            <w:tcBorders>
              <w:top w:val="nil"/>
              <w:left w:val="nil"/>
              <w:bottom w:val="nil"/>
              <w:right w:val="nil"/>
            </w:tcBorders>
            <w:shd w:val="clear" w:color="000000" w:fill="FFFFFF"/>
            <w:noWrap/>
            <w:vAlign w:val="center"/>
            <w:hideMark/>
          </w:tcPr>
          <w:p w14:paraId="2B930469" w14:textId="69D6FAA3"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1.6</w:t>
            </w:r>
          </w:p>
        </w:tc>
        <w:tc>
          <w:tcPr>
            <w:tcW w:w="414" w:type="pct"/>
            <w:tcBorders>
              <w:top w:val="nil"/>
              <w:left w:val="nil"/>
              <w:bottom w:val="nil"/>
              <w:right w:val="nil"/>
            </w:tcBorders>
            <w:shd w:val="clear" w:color="000000" w:fill="FFFFFF"/>
            <w:noWrap/>
            <w:vAlign w:val="center"/>
            <w:hideMark/>
          </w:tcPr>
          <w:p w14:paraId="421D04F7" w14:textId="775A2AB2"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17</w:t>
            </w:r>
          </w:p>
        </w:tc>
        <w:tc>
          <w:tcPr>
            <w:tcW w:w="414" w:type="pct"/>
            <w:tcBorders>
              <w:top w:val="nil"/>
              <w:left w:val="nil"/>
              <w:bottom w:val="nil"/>
              <w:right w:val="nil"/>
            </w:tcBorders>
            <w:shd w:val="clear" w:color="000000" w:fill="FFFFFF"/>
            <w:noWrap/>
            <w:vAlign w:val="center"/>
            <w:hideMark/>
          </w:tcPr>
          <w:p w14:paraId="6E5442E2" w14:textId="5924F156"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4.1</w:t>
            </w:r>
          </w:p>
        </w:tc>
        <w:tc>
          <w:tcPr>
            <w:tcW w:w="414" w:type="pct"/>
            <w:tcBorders>
              <w:top w:val="nil"/>
              <w:left w:val="nil"/>
              <w:bottom w:val="nil"/>
              <w:right w:val="nil"/>
            </w:tcBorders>
            <w:shd w:val="clear" w:color="000000" w:fill="FFFFFF"/>
            <w:noWrap/>
            <w:vAlign w:val="center"/>
            <w:hideMark/>
          </w:tcPr>
          <w:p w14:paraId="3196B90F" w14:textId="794B680D"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14</w:t>
            </w:r>
          </w:p>
        </w:tc>
        <w:tc>
          <w:tcPr>
            <w:tcW w:w="414" w:type="pct"/>
            <w:tcBorders>
              <w:top w:val="nil"/>
              <w:left w:val="nil"/>
              <w:bottom w:val="nil"/>
              <w:right w:val="nil"/>
            </w:tcBorders>
            <w:shd w:val="clear" w:color="000000" w:fill="FFFFFF"/>
            <w:noWrap/>
            <w:vAlign w:val="center"/>
            <w:hideMark/>
          </w:tcPr>
          <w:p w14:paraId="7E465015" w14:textId="5CE3A592"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2.5</w:t>
            </w:r>
          </w:p>
        </w:tc>
        <w:tc>
          <w:tcPr>
            <w:tcW w:w="414" w:type="pct"/>
            <w:tcBorders>
              <w:top w:val="nil"/>
              <w:left w:val="nil"/>
              <w:bottom w:val="nil"/>
              <w:right w:val="nil"/>
            </w:tcBorders>
            <w:shd w:val="clear" w:color="auto" w:fill="E1E8EB"/>
            <w:noWrap/>
            <w:vAlign w:val="center"/>
            <w:hideMark/>
          </w:tcPr>
          <w:p w14:paraId="6A7B3B73" w14:textId="2453ACC7"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21</w:t>
            </w:r>
          </w:p>
        </w:tc>
        <w:tc>
          <w:tcPr>
            <w:tcW w:w="412" w:type="pct"/>
            <w:tcBorders>
              <w:top w:val="nil"/>
              <w:left w:val="nil"/>
              <w:bottom w:val="nil"/>
              <w:right w:val="nil"/>
            </w:tcBorders>
            <w:shd w:val="clear" w:color="auto" w:fill="E1E8EB"/>
            <w:noWrap/>
            <w:vAlign w:val="center"/>
            <w:hideMark/>
          </w:tcPr>
          <w:p w14:paraId="14A49481" w14:textId="391826DC"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0.7</w:t>
            </w:r>
          </w:p>
        </w:tc>
      </w:tr>
      <w:tr w:rsidR="000B5A5B" w:rsidRPr="00C95D7C" w14:paraId="346A46B0" w14:textId="77777777" w:rsidTr="009955B8">
        <w:trPr>
          <w:trHeight w:val="227"/>
        </w:trPr>
        <w:tc>
          <w:tcPr>
            <w:tcW w:w="1689" w:type="pct"/>
            <w:tcBorders>
              <w:top w:val="nil"/>
              <w:left w:val="nil"/>
              <w:bottom w:val="nil"/>
              <w:right w:val="nil"/>
            </w:tcBorders>
            <w:shd w:val="clear" w:color="000000" w:fill="FFFFFF"/>
            <w:noWrap/>
            <w:vAlign w:val="center"/>
            <w:hideMark/>
          </w:tcPr>
          <w:p w14:paraId="5B1B03BF" w14:textId="77777777" w:rsidR="00EC798B" w:rsidRPr="00C95D7C" w:rsidRDefault="00EC798B" w:rsidP="00EC798B">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Metallic minerals</w:t>
            </w:r>
          </w:p>
        </w:tc>
        <w:tc>
          <w:tcPr>
            <w:tcW w:w="387" w:type="pct"/>
            <w:tcBorders>
              <w:top w:val="nil"/>
              <w:left w:val="nil"/>
              <w:bottom w:val="nil"/>
              <w:right w:val="nil"/>
            </w:tcBorders>
            <w:shd w:val="clear" w:color="000000" w:fill="FFFFFF"/>
            <w:noWrap/>
            <w:vAlign w:val="center"/>
            <w:hideMark/>
          </w:tcPr>
          <w:p w14:paraId="366BADAC" w14:textId="6E979438"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51</w:t>
            </w:r>
          </w:p>
        </w:tc>
        <w:tc>
          <w:tcPr>
            <w:tcW w:w="444" w:type="pct"/>
            <w:tcBorders>
              <w:top w:val="nil"/>
              <w:left w:val="nil"/>
              <w:bottom w:val="nil"/>
              <w:right w:val="nil"/>
            </w:tcBorders>
            <w:shd w:val="clear" w:color="000000" w:fill="FFFFFF"/>
            <w:noWrap/>
            <w:vAlign w:val="center"/>
            <w:hideMark/>
          </w:tcPr>
          <w:p w14:paraId="5BF27FEA" w14:textId="481E216D"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4.9</w:t>
            </w:r>
          </w:p>
        </w:tc>
        <w:tc>
          <w:tcPr>
            <w:tcW w:w="414" w:type="pct"/>
            <w:tcBorders>
              <w:top w:val="nil"/>
              <w:left w:val="nil"/>
              <w:bottom w:val="nil"/>
              <w:right w:val="nil"/>
            </w:tcBorders>
            <w:shd w:val="clear" w:color="000000" w:fill="FFFFFF"/>
            <w:noWrap/>
            <w:vAlign w:val="center"/>
            <w:hideMark/>
          </w:tcPr>
          <w:p w14:paraId="01222B73" w14:textId="46F540D1"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43</w:t>
            </w:r>
          </w:p>
        </w:tc>
        <w:tc>
          <w:tcPr>
            <w:tcW w:w="414" w:type="pct"/>
            <w:tcBorders>
              <w:top w:val="nil"/>
              <w:left w:val="nil"/>
              <w:bottom w:val="nil"/>
              <w:right w:val="nil"/>
            </w:tcBorders>
            <w:shd w:val="clear" w:color="000000" w:fill="FFFFFF"/>
            <w:noWrap/>
            <w:vAlign w:val="center"/>
            <w:hideMark/>
          </w:tcPr>
          <w:p w14:paraId="16E97C6C" w14:textId="49C4732F"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4.6</w:t>
            </w:r>
          </w:p>
        </w:tc>
        <w:tc>
          <w:tcPr>
            <w:tcW w:w="414" w:type="pct"/>
            <w:tcBorders>
              <w:top w:val="nil"/>
              <w:left w:val="nil"/>
              <w:bottom w:val="nil"/>
              <w:right w:val="nil"/>
            </w:tcBorders>
            <w:shd w:val="clear" w:color="000000" w:fill="FFFFFF"/>
            <w:noWrap/>
            <w:vAlign w:val="center"/>
            <w:hideMark/>
          </w:tcPr>
          <w:p w14:paraId="16570412" w14:textId="1083A313"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34</w:t>
            </w:r>
          </w:p>
        </w:tc>
        <w:tc>
          <w:tcPr>
            <w:tcW w:w="414" w:type="pct"/>
            <w:tcBorders>
              <w:top w:val="nil"/>
              <w:left w:val="nil"/>
              <w:bottom w:val="nil"/>
              <w:right w:val="nil"/>
            </w:tcBorders>
            <w:shd w:val="clear" w:color="000000" w:fill="FFFFFF"/>
            <w:noWrap/>
            <w:vAlign w:val="center"/>
            <w:hideMark/>
          </w:tcPr>
          <w:p w14:paraId="2343D46F" w14:textId="2513D0F1"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3.1</w:t>
            </w:r>
          </w:p>
        </w:tc>
        <w:tc>
          <w:tcPr>
            <w:tcW w:w="414" w:type="pct"/>
            <w:tcBorders>
              <w:top w:val="nil"/>
              <w:left w:val="nil"/>
              <w:bottom w:val="nil"/>
              <w:right w:val="nil"/>
            </w:tcBorders>
            <w:shd w:val="clear" w:color="auto" w:fill="E1E8EB"/>
            <w:noWrap/>
            <w:vAlign w:val="center"/>
            <w:hideMark/>
          </w:tcPr>
          <w:p w14:paraId="7C3976C2" w14:textId="04437A82"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69</w:t>
            </w:r>
          </w:p>
        </w:tc>
        <w:tc>
          <w:tcPr>
            <w:tcW w:w="412" w:type="pct"/>
            <w:tcBorders>
              <w:top w:val="nil"/>
              <w:left w:val="nil"/>
              <w:bottom w:val="nil"/>
              <w:right w:val="nil"/>
            </w:tcBorders>
            <w:shd w:val="clear" w:color="auto" w:fill="E1E8EB"/>
            <w:noWrap/>
            <w:vAlign w:val="center"/>
            <w:hideMark/>
          </w:tcPr>
          <w:p w14:paraId="438DDD29" w14:textId="2BBF6F3F"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4.5</w:t>
            </w:r>
          </w:p>
        </w:tc>
      </w:tr>
      <w:tr w:rsidR="000B5A5B" w:rsidRPr="00C95D7C" w14:paraId="61EAC5FF" w14:textId="77777777" w:rsidTr="009955B8">
        <w:trPr>
          <w:trHeight w:val="227"/>
        </w:trPr>
        <w:tc>
          <w:tcPr>
            <w:tcW w:w="1689" w:type="pct"/>
            <w:tcBorders>
              <w:top w:val="nil"/>
              <w:left w:val="nil"/>
              <w:bottom w:val="nil"/>
              <w:right w:val="nil"/>
            </w:tcBorders>
            <w:shd w:val="clear" w:color="000000" w:fill="FFFFFF"/>
            <w:vAlign w:val="center"/>
            <w:hideMark/>
          </w:tcPr>
          <w:p w14:paraId="6C268AC7" w14:textId="35C78701" w:rsidR="00EC798B" w:rsidRPr="00C95D7C" w:rsidRDefault="00EC798B" w:rsidP="00EC798B">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Non</w:t>
            </w:r>
            <w:r w:rsidR="003E7C79">
              <w:rPr>
                <w:rFonts w:ascii="Arial" w:hAnsi="Arial" w:cs="Arial"/>
                <w:color w:val="auto"/>
                <w:sz w:val="16"/>
                <w:szCs w:val="16"/>
              </w:rPr>
              <w:t>–</w:t>
            </w:r>
            <w:r w:rsidRPr="00C95D7C">
              <w:rPr>
                <w:rFonts w:ascii="Arial" w:hAnsi="Arial" w:cs="Arial"/>
                <w:color w:val="auto"/>
                <w:sz w:val="16"/>
                <w:szCs w:val="16"/>
              </w:rPr>
              <w:t>metallic minerals mining and quarrying</w:t>
            </w:r>
          </w:p>
        </w:tc>
        <w:tc>
          <w:tcPr>
            <w:tcW w:w="387" w:type="pct"/>
            <w:tcBorders>
              <w:top w:val="nil"/>
              <w:left w:val="nil"/>
              <w:bottom w:val="nil"/>
              <w:right w:val="nil"/>
            </w:tcBorders>
            <w:shd w:val="clear" w:color="000000" w:fill="FFFFFF"/>
            <w:noWrap/>
            <w:vAlign w:val="center"/>
            <w:hideMark/>
          </w:tcPr>
          <w:p w14:paraId="1DA6E104" w14:textId="6A1B8931"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3</w:t>
            </w:r>
          </w:p>
        </w:tc>
        <w:tc>
          <w:tcPr>
            <w:tcW w:w="444" w:type="pct"/>
            <w:tcBorders>
              <w:top w:val="nil"/>
              <w:left w:val="nil"/>
              <w:bottom w:val="nil"/>
              <w:right w:val="nil"/>
            </w:tcBorders>
            <w:shd w:val="clear" w:color="000000" w:fill="FFFFFF"/>
            <w:noWrap/>
            <w:vAlign w:val="center"/>
            <w:hideMark/>
          </w:tcPr>
          <w:p w14:paraId="26131F83" w14:textId="1E7217F2" w:rsidR="00EC798B" w:rsidRPr="002B251D" w:rsidRDefault="003E7C79" w:rsidP="00EC798B">
            <w:pPr>
              <w:keepNext/>
              <w:keepLines/>
              <w:spacing w:after="0" w:line="240" w:lineRule="auto"/>
              <w:jc w:val="right"/>
              <w:rPr>
                <w:rFonts w:ascii="Arial" w:hAnsi="Arial" w:cs="Arial"/>
                <w:color w:val="auto"/>
                <w:sz w:val="16"/>
                <w:szCs w:val="16"/>
              </w:rPr>
            </w:pPr>
            <w:r>
              <w:rPr>
                <w:rFonts w:ascii="Arial" w:hAnsi="Arial" w:cs="Arial"/>
                <w:color w:val="auto"/>
                <w:sz w:val="16"/>
                <w:szCs w:val="16"/>
              </w:rPr>
              <w:t>–</w:t>
            </w:r>
          </w:p>
        </w:tc>
        <w:tc>
          <w:tcPr>
            <w:tcW w:w="414" w:type="pct"/>
            <w:tcBorders>
              <w:top w:val="nil"/>
              <w:left w:val="nil"/>
              <w:bottom w:val="nil"/>
              <w:right w:val="nil"/>
            </w:tcBorders>
            <w:shd w:val="clear" w:color="000000" w:fill="FFFFFF"/>
            <w:noWrap/>
            <w:vAlign w:val="center"/>
            <w:hideMark/>
          </w:tcPr>
          <w:p w14:paraId="46AC9BE3" w14:textId="515E5FDF"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3</w:t>
            </w:r>
          </w:p>
        </w:tc>
        <w:tc>
          <w:tcPr>
            <w:tcW w:w="414" w:type="pct"/>
            <w:tcBorders>
              <w:top w:val="nil"/>
              <w:left w:val="nil"/>
              <w:bottom w:val="nil"/>
              <w:right w:val="nil"/>
            </w:tcBorders>
            <w:shd w:val="clear" w:color="000000" w:fill="FFFFFF"/>
            <w:noWrap/>
            <w:vAlign w:val="center"/>
            <w:hideMark/>
          </w:tcPr>
          <w:p w14:paraId="66E52F40" w14:textId="2C90C8AD"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0.8</w:t>
            </w:r>
          </w:p>
        </w:tc>
        <w:tc>
          <w:tcPr>
            <w:tcW w:w="414" w:type="pct"/>
            <w:tcBorders>
              <w:top w:val="nil"/>
              <w:left w:val="nil"/>
              <w:bottom w:val="nil"/>
              <w:right w:val="nil"/>
            </w:tcBorders>
            <w:shd w:val="clear" w:color="000000" w:fill="FFFFFF"/>
            <w:noWrap/>
            <w:vAlign w:val="center"/>
            <w:hideMark/>
          </w:tcPr>
          <w:p w14:paraId="015297A6" w14:textId="496F6672"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7</w:t>
            </w:r>
          </w:p>
        </w:tc>
        <w:tc>
          <w:tcPr>
            <w:tcW w:w="414" w:type="pct"/>
            <w:tcBorders>
              <w:top w:val="nil"/>
              <w:left w:val="nil"/>
              <w:bottom w:val="nil"/>
              <w:right w:val="nil"/>
            </w:tcBorders>
            <w:shd w:val="clear" w:color="000000" w:fill="FFFFFF"/>
            <w:noWrap/>
            <w:vAlign w:val="center"/>
            <w:hideMark/>
          </w:tcPr>
          <w:p w14:paraId="58907646" w14:textId="51B9F5D6"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0.1</w:t>
            </w:r>
          </w:p>
        </w:tc>
        <w:tc>
          <w:tcPr>
            <w:tcW w:w="414" w:type="pct"/>
            <w:tcBorders>
              <w:top w:val="nil"/>
              <w:left w:val="nil"/>
              <w:bottom w:val="nil"/>
              <w:right w:val="nil"/>
            </w:tcBorders>
            <w:shd w:val="clear" w:color="auto" w:fill="E1E8EB"/>
            <w:noWrap/>
            <w:vAlign w:val="center"/>
            <w:hideMark/>
          </w:tcPr>
          <w:p w14:paraId="39163366" w14:textId="6618E516"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8</w:t>
            </w:r>
          </w:p>
        </w:tc>
        <w:tc>
          <w:tcPr>
            <w:tcW w:w="412" w:type="pct"/>
            <w:tcBorders>
              <w:top w:val="nil"/>
              <w:left w:val="nil"/>
              <w:bottom w:val="nil"/>
              <w:right w:val="nil"/>
            </w:tcBorders>
            <w:shd w:val="clear" w:color="auto" w:fill="E1E8EB"/>
            <w:noWrap/>
            <w:vAlign w:val="center"/>
            <w:hideMark/>
          </w:tcPr>
          <w:p w14:paraId="23BE9870" w14:textId="64196EBB"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0.0</w:t>
            </w:r>
          </w:p>
        </w:tc>
      </w:tr>
      <w:tr w:rsidR="000B5A5B" w:rsidRPr="00C95D7C" w14:paraId="1C24A14F" w14:textId="77777777" w:rsidTr="009955B8">
        <w:trPr>
          <w:trHeight w:val="227"/>
        </w:trPr>
        <w:tc>
          <w:tcPr>
            <w:tcW w:w="1689" w:type="pct"/>
            <w:tcBorders>
              <w:top w:val="nil"/>
              <w:left w:val="nil"/>
              <w:bottom w:val="nil"/>
              <w:right w:val="nil"/>
            </w:tcBorders>
            <w:shd w:val="clear" w:color="000000" w:fill="FFFFFF"/>
            <w:vAlign w:val="center"/>
            <w:hideMark/>
          </w:tcPr>
          <w:p w14:paraId="06BAA227" w14:textId="77777777" w:rsidR="00EC798B" w:rsidRPr="00C95D7C" w:rsidRDefault="00EC798B" w:rsidP="00EC798B">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Exploration and other mining support services</w:t>
            </w:r>
          </w:p>
        </w:tc>
        <w:tc>
          <w:tcPr>
            <w:tcW w:w="387" w:type="pct"/>
            <w:tcBorders>
              <w:top w:val="nil"/>
              <w:left w:val="nil"/>
              <w:bottom w:val="single" w:sz="4" w:space="0" w:color="000000"/>
              <w:right w:val="nil"/>
            </w:tcBorders>
            <w:shd w:val="clear" w:color="000000" w:fill="FFFFFF"/>
            <w:noWrap/>
            <w:vAlign w:val="bottom"/>
            <w:hideMark/>
          </w:tcPr>
          <w:p w14:paraId="40EB75D4" w14:textId="3EB9F1CC"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18</w:t>
            </w:r>
          </w:p>
        </w:tc>
        <w:tc>
          <w:tcPr>
            <w:tcW w:w="444" w:type="pct"/>
            <w:tcBorders>
              <w:top w:val="nil"/>
              <w:left w:val="nil"/>
              <w:bottom w:val="single" w:sz="4" w:space="0" w:color="000000"/>
              <w:right w:val="nil"/>
            </w:tcBorders>
            <w:shd w:val="clear" w:color="000000" w:fill="FFFFFF"/>
            <w:noWrap/>
            <w:vAlign w:val="bottom"/>
            <w:hideMark/>
          </w:tcPr>
          <w:p w14:paraId="241420AE" w14:textId="7E7DEE3B"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2.4</w:t>
            </w:r>
          </w:p>
        </w:tc>
        <w:tc>
          <w:tcPr>
            <w:tcW w:w="414" w:type="pct"/>
            <w:tcBorders>
              <w:top w:val="nil"/>
              <w:left w:val="nil"/>
              <w:bottom w:val="single" w:sz="4" w:space="0" w:color="000000"/>
              <w:right w:val="nil"/>
            </w:tcBorders>
            <w:shd w:val="clear" w:color="000000" w:fill="FFFFFF"/>
            <w:noWrap/>
            <w:vAlign w:val="bottom"/>
            <w:hideMark/>
          </w:tcPr>
          <w:p w14:paraId="333684CF" w14:textId="40294671"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21</w:t>
            </w:r>
          </w:p>
        </w:tc>
        <w:tc>
          <w:tcPr>
            <w:tcW w:w="414" w:type="pct"/>
            <w:tcBorders>
              <w:top w:val="nil"/>
              <w:left w:val="nil"/>
              <w:bottom w:val="single" w:sz="4" w:space="0" w:color="000000"/>
              <w:right w:val="nil"/>
            </w:tcBorders>
            <w:shd w:val="clear" w:color="000000" w:fill="FFFFFF"/>
            <w:noWrap/>
            <w:vAlign w:val="bottom"/>
            <w:hideMark/>
          </w:tcPr>
          <w:p w14:paraId="4D91CB9F" w14:textId="0A804461"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0.9</w:t>
            </w:r>
          </w:p>
        </w:tc>
        <w:tc>
          <w:tcPr>
            <w:tcW w:w="414" w:type="pct"/>
            <w:tcBorders>
              <w:top w:val="nil"/>
              <w:left w:val="nil"/>
              <w:bottom w:val="single" w:sz="4" w:space="0" w:color="000000"/>
              <w:right w:val="nil"/>
            </w:tcBorders>
            <w:shd w:val="clear" w:color="000000" w:fill="FFFFFF"/>
            <w:noWrap/>
            <w:vAlign w:val="bottom"/>
            <w:hideMark/>
          </w:tcPr>
          <w:p w14:paraId="6D3D651B" w14:textId="75CC0338"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26</w:t>
            </w:r>
          </w:p>
        </w:tc>
        <w:tc>
          <w:tcPr>
            <w:tcW w:w="414" w:type="pct"/>
            <w:tcBorders>
              <w:top w:val="nil"/>
              <w:left w:val="nil"/>
              <w:bottom w:val="single" w:sz="4" w:space="0" w:color="000000"/>
              <w:right w:val="nil"/>
            </w:tcBorders>
            <w:shd w:val="clear" w:color="000000" w:fill="FFFFFF"/>
            <w:noWrap/>
            <w:vAlign w:val="bottom"/>
            <w:hideMark/>
          </w:tcPr>
          <w:p w14:paraId="675CAE8C" w14:textId="2EA46E36"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4.1</w:t>
            </w:r>
          </w:p>
        </w:tc>
        <w:tc>
          <w:tcPr>
            <w:tcW w:w="414" w:type="pct"/>
            <w:tcBorders>
              <w:top w:val="nil"/>
              <w:left w:val="nil"/>
              <w:bottom w:val="single" w:sz="4" w:space="0" w:color="000000"/>
              <w:right w:val="nil"/>
            </w:tcBorders>
            <w:shd w:val="clear" w:color="auto" w:fill="E1E8EB"/>
            <w:noWrap/>
            <w:vAlign w:val="bottom"/>
            <w:hideMark/>
          </w:tcPr>
          <w:p w14:paraId="69A126DF" w14:textId="7524D2A0"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27</w:t>
            </w:r>
          </w:p>
        </w:tc>
        <w:tc>
          <w:tcPr>
            <w:tcW w:w="412" w:type="pct"/>
            <w:tcBorders>
              <w:top w:val="nil"/>
              <w:left w:val="nil"/>
              <w:bottom w:val="single" w:sz="4" w:space="0" w:color="000000"/>
              <w:right w:val="nil"/>
            </w:tcBorders>
            <w:shd w:val="clear" w:color="auto" w:fill="E1E8EB"/>
            <w:noWrap/>
            <w:vAlign w:val="bottom"/>
            <w:hideMark/>
          </w:tcPr>
          <w:p w14:paraId="665D1612" w14:textId="20B12921" w:rsidR="00EC798B" w:rsidRPr="002B251D" w:rsidRDefault="000B5A5B" w:rsidP="00EC798B">
            <w:pPr>
              <w:keepNext/>
              <w:keepLines/>
              <w:spacing w:after="0" w:line="240" w:lineRule="auto"/>
              <w:jc w:val="right"/>
              <w:rPr>
                <w:rFonts w:ascii="Arial" w:hAnsi="Arial" w:cs="Arial"/>
                <w:color w:val="auto"/>
                <w:sz w:val="16"/>
                <w:szCs w:val="16"/>
              </w:rPr>
            </w:pPr>
            <w:r w:rsidRPr="002B251D">
              <w:rPr>
                <w:rFonts w:ascii="Arial" w:hAnsi="Arial" w:cs="Arial"/>
                <w:color w:val="auto"/>
                <w:sz w:val="16"/>
                <w:szCs w:val="16"/>
              </w:rPr>
              <w:t>5.3</w:t>
            </w:r>
          </w:p>
        </w:tc>
      </w:tr>
      <w:tr w:rsidR="000B5A5B" w:rsidRPr="00C95D7C" w14:paraId="299F3073" w14:textId="77777777" w:rsidTr="009955B8">
        <w:trPr>
          <w:trHeight w:val="227"/>
        </w:trPr>
        <w:tc>
          <w:tcPr>
            <w:tcW w:w="1689" w:type="pct"/>
            <w:tcBorders>
              <w:top w:val="nil"/>
              <w:left w:val="nil"/>
              <w:bottom w:val="single" w:sz="4" w:space="0" w:color="auto"/>
              <w:right w:val="nil"/>
            </w:tcBorders>
            <w:shd w:val="clear" w:color="000000" w:fill="FFFFFF"/>
            <w:noWrap/>
            <w:vAlign w:val="center"/>
            <w:hideMark/>
          </w:tcPr>
          <w:p w14:paraId="444D1556" w14:textId="77777777" w:rsidR="00EC798B" w:rsidRPr="00C95D7C" w:rsidRDefault="00EC798B" w:rsidP="00EC798B">
            <w:pPr>
              <w:keepNext/>
              <w:keepLines/>
              <w:spacing w:after="0" w:line="240" w:lineRule="auto"/>
              <w:jc w:val="left"/>
              <w:rPr>
                <w:rFonts w:ascii="Arial" w:hAnsi="Arial" w:cs="Arial"/>
                <w:b/>
                <w:bCs/>
                <w:color w:val="auto"/>
                <w:sz w:val="16"/>
                <w:szCs w:val="16"/>
              </w:rPr>
            </w:pPr>
            <w:r w:rsidRPr="00C95D7C">
              <w:rPr>
                <w:rFonts w:ascii="Arial" w:hAnsi="Arial" w:cs="Arial"/>
                <w:b/>
                <w:bCs/>
                <w:color w:val="auto"/>
                <w:sz w:val="16"/>
                <w:szCs w:val="16"/>
              </w:rPr>
              <w:t>Total</w:t>
            </w:r>
          </w:p>
        </w:tc>
        <w:tc>
          <w:tcPr>
            <w:tcW w:w="387" w:type="pct"/>
            <w:tcBorders>
              <w:top w:val="nil"/>
              <w:left w:val="nil"/>
              <w:bottom w:val="single" w:sz="4" w:space="0" w:color="auto"/>
              <w:right w:val="nil"/>
            </w:tcBorders>
            <w:shd w:val="clear" w:color="000000" w:fill="FFFFFF"/>
            <w:noWrap/>
            <w:vAlign w:val="center"/>
            <w:hideMark/>
          </w:tcPr>
          <w:p w14:paraId="5C386293" w14:textId="4783AB22" w:rsidR="00EC798B" w:rsidRPr="002B251D" w:rsidRDefault="000B5A5B" w:rsidP="00EC798B">
            <w:pPr>
              <w:keepNext/>
              <w:keepLines/>
              <w:spacing w:after="0" w:line="240" w:lineRule="auto"/>
              <w:jc w:val="right"/>
              <w:rPr>
                <w:rFonts w:ascii="Arial" w:hAnsi="Arial" w:cs="Arial"/>
                <w:b/>
                <w:bCs/>
                <w:color w:val="auto"/>
                <w:sz w:val="16"/>
                <w:szCs w:val="16"/>
              </w:rPr>
            </w:pPr>
            <w:r w:rsidRPr="002B251D">
              <w:rPr>
                <w:rFonts w:ascii="Arial" w:hAnsi="Arial" w:cs="Arial"/>
                <w:b/>
                <w:bCs/>
                <w:color w:val="auto"/>
                <w:sz w:val="16"/>
                <w:szCs w:val="16"/>
              </w:rPr>
              <w:t>115</w:t>
            </w:r>
          </w:p>
        </w:tc>
        <w:tc>
          <w:tcPr>
            <w:tcW w:w="444" w:type="pct"/>
            <w:tcBorders>
              <w:top w:val="nil"/>
              <w:left w:val="nil"/>
              <w:bottom w:val="single" w:sz="4" w:space="0" w:color="auto"/>
              <w:right w:val="nil"/>
            </w:tcBorders>
            <w:shd w:val="clear" w:color="000000" w:fill="FFFFFF"/>
            <w:noWrap/>
            <w:vAlign w:val="center"/>
            <w:hideMark/>
          </w:tcPr>
          <w:p w14:paraId="7A2A958A" w14:textId="6BBD07BB" w:rsidR="00EC798B" w:rsidRPr="002B251D" w:rsidRDefault="000B5A5B" w:rsidP="00EC798B">
            <w:pPr>
              <w:keepNext/>
              <w:keepLines/>
              <w:spacing w:after="0" w:line="240" w:lineRule="auto"/>
              <w:jc w:val="right"/>
              <w:rPr>
                <w:rFonts w:ascii="Arial" w:hAnsi="Arial" w:cs="Arial"/>
                <w:b/>
                <w:bCs/>
                <w:color w:val="auto"/>
                <w:sz w:val="16"/>
                <w:szCs w:val="16"/>
              </w:rPr>
            </w:pPr>
            <w:r w:rsidRPr="002B251D">
              <w:rPr>
                <w:rFonts w:ascii="Arial" w:hAnsi="Arial" w:cs="Arial"/>
                <w:b/>
                <w:bCs/>
                <w:color w:val="auto"/>
                <w:sz w:val="16"/>
                <w:szCs w:val="16"/>
              </w:rPr>
              <w:t>17.4</w:t>
            </w:r>
          </w:p>
        </w:tc>
        <w:tc>
          <w:tcPr>
            <w:tcW w:w="414" w:type="pct"/>
            <w:tcBorders>
              <w:top w:val="nil"/>
              <w:left w:val="nil"/>
              <w:bottom w:val="single" w:sz="4" w:space="0" w:color="auto"/>
              <w:right w:val="nil"/>
            </w:tcBorders>
            <w:shd w:val="clear" w:color="000000" w:fill="FFFFFF"/>
            <w:noWrap/>
            <w:vAlign w:val="center"/>
            <w:hideMark/>
          </w:tcPr>
          <w:p w14:paraId="4EB7BDCD" w14:textId="4BBC750C" w:rsidR="00EC798B" w:rsidRPr="002B251D" w:rsidRDefault="000B5A5B" w:rsidP="00EC798B">
            <w:pPr>
              <w:keepNext/>
              <w:keepLines/>
              <w:spacing w:after="0" w:line="240" w:lineRule="auto"/>
              <w:jc w:val="right"/>
              <w:rPr>
                <w:rFonts w:ascii="Arial" w:hAnsi="Arial" w:cs="Arial"/>
                <w:b/>
                <w:bCs/>
                <w:color w:val="auto"/>
                <w:sz w:val="16"/>
                <w:szCs w:val="16"/>
              </w:rPr>
            </w:pPr>
            <w:r w:rsidRPr="002B251D">
              <w:rPr>
                <w:rFonts w:ascii="Arial" w:hAnsi="Arial" w:cs="Arial"/>
                <w:b/>
                <w:bCs/>
                <w:color w:val="auto"/>
                <w:sz w:val="16"/>
                <w:szCs w:val="16"/>
              </w:rPr>
              <w:t>121</w:t>
            </w:r>
          </w:p>
        </w:tc>
        <w:tc>
          <w:tcPr>
            <w:tcW w:w="414" w:type="pct"/>
            <w:tcBorders>
              <w:top w:val="nil"/>
              <w:left w:val="nil"/>
              <w:bottom w:val="single" w:sz="4" w:space="0" w:color="auto"/>
              <w:right w:val="nil"/>
            </w:tcBorders>
            <w:shd w:val="clear" w:color="000000" w:fill="FFFFFF"/>
            <w:noWrap/>
            <w:vAlign w:val="center"/>
            <w:hideMark/>
          </w:tcPr>
          <w:p w14:paraId="79F9463F" w14:textId="673D45D4" w:rsidR="00EC798B" w:rsidRPr="002B251D" w:rsidRDefault="000B5A5B" w:rsidP="00EC798B">
            <w:pPr>
              <w:keepNext/>
              <w:keepLines/>
              <w:spacing w:after="0" w:line="240" w:lineRule="auto"/>
              <w:jc w:val="right"/>
              <w:rPr>
                <w:rFonts w:ascii="Arial" w:hAnsi="Arial" w:cs="Arial"/>
                <w:b/>
                <w:bCs/>
                <w:color w:val="auto"/>
                <w:sz w:val="16"/>
                <w:szCs w:val="16"/>
              </w:rPr>
            </w:pPr>
            <w:r w:rsidRPr="002B251D">
              <w:rPr>
                <w:rFonts w:ascii="Arial" w:hAnsi="Arial" w:cs="Arial"/>
                <w:b/>
                <w:bCs/>
                <w:color w:val="auto"/>
                <w:sz w:val="16"/>
                <w:szCs w:val="16"/>
              </w:rPr>
              <w:t>16.9</w:t>
            </w:r>
          </w:p>
        </w:tc>
        <w:tc>
          <w:tcPr>
            <w:tcW w:w="414" w:type="pct"/>
            <w:tcBorders>
              <w:top w:val="nil"/>
              <w:left w:val="nil"/>
              <w:bottom w:val="single" w:sz="4" w:space="0" w:color="auto"/>
              <w:right w:val="nil"/>
            </w:tcBorders>
            <w:shd w:val="clear" w:color="000000" w:fill="FFFFFF"/>
            <w:noWrap/>
            <w:vAlign w:val="center"/>
            <w:hideMark/>
          </w:tcPr>
          <w:p w14:paraId="6B08EADA" w14:textId="7BA5524E" w:rsidR="00EC798B" w:rsidRPr="002B251D" w:rsidRDefault="000B5A5B" w:rsidP="00EC798B">
            <w:pPr>
              <w:keepNext/>
              <w:keepLines/>
              <w:spacing w:after="0" w:line="240" w:lineRule="auto"/>
              <w:jc w:val="right"/>
              <w:rPr>
                <w:rFonts w:ascii="Arial" w:hAnsi="Arial" w:cs="Arial"/>
                <w:b/>
                <w:bCs/>
                <w:color w:val="auto"/>
                <w:sz w:val="16"/>
                <w:szCs w:val="16"/>
              </w:rPr>
            </w:pPr>
            <w:r w:rsidRPr="002B251D">
              <w:rPr>
                <w:rFonts w:ascii="Arial" w:hAnsi="Arial" w:cs="Arial"/>
                <w:b/>
                <w:bCs/>
                <w:color w:val="auto"/>
                <w:sz w:val="16"/>
                <w:szCs w:val="16"/>
              </w:rPr>
              <w:t>108</w:t>
            </w:r>
          </w:p>
        </w:tc>
        <w:tc>
          <w:tcPr>
            <w:tcW w:w="414" w:type="pct"/>
            <w:tcBorders>
              <w:top w:val="nil"/>
              <w:left w:val="nil"/>
              <w:bottom w:val="single" w:sz="4" w:space="0" w:color="auto"/>
              <w:right w:val="nil"/>
            </w:tcBorders>
            <w:shd w:val="clear" w:color="000000" w:fill="FFFFFF"/>
            <w:noWrap/>
            <w:vAlign w:val="center"/>
            <w:hideMark/>
          </w:tcPr>
          <w:p w14:paraId="502692B9" w14:textId="5AEF9C8B" w:rsidR="00EC798B" w:rsidRPr="002B251D" w:rsidRDefault="000B5A5B" w:rsidP="00EC798B">
            <w:pPr>
              <w:keepNext/>
              <w:keepLines/>
              <w:spacing w:after="0" w:line="240" w:lineRule="auto"/>
              <w:jc w:val="right"/>
              <w:rPr>
                <w:rFonts w:ascii="Arial" w:hAnsi="Arial" w:cs="Arial"/>
                <w:b/>
                <w:bCs/>
                <w:color w:val="auto"/>
                <w:sz w:val="16"/>
                <w:szCs w:val="16"/>
              </w:rPr>
            </w:pPr>
            <w:r w:rsidRPr="002B251D">
              <w:rPr>
                <w:rFonts w:ascii="Arial" w:hAnsi="Arial" w:cs="Arial"/>
                <w:b/>
                <w:bCs/>
                <w:color w:val="auto"/>
                <w:sz w:val="16"/>
                <w:szCs w:val="16"/>
              </w:rPr>
              <w:t>11.2</w:t>
            </w:r>
          </w:p>
        </w:tc>
        <w:tc>
          <w:tcPr>
            <w:tcW w:w="414" w:type="pct"/>
            <w:tcBorders>
              <w:top w:val="nil"/>
              <w:left w:val="nil"/>
              <w:bottom w:val="single" w:sz="4" w:space="0" w:color="auto"/>
              <w:right w:val="nil"/>
            </w:tcBorders>
            <w:shd w:val="clear" w:color="auto" w:fill="E1E8EB"/>
            <w:noWrap/>
            <w:vAlign w:val="center"/>
            <w:hideMark/>
          </w:tcPr>
          <w:p w14:paraId="72D7A1D7" w14:textId="2E5D8876" w:rsidR="00EC798B" w:rsidRPr="002B251D" w:rsidRDefault="000B5A5B" w:rsidP="00EC798B">
            <w:pPr>
              <w:keepNext/>
              <w:keepLines/>
              <w:spacing w:after="0" w:line="240" w:lineRule="auto"/>
              <w:jc w:val="right"/>
              <w:rPr>
                <w:rFonts w:ascii="Arial" w:hAnsi="Arial" w:cs="Arial"/>
                <w:b/>
                <w:bCs/>
                <w:color w:val="auto"/>
                <w:sz w:val="16"/>
                <w:szCs w:val="16"/>
              </w:rPr>
            </w:pPr>
            <w:r w:rsidRPr="002B251D">
              <w:rPr>
                <w:rFonts w:ascii="Arial" w:hAnsi="Arial" w:cs="Arial"/>
                <w:b/>
                <w:bCs/>
                <w:color w:val="auto"/>
                <w:sz w:val="16"/>
                <w:szCs w:val="16"/>
              </w:rPr>
              <w:t>148</w:t>
            </w:r>
          </w:p>
        </w:tc>
        <w:tc>
          <w:tcPr>
            <w:tcW w:w="412" w:type="pct"/>
            <w:tcBorders>
              <w:top w:val="nil"/>
              <w:left w:val="nil"/>
              <w:bottom w:val="single" w:sz="4" w:space="0" w:color="auto"/>
              <w:right w:val="nil"/>
            </w:tcBorders>
            <w:shd w:val="clear" w:color="auto" w:fill="E1E8EB"/>
            <w:noWrap/>
            <w:vAlign w:val="center"/>
            <w:hideMark/>
          </w:tcPr>
          <w:p w14:paraId="55689EC1" w14:textId="31159CC7" w:rsidR="00EC798B" w:rsidRPr="002B251D" w:rsidRDefault="000B5A5B" w:rsidP="00EC798B">
            <w:pPr>
              <w:keepNext/>
              <w:keepLines/>
              <w:spacing w:after="0" w:line="240" w:lineRule="auto"/>
              <w:jc w:val="right"/>
              <w:rPr>
                <w:rFonts w:ascii="Arial" w:hAnsi="Arial" w:cs="Arial"/>
                <w:b/>
                <w:bCs/>
                <w:color w:val="auto"/>
                <w:sz w:val="16"/>
                <w:szCs w:val="16"/>
              </w:rPr>
            </w:pPr>
            <w:r w:rsidRPr="002B251D">
              <w:rPr>
                <w:rFonts w:ascii="Arial" w:hAnsi="Arial" w:cs="Arial"/>
                <w:b/>
                <w:bCs/>
                <w:color w:val="auto"/>
                <w:sz w:val="16"/>
                <w:szCs w:val="16"/>
              </w:rPr>
              <w:t>11.5</w:t>
            </w:r>
          </w:p>
        </w:tc>
      </w:tr>
    </w:tbl>
    <w:bookmarkEnd w:id="126"/>
    <w:p w14:paraId="5D53EF45" w14:textId="01506186" w:rsidR="0087590F" w:rsidRDefault="0087590F" w:rsidP="0087590F">
      <w:pPr>
        <w:pStyle w:val="ChartandTableFootnoteAlpha"/>
        <w:numPr>
          <w:ilvl w:val="0"/>
          <w:numId w:val="0"/>
        </w:numPr>
      </w:pPr>
      <w:r w:rsidRPr="00BF48CD">
        <w:t xml:space="preserve">Before republishing this data or comparing between years, thoroughly review the methodological and data caveats in Appendix </w:t>
      </w:r>
      <w:r w:rsidRPr="006266B3">
        <w:t>B.</w:t>
      </w:r>
      <w:r w:rsidRPr="00BF48CD">
        <w:t xml:space="preserve"> </w:t>
      </w:r>
    </w:p>
    <w:p w14:paraId="2A6DE6B5" w14:textId="0488C52C" w:rsidR="009955B8" w:rsidRDefault="009955B8">
      <w:pPr>
        <w:spacing w:after="0" w:line="240" w:lineRule="auto"/>
        <w:jc w:val="left"/>
      </w:pPr>
      <w:r>
        <w:br w:type="page"/>
      </w:r>
    </w:p>
    <w:p w14:paraId="75059E50" w14:textId="77777777" w:rsidR="007B66F5" w:rsidRPr="00820C89" w:rsidRDefault="007B66F5" w:rsidP="00655CC7">
      <w:pPr>
        <w:pStyle w:val="Heading3noTOC"/>
      </w:pPr>
      <w:bookmarkStart w:id="128" w:name="_Toc80368786"/>
      <w:bookmarkStart w:id="129" w:name="_Toc87014320"/>
      <w:r w:rsidRPr="00820C89">
        <w:lastRenderedPageBreak/>
        <w:t>Services</w:t>
      </w:r>
      <w:bookmarkEnd w:id="128"/>
      <w:bookmarkEnd w:id="129"/>
    </w:p>
    <w:p w14:paraId="7397466A" w14:textId="110A27D2" w:rsidR="007B66F5" w:rsidRDefault="00AF3257" w:rsidP="007B66F5">
      <w:r>
        <w:t>The services sector saw an increase in</w:t>
      </w:r>
      <w:r w:rsidR="00040EA9">
        <w:t xml:space="preserve"> both the number of approvals (</w:t>
      </w:r>
      <w:r w:rsidR="00675B11">
        <w:t xml:space="preserve">from 296 in </w:t>
      </w:r>
      <w:r w:rsidR="00D76ED2">
        <w:t>2019</w:t>
      </w:r>
      <w:r w:rsidR="00D76ED2">
        <w:noBreakHyphen/>
        <w:t>20</w:t>
      </w:r>
      <w:r w:rsidR="00675B11">
        <w:t xml:space="preserve"> to 744 in </w:t>
      </w:r>
      <w:r w:rsidR="00D76ED2">
        <w:t>2020</w:t>
      </w:r>
      <w:r w:rsidR="00D76ED2">
        <w:noBreakHyphen/>
        <w:t>21</w:t>
      </w:r>
      <w:r w:rsidR="00675B11">
        <w:t>), and in the value of those approvals (from $73.6</w:t>
      </w:r>
      <w:r w:rsidR="00A44160">
        <w:t> </w:t>
      </w:r>
      <w:r w:rsidR="00675B11">
        <w:t xml:space="preserve">billion in </w:t>
      </w:r>
      <w:r w:rsidR="00D76ED2">
        <w:t>2019</w:t>
      </w:r>
      <w:r w:rsidR="00D76ED2">
        <w:noBreakHyphen/>
        <w:t>20</w:t>
      </w:r>
      <w:r w:rsidR="00675B11">
        <w:t xml:space="preserve"> to $76.9</w:t>
      </w:r>
      <w:r w:rsidR="00A44160">
        <w:t> </w:t>
      </w:r>
      <w:r w:rsidR="00675B11">
        <w:t>billion in 2020</w:t>
      </w:r>
      <w:r w:rsidR="00065800">
        <w:noBreakHyphen/>
      </w:r>
      <w:r w:rsidR="00675B11">
        <w:t xml:space="preserve">21). This </w:t>
      </w:r>
      <w:r w:rsidR="00DC3C14">
        <w:t xml:space="preserve">represents </w:t>
      </w:r>
      <w:r w:rsidR="00DB066D">
        <w:t xml:space="preserve">an increase in </w:t>
      </w:r>
      <w:r w:rsidR="00833D51">
        <w:t>the value of proposed</w:t>
      </w:r>
      <w:r w:rsidR="00DB066D">
        <w:t xml:space="preserve"> investment </w:t>
      </w:r>
      <w:r w:rsidR="00440FE6">
        <w:t>which exceeds pre</w:t>
      </w:r>
      <w:r w:rsidR="003E7C79">
        <w:t>–</w:t>
      </w:r>
      <w:r w:rsidR="00440FE6">
        <w:t xml:space="preserve">pandemic levels </w:t>
      </w:r>
      <w:r w:rsidR="007B66F5">
        <w:t>(see</w:t>
      </w:r>
      <w:r w:rsidR="00A44160">
        <w:t> </w:t>
      </w:r>
      <w:r w:rsidR="007B66F5">
        <w:t>Table</w:t>
      </w:r>
      <w:r w:rsidR="00802E3D">
        <w:t> </w:t>
      </w:r>
      <w:r w:rsidR="007B66F5" w:rsidRPr="007637B8">
        <w:t>3.10</w:t>
      </w:r>
      <w:r w:rsidR="007B66F5">
        <w:t>).</w:t>
      </w:r>
    </w:p>
    <w:p w14:paraId="0D754B52" w14:textId="50E53212" w:rsidR="007B66F5" w:rsidRDefault="007B66F5" w:rsidP="007B66F5">
      <w:r>
        <w:t xml:space="preserve">In </w:t>
      </w:r>
      <w:r w:rsidR="00D76ED2">
        <w:t>2020</w:t>
      </w:r>
      <w:r w:rsidR="00D76ED2">
        <w:noBreakHyphen/>
        <w:t>21</w:t>
      </w:r>
      <w:r>
        <w:t xml:space="preserve">, the </w:t>
      </w:r>
      <w:r w:rsidR="00802E3D">
        <w:t>United</w:t>
      </w:r>
      <w:r w:rsidR="00A44160">
        <w:t> </w:t>
      </w:r>
      <w:r w:rsidRPr="007637B8">
        <w:t>States</w:t>
      </w:r>
      <w:r w:rsidRPr="007B66F5">
        <w:t xml:space="preserve"> </w:t>
      </w:r>
      <w:r>
        <w:t xml:space="preserve">was the largest source country by value </w:t>
      </w:r>
      <w:r w:rsidR="00440FE6">
        <w:t xml:space="preserve">of investment </w:t>
      </w:r>
      <w:r w:rsidR="00833D51">
        <w:t>(</w:t>
      </w:r>
      <w:r w:rsidRPr="007637B8">
        <w:t>$</w:t>
      </w:r>
      <w:r w:rsidR="00440FE6">
        <w:t>27</w:t>
      </w:r>
      <w:r w:rsidRPr="007637B8">
        <w:t>.</w:t>
      </w:r>
      <w:r w:rsidR="00440FE6">
        <w:t>3</w:t>
      </w:r>
      <w:r w:rsidRPr="007637B8">
        <w:t> billion</w:t>
      </w:r>
      <w:r w:rsidR="00833D51">
        <w:t>)</w:t>
      </w:r>
      <w:r w:rsidR="00111C50">
        <w:t>, followed by Canada ($6.9</w:t>
      </w:r>
      <w:r w:rsidR="00A44160">
        <w:t> </w:t>
      </w:r>
      <w:r w:rsidR="00111C50">
        <w:t>billion) and Singapore ($</w:t>
      </w:r>
      <w:r w:rsidR="00440FE6">
        <w:t>5.3</w:t>
      </w:r>
      <w:r w:rsidR="00A44160">
        <w:t> </w:t>
      </w:r>
      <w:r w:rsidR="00111C50">
        <w:t>billion</w:t>
      </w:r>
      <w:r w:rsidR="00111C50" w:rsidRPr="007637B8">
        <w:t>)</w:t>
      </w:r>
      <w:r>
        <w:t xml:space="preserve"> (see</w:t>
      </w:r>
      <w:r w:rsidR="00A44160">
        <w:t> </w:t>
      </w:r>
      <w:r>
        <w:t xml:space="preserve">Table </w:t>
      </w:r>
      <w:r w:rsidRPr="007637B8">
        <w:t>3.17</w:t>
      </w:r>
      <w:r>
        <w:t>).</w:t>
      </w:r>
    </w:p>
    <w:p w14:paraId="49229FE4" w14:textId="3AA68F9D" w:rsidR="00F07785" w:rsidRPr="009955B8" w:rsidRDefault="00F07785" w:rsidP="009955B8">
      <w:pPr>
        <w:pStyle w:val="TableMainHeading"/>
      </w:pPr>
      <w:bookmarkStart w:id="130" w:name="_Toc89939944"/>
      <w:r w:rsidRPr="009955B8">
        <w:t xml:space="preserve">Table </w:t>
      </w:r>
      <w:fldSimple w:instr=" STYLEREF 1 \s ">
        <w:r w:rsidR="0019342F">
          <w:rPr>
            <w:noProof/>
          </w:rPr>
          <w:t>3</w:t>
        </w:r>
      </w:fldSimple>
      <w:r w:rsidR="009812FE" w:rsidRPr="009955B8">
        <w:t>.</w:t>
      </w:r>
      <w:fldSimple w:instr=" SEQ Table \* ARABIC \s 1 ">
        <w:r w:rsidR="0019342F">
          <w:rPr>
            <w:noProof/>
          </w:rPr>
          <w:t>10</w:t>
        </w:r>
      </w:fldSimple>
      <w:r w:rsidRPr="009955B8">
        <w:t xml:space="preserve">: Services sector approvals, </w:t>
      </w:r>
      <w:r w:rsidR="00DC1928">
        <w:t>2017</w:t>
      </w:r>
      <w:r w:rsidR="00DC1928">
        <w:noBreakHyphen/>
        <w:t>18</w:t>
      </w:r>
      <w:r w:rsidRPr="009955B8">
        <w:t xml:space="preserve"> to </w:t>
      </w:r>
      <w:r w:rsidR="00D76ED2">
        <w:t>2020</w:t>
      </w:r>
      <w:r w:rsidR="00D76ED2">
        <w:noBreakHyphen/>
        <w:t>21</w:t>
      </w:r>
      <w:bookmarkEnd w:id="130"/>
    </w:p>
    <w:tbl>
      <w:tblPr>
        <w:tblW w:w="5000" w:type="pct"/>
        <w:tblLook w:val="04A0" w:firstRow="1" w:lastRow="0" w:firstColumn="1" w:lastColumn="0" w:noHBand="0" w:noVBand="1"/>
      </w:tblPr>
      <w:tblGrid>
        <w:gridCol w:w="2294"/>
        <w:gridCol w:w="677"/>
        <w:gridCol w:w="677"/>
        <w:gridCol w:w="677"/>
        <w:gridCol w:w="677"/>
        <w:gridCol w:w="677"/>
        <w:gridCol w:w="677"/>
        <w:gridCol w:w="677"/>
        <w:gridCol w:w="677"/>
      </w:tblGrid>
      <w:tr w:rsidR="007B66F5" w:rsidRPr="00C95D7C" w14:paraId="0826F3E7" w14:textId="77777777" w:rsidTr="00405179">
        <w:trPr>
          <w:trHeight w:val="227"/>
        </w:trPr>
        <w:tc>
          <w:tcPr>
            <w:tcW w:w="1488" w:type="pct"/>
            <w:tcBorders>
              <w:top w:val="single" w:sz="4" w:space="0" w:color="auto"/>
              <w:left w:val="nil"/>
              <w:bottom w:val="nil"/>
              <w:right w:val="nil"/>
            </w:tcBorders>
            <w:shd w:val="clear" w:color="000000" w:fill="FFFFFF"/>
            <w:noWrap/>
            <w:vAlign w:val="center"/>
            <w:hideMark/>
          </w:tcPr>
          <w:p w14:paraId="45866184" w14:textId="77777777" w:rsidR="007B66F5" w:rsidRPr="00C95D7C" w:rsidRDefault="007B66F5" w:rsidP="00746D27">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 </w:t>
            </w:r>
          </w:p>
        </w:tc>
        <w:tc>
          <w:tcPr>
            <w:tcW w:w="878" w:type="pct"/>
            <w:gridSpan w:val="2"/>
            <w:tcBorders>
              <w:top w:val="single" w:sz="4" w:space="0" w:color="auto"/>
              <w:left w:val="nil"/>
              <w:bottom w:val="single" w:sz="4" w:space="0" w:color="auto"/>
              <w:right w:val="nil"/>
            </w:tcBorders>
            <w:shd w:val="clear" w:color="000000" w:fill="FFFFFF"/>
            <w:noWrap/>
            <w:vAlign w:val="center"/>
            <w:hideMark/>
          </w:tcPr>
          <w:p w14:paraId="4F57DA72" w14:textId="41CFAD86" w:rsidR="007B66F5" w:rsidRPr="007637B8" w:rsidRDefault="00DC1928" w:rsidP="00746D27">
            <w:pPr>
              <w:keepNext/>
              <w:keepLines/>
              <w:spacing w:after="0" w:line="240" w:lineRule="auto"/>
              <w:jc w:val="right"/>
              <w:rPr>
                <w:rFonts w:ascii="Arial" w:hAnsi="Arial" w:cs="Arial"/>
                <w:color w:val="auto"/>
                <w:sz w:val="16"/>
                <w:szCs w:val="16"/>
              </w:rPr>
            </w:pPr>
            <w:r>
              <w:rPr>
                <w:rFonts w:ascii="Arial" w:hAnsi="Arial" w:cs="Arial"/>
                <w:color w:val="auto"/>
                <w:sz w:val="16"/>
                <w:szCs w:val="16"/>
              </w:rPr>
              <w:t>2017</w:t>
            </w:r>
            <w:r>
              <w:rPr>
                <w:rFonts w:ascii="Arial" w:hAnsi="Arial" w:cs="Arial"/>
                <w:color w:val="auto"/>
                <w:sz w:val="16"/>
                <w:szCs w:val="16"/>
              </w:rPr>
              <w:noBreakHyphen/>
              <w:t>18</w:t>
            </w:r>
          </w:p>
        </w:tc>
        <w:tc>
          <w:tcPr>
            <w:tcW w:w="878" w:type="pct"/>
            <w:gridSpan w:val="2"/>
            <w:tcBorders>
              <w:top w:val="single" w:sz="4" w:space="0" w:color="auto"/>
              <w:left w:val="nil"/>
              <w:bottom w:val="single" w:sz="4" w:space="0" w:color="auto"/>
              <w:right w:val="nil"/>
            </w:tcBorders>
            <w:shd w:val="clear" w:color="000000" w:fill="FFFFFF"/>
            <w:noWrap/>
            <w:vAlign w:val="center"/>
            <w:hideMark/>
          </w:tcPr>
          <w:p w14:paraId="78642AEA" w14:textId="779D2AAD" w:rsidR="007B66F5" w:rsidRPr="007637B8" w:rsidRDefault="00C17F09" w:rsidP="00746D27">
            <w:pPr>
              <w:keepNext/>
              <w:keepLines/>
              <w:spacing w:after="0" w:line="240" w:lineRule="auto"/>
              <w:jc w:val="right"/>
              <w:rPr>
                <w:rFonts w:ascii="Arial" w:hAnsi="Arial" w:cs="Arial"/>
                <w:color w:val="auto"/>
                <w:sz w:val="16"/>
                <w:szCs w:val="16"/>
              </w:rPr>
            </w:pPr>
            <w:r>
              <w:rPr>
                <w:rFonts w:ascii="Arial" w:hAnsi="Arial" w:cs="Arial"/>
                <w:color w:val="auto"/>
                <w:sz w:val="16"/>
                <w:szCs w:val="16"/>
              </w:rPr>
              <w:t>2018</w:t>
            </w:r>
            <w:r>
              <w:rPr>
                <w:rFonts w:ascii="Arial" w:hAnsi="Arial" w:cs="Arial"/>
                <w:color w:val="auto"/>
                <w:sz w:val="16"/>
                <w:szCs w:val="16"/>
              </w:rPr>
              <w:noBreakHyphen/>
              <w:t>19</w:t>
            </w:r>
          </w:p>
        </w:tc>
        <w:tc>
          <w:tcPr>
            <w:tcW w:w="878" w:type="pct"/>
            <w:gridSpan w:val="2"/>
            <w:tcBorders>
              <w:top w:val="single" w:sz="4" w:space="0" w:color="auto"/>
              <w:left w:val="nil"/>
              <w:bottom w:val="single" w:sz="4" w:space="0" w:color="auto"/>
              <w:right w:val="nil"/>
            </w:tcBorders>
            <w:shd w:val="clear" w:color="000000" w:fill="FFFFFF"/>
            <w:noWrap/>
            <w:vAlign w:val="center"/>
            <w:hideMark/>
          </w:tcPr>
          <w:p w14:paraId="35CF5B9A" w14:textId="7FD1A097" w:rsidR="007B66F5" w:rsidRPr="007637B8" w:rsidRDefault="00D76ED2" w:rsidP="00746D27">
            <w:pPr>
              <w:keepNext/>
              <w:keepLines/>
              <w:spacing w:after="0" w:line="240" w:lineRule="auto"/>
              <w:jc w:val="right"/>
              <w:rPr>
                <w:rFonts w:ascii="Arial" w:hAnsi="Arial" w:cs="Arial"/>
                <w:color w:val="auto"/>
                <w:sz w:val="16"/>
                <w:szCs w:val="16"/>
              </w:rPr>
            </w:pPr>
            <w:r>
              <w:rPr>
                <w:rFonts w:ascii="Arial" w:hAnsi="Arial" w:cs="Arial"/>
                <w:color w:val="auto"/>
                <w:sz w:val="16"/>
                <w:szCs w:val="16"/>
              </w:rPr>
              <w:t>2019</w:t>
            </w:r>
            <w:r>
              <w:rPr>
                <w:rFonts w:ascii="Arial" w:hAnsi="Arial" w:cs="Arial"/>
                <w:color w:val="auto"/>
                <w:sz w:val="16"/>
                <w:szCs w:val="16"/>
              </w:rPr>
              <w:noBreakHyphen/>
              <w:t>20</w:t>
            </w:r>
          </w:p>
        </w:tc>
        <w:tc>
          <w:tcPr>
            <w:tcW w:w="878" w:type="pct"/>
            <w:gridSpan w:val="2"/>
            <w:tcBorders>
              <w:top w:val="single" w:sz="4" w:space="0" w:color="auto"/>
              <w:left w:val="nil"/>
              <w:bottom w:val="single" w:sz="4" w:space="0" w:color="auto"/>
              <w:right w:val="nil"/>
            </w:tcBorders>
            <w:shd w:val="clear" w:color="auto" w:fill="E1E8EB"/>
            <w:noWrap/>
            <w:vAlign w:val="center"/>
            <w:hideMark/>
          </w:tcPr>
          <w:p w14:paraId="6EFA01E0" w14:textId="36E3E2DE" w:rsidR="007B66F5" w:rsidRPr="007637B8" w:rsidRDefault="00D76ED2" w:rsidP="00746D27">
            <w:pPr>
              <w:keepNext/>
              <w:keepLines/>
              <w:spacing w:after="0" w:line="240" w:lineRule="auto"/>
              <w:jc w:val="right"/>
              <w:rPr>
                <w:rFonts w:ascii="Arial" w:hAnsi="Arial" w:cs="Arial"/>
                <w:color w:val="auto"/>
                <w:sz w:val="16"/>
                <w:szCs w:val="16"/>
              </w:rPr>
            </w:pPr>
            <w:r>
              <w:rPr>
                <w:rFonts w:ascii="Arial" w:hAnsi="Arial" w:cs="Arial"/>
                <w:color w:val="auto"/>
                <w:sz w:val="16"/>
                <w:szCs w:val="16"/>
              </w:rPr>
              <w:t>2020</w:t>
            </w:r>
            <w:r>
              <w:rPr>
                <w:rFonts w:ascii="Arial" w:hAnsi="Arial" w:cs="Arial"/>
                <w:color w:val="auto"/>
                <w:sz w:val="16"/>
                <w:szCs w:val="16"/>
              </w:rPr>
              <w:noBreakHyphen/>
              <w:t>21</w:t>
            </w:r>
          </w:p>
        </w:tc>
      </w:tr>
      <w:tr w:rsidR="007B66F5" w:rsidRPr="00C95D7C" w14:paraId="3EFBAA15" w14:textId="77777777" w:rsidTr="00405179">
        <w:trPr>
          <w:trHeight w:val="227"/>
        </w:trPr>
        <w:tc>
          <w:tcPr>
            <w:tcW w:w="1488" w:type="pct"/>
            <w:tcBorders>
              <w:top w:val="nil"/>
              <w:left w:val="nil"/>
              <w:bottom w:val="single" w:sz="4" w:space="0" w:color="auto"/>
              <w:right w:val="nil"/>
            </w:tcBorders>
            <w:shd w:val="clear" w:color="000000" w:fill="FFFFFF"/>
            <w:noWrap/>
            <w:vAlign w:val="center"/>
            <w:hideMark/>
          </w:tcPr>
          <w:p w14:paraId="59678C67" w14:textId="77777777" w:rsidR="007B66F5" w:rsidRPr="00C95D7C" w:rsidRDefault="007B66F5" w:rsidP="00746D27">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Group</w:t>
            </w:r>
          </w:p>
        </w:tc>
        <w:tc>
          <w:tcPr>
            <w:tcW w:w="439" w:type="pct"/>
            <w:tcBorders>
              <w:top w:val="nil"/>
              <w:left w:val="nil"/>
              <w:bottom w:val="single" w:sz="4" w:space="0" w:color="auto"/>
              <w:right w:val="nil"/>
            </w:tcBorders>
            <w:shd w:val="clear" w:color="000000" w:fill="FFFFFF"/>
            <w:noWrap/>
            <w:vAlign w:val="center"/>
            <w:hideMark/>
          </w:tcPr>
          <w:p w14:paraId="7482410D" w14:textId="77777777" w:rsidR="007B66F5" w:rsidRPr="00C95D7C" w:rsidRDefault="007B66F5" w:rsidP="00746D27">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No.</w:t>
            </w:r>
          </w:p>
        </w:tc>
        <w:tc>
          <w:tcPr>
            <w:tcW w:w="439" w:type="pct"/>
            <w:tcBorders>
              <w:top w:val="nil"/>
              <w:left w:val="nil"/>
              <w:bottom w:val="single" w:sz="4" w:space="0" w:color="auto"/>
              <w:right w:val="nil"/>
            </w:tcBorders>
            <w:shd w:val="clear" w:color="000000" w:fill="FFFFFF"/>
            <w:noWrap/>
            <w:vAlign w:val="center"/>
            <w:hideMark/>
          </w:tcPr>
          <w:p w14:paraId="440696AB" w14:textId="77777777" w:rsidR="007B66F5" w:rsidRPr="00C95D7C" w:rsidRDefault="007B66F5" w:rsidP="00746D27">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$b</w:t>
            </w:r>
          </w:p>
        </w:tc>
        <w:tc>
          <w:tcPr>
            <w:tcW w:w="439" w:type="pct"/>
            <w:tcBorders>
              <w:top w:val="nil"/>
              <w:left w:val="nil"/>
              <w:bottom w:val="single" w:sz="4" w:space="0" w:color="auto"/>
              <w:right w:val="nil"/>
            </w:tcBorders>
            <w:shd w:val="clear" w:color="000000" w:fill="FFFFFF"/>
            <w:vAlign w:val="center"/>
            <w:hideMark/>
          </w:tcPr>
          <w:p w14:paraId="4BCEFD34" w14:textId="77777777" w:rsidR="007B66F5" w:rsidRPr="00C95D7C" w:rsidRDefault="007B66F5" w:rsidP="00746D27">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No.</w:t>
            </w:r>
          </w:p>
        </w:tc>
        <w:tc>
          <w:tcPr>
            <w:tcW w:w="439" w:type="pct"/>
            <w:tcBorders>
              <w:top w:val="nil"/>
              <w:left w:val="nil"/>
              <w:bottom w:val="single" w:sz="4" w:space="0" w:color="auto"/>
              <w:right w:val="nil"/>
            </w:tcBorders>
            <w:shd w:val="clear" w:color="000000" w:fill="FFFFFF"/>
            <w:vAlign w:val="center"/>
            <w:hideMark/>
          </w:tcPr>
          <w:p w14:paraId="5ED4A0FC" w14:textId="77777777" w:rsidR="007B66F5" w:rsidRPr="00C95D7C" w:rsidRDefault="007B66F5" w:rsidP="00746D27">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$b</w:t>
            </w:r>
          </w:p>
        </w:tc>
        <w:tc>
          <w:tcPr>
            <w:tcW w:w="439" w:type="pct"/>
            <w:tcBorders>
              <w:top w:val="nil"/>
              <w:left w:val="nil"/>
              <w:bottom w:val="single" w:sz="4" w:space="0" w:color="auto"/>
              <w:right w:val="nil"/>
            </w:tcBorders>
            <w:shd w:val="clear" w:color="000000" w:fill="FFFFFF"/>
            <w:vAlign w:val="center"/>
            <w:hideMark/>
          </w:tcPr>
          <w:p w14:paraId="1E30CF5F" w14:textId="77777777" w:rsidR="007B66F5" w:rsidRPr="00C95D7C" w:rsidRDefault="007B66F5" w:rsidP="00746D27">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No.</w:t>
            </w:r>
          </w:p>
        </w:tc>
        <w:tc>
          <w:tcPr>
            <w:tcW w:w="439" w:type="pct"/>
            <w:tcBorders>
              <w:top w:val="nil"/>
              <w:left w:val="nil"/>
              <w:bottom w:val="single" w:sz="4" w:space="0" w:color="auto"/>
              <w:right w:val="nil"/>
            </w:tcBorders>
            <w:shd w:val="clear" w:color="000000" w:fill="FFFFFF"/>
            <w:vAlign w:val="center"/>
            <w:hideMark/>
          </w:tcPr>
          <w:p w14:paraId="51903199" w14:textId="77777777" w:rsidR="007B66F5" w:rsidRPr="00C95D7C" w:rsidRDefault="007B66F5" w:rsidP="00746D27">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$b</w:t>
            </w:r>
          </w:p>
        </w:tc>
        <w:tc>
          <w:tcPr>
            <w:tcW w:w="439" w:type="pct"/>
            <w:tcBorders>
              <w:top w:val="nil"/>
              <w:left w:val="nil"/>
              <w:bottom w:val="single" w:sz="4" w:space="0" w:color="auto"/>
              <w:right w:val="nil"/>
            </w:tcBorders>
            <w:shd w:val="clear" w:color="auto" w:fill="E1E8EB"/>
            <w:vAlign w:val="center"/>
            <w:hideMark/>
          </w:tcPr>
          <w:p w14:paraId="23CB9C5E" w14:textId="77777777" w:rsidR="007B66F5" w:rsidRPr="00C95D7C" w:rsidRDefault="007B66F5" w:rsidP="00746D27">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No.</w:t>
            </w:r>
          </w:p>
        </w:tc>
        <w:tc>
          <w:tcPr>
            <w:tcW w:w="439" w:type="pct"/>
            <w:tcBorders>
              <w:top w:val="nil"/>
              <w:left w:val="nil"/>
              <w:bottom w:val="single" w:sz="4" w:space="0" w:color="auto"/>
              <w:right w:val="nil"/>
            </w:tcBorders>
            <w:shd w:val="clear" w:color="auto" w:fill="E1E8EB"/>
            <w:vAlign w:val="center"/>
            <w:hideMark/>
          </w:tcPr>
          <w:p w14:paraId="553A7732" w14:textId="77777777" w:rsidR="007B66F5" w:rsidRPr="00C95D7C" w:rsidRDefault="007B66F5" w:rsidP="00746D27">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$b</w:t>
            </w:r>
          </w:p>
        </w:tc>
      </w:tr>
      <w:tr w:rsidR="007B66F5" w:rsidRPr="00C95D7C" w14:paraId="27BB9F24" w14:textId="77777777" w:rsidTr="00405179">
        <w:trPr>
          <w:trHeight w:val="227"/>
        </w:trPr>
        <w:tc>
          <w:tcPr>
            <w:tcW w:w="1488" w:type="pct"/>
            <w:tcBorders>
              <w:top w:val="nil"/>
              <w:left w:val="nil"/>
              <w:bottom w:val="nil"/>
              <w:right w:val="nil"/>
            </w:tcBorders>
            <w:shd w:val="clear" w:color="000000" w:fill="FFFFFF"/>
            <w:vAlign w:val="center"/>
            <w:hideMark/>
          </w:tcPr>
          <w:p w14:paraId="57B8B734" w14:textId="77777777" w:rsidR="007B66F5" w:rsidRPr="00C95D7C" w:rsidRDefault="007B66F5" w:rsidP="00746D27">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Accommodation,</w:t>
            </w:r>
            <w:r w:rsidRPr="00C95D7C">
              <w:rPr>
                <w:rFonts w:ascii="Arial" w:hAnsi="Arial" w:cs="Arial"/>
                <w:color w:val="auto"/>
                <w:sz w:val="16"/>
                <w:szCs w:val="16"/>
              </w:rPr>
              <w:br/>
              <w:t xml:space="preserve">  food and beverage (a)</w:t>
            </w:r>
          </w:p>
        </w:tc>
        <w:tc>
          <w:tcPr>
            <w:tcW w:w="439" w:type="pct"/>
            <w:tcBorders>
              <w:top w:val="nil"/>
              <w:left w:val="nil"/>
              <w:bottom w:val="nil"/>
              <w:right w:val="nil"/>
            </w:tcBorders>
            <w:shd w:val="clear" w:color="000000" w:fill="FFFFFF"/>
            <w:vAlign w:val="center"/>
            <w:hideMark/>
          </w:tcPr>
          <w:p w14:paraId="64591BFB" w14:textId="1679DC4F"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8</w:t>
            </w:r>
          </w:p>
        </w:tc>
        <w:tc>
          <w:tcPr>
            <w:tcW w:w="439" w:type="pct"/>
            <w:tcBorders>
              <w:top w:val="nil"/>
              <w:left w:val="nil"/>
              <w:bottom w:val="nil"/>
              <w:right w:val="nil"/>
            </w:tcBorders>
            <w:shd w:val="clear" w:color="000000" w:fill="FFFFFF"/>
            <w:vAlign w:val="center"/>
            <w:hideMark/>
          </w:tcPr>
          <w:p w14:paraId="49936112" w14:textId="76B8BAA0"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2.0</w:t>
            </w:r>
          </w:p>
        </w:tc>
        <w:tc>
          <w:tcPr>
            <w:tcW w:w="439" w:type="pct"/>
            <w:tcBorders>
              <w:top w:val="nil"/>
              <w:left w:val="nil"/>
              <w:bottom w:val="nil"/>
              <w:right w:val="nil"/>
            </w:tcBorders>
            <w:shd w:val="clear" w:color="000000" w:fill="FFFFFF"/>
            <w:noWrap/>
            <w:vAlign w:val="center"/>
            <w:hideMark/>
          </w:tcPr>
          <w:p w14:paraId="35FFD72A" w14:textId="685D74DF"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17</w:t>
            </w:r>
          </w:p>
        </w:tc>
        <w:tc>
          <w:tcPr>
            <w:tcW w:w="439" w:type="pct"/>
            <w:tcBorders>
              <w:top w:val="nil"/>
              <w:left w:val="nil"/>
              <w:bottom w:val="nil"/>
              <w:right w:val="nil"/>
            </w:tcBorders>
            <w:shd w:val="clear" w:color="000000" w:fill="FFFFFF"/>
            <w:noWrap/>
            <w:vAlign w:val="center"/>
            <w:hideMark/>
          </w:tcPr>
          <w:p w14:paraId="32EE481E" w14:textId="300C14BA"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1.5</w:t>
            </w:r>
          </w:p>
        </w:tc>
        <w:tc>
          <w:tcPr>
            <w:tcW w:w="439" w:type="pct"/>
            <w:tcBorders>
              <w:top w:val="nil"/>
              <w:left w:val="nil"/>
              <w:bottom w:val="nil"/>
              <w:right w:val="nil"/>
            </w:tcBorders>
            <w:shd w:val="clear" w:color="000000" w:fill="FFFFFF"/>
            <w:noWrap/>
            <w:vAlign w:val="center"/>
            <w:hideMark/>
          </w:tcPr>
          <w:p w14:paraId="7A5162EA" w14:textId="02212C48"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16</w:t>
            </w:r>
          </w:p>
        </w:tc>
        <w:tc>
          <w:tcPr>
            <w:tcW w:w="439" w:type="pct"/>
            <w:tcBorders>
              <w:top w:val="nil"/>
              <w:left w:val="nil"/>
              <w:bottom w:val="nil"/>
              <w:right w:val="nil"/>
            </w:tcBorders>
            <w:shd w:val="clear" w:color="000000" w:fill="FFFFFF"/>
            <w:noWrap/>
            <w:vAlign w:val="center"/>
            <w:hideMark/>
          </w:tcPr>
          <w:p w14:paraId="1F4C97CE" w14:textId="2095EF5D"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3.2</w:t>
            </w:r>
          </w:p>
        </w:tc>
        <w:tc>
          <w:tcPr>
            <w:tcW w:w="439" w:type="pct"/>
            <w:tcBorders>
              <w:top w:val="nil"/>
              <w:left w:val="nil"/>
              <w:bottom w:val="nil"/>
              <w:right w:val="nil"/>
            </w:tcBorders>
            <w:shd w:val="clear" w:color="auto" w:fill="E1E8EB"/>
            <w:noWrap/>
            <w:vAlign w:val="center"/>
            <w:hideMark/>
          </w:tcPr>
          <w:p w14:paraId="586889C9" w14:textId="762C1EE4"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105</w:t>
            </w:r>
          </w:p>
        </w:tc>
        <w:tc>
          <w:tcPr>
            <w:tcW w:w="439" w:type="pct"/>
            <w:tcBorders>
              <w:top w:val="nil"/>
              <w:left w:val="nil"/>
              <w:bottom w:val="nil"/>
              <w:right w:val="nil"/>
            </w:tcBorders>
            <w:shd w:val="clear" w:color="auto" w:fill="E1E8EB"/>
            <w:noWrap/>
            <w:vAlign w:val="center"/>
            <w:hideMark/>
          </w:tcPr>
          <w:p w14:paraId="3D7AB697" w14:textId="29EBF38B"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3.9</w:t>
            </w:r>
          </w:p>
        </w:tc>
      </w:tr>
      <w:tr w:rsidR="007B66F5" w:rsidRPr="00C95D7C" w14:paraId="0C058B97" w14:textId="77777777" w:rsidTr="00405179">
        <w:trPr>
          <w:trHeight w:val="227"/>
        </w:trPr>
        <w:tc>
          <w:tcPr>
            <w:tcW w:w="1488" w:type="pct"/>
            <w:tcBorders>
              <w:top w:val="nil"/>
              <w:left w:val="nil"/>
              <w:bottom w:val="nil"/>
              <w:right w:val="nil"/>
            </w:tcBorders>
            <w:shd w:val="clear" w:color="000000" w:fill="FFFFFF"/>
            <w:vAlign w:val="bottom"/>
            <w:hideMark/>
          </w:tcPr>
          <w:p w14:paraId="63D4EB36" w14:textId="77777777" w:rsidR="007B66F5" w:rsidRPr="00C95D7C" w:rsidRDefault="007B66F5" w:rsidP="00746D27">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 xml:space="preserve">Arts and Recreation (b) </w:t>
            </w:r>
          </w:p>
        </w:tc>
        <w:tc>
          <w:tcPr>
            <w:tcW w:w="439" w:type="pct"/>
            <w:tcBorders>
              <w:top w:val="nil"/>
              <w:left w:val="nil"/>
              <w:bottom w:val="nil"/>
              <w:right w:val="nil"/>
            </w:tcBorders>
            <w:shd w:val="clear" w:color="000000" w:fill="FFFFFF"/>
            <w:vAlign w:val="center"/>
            <w:hideMark/>
          </w:tcPr>
          <w:p w14:paraId="7A506D3A" w14:textId="7959CF94"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14</w:t>
            </w:r>
          </w:p>
        </w:tc>
        <w:tc>
          <w:tcPr>
            <w:tcW w:w="439" w:type="pct"/>
            <w:tcBorders>
              <w:top w:val="nil"/>
              <w:left w:val="nil"/>
              <w:bottom w:val="nil"/>
              <w:right w:val="nil"/>
            </w:tcBorders>
            <w:shd w:val="clear" w:color="000000" w:fill="FFFFFF"/>
            <w:vAlign w:val="center"/>
            <w:hideMark/>
          </w:tcPr>
          <w:p w14:paraId="7A7B3883" w14:textId="4ADAC0A3"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1.3</w:t>
            </w:r>
          </w:p>
        </w:tc>
        <w:tc>
          <w:tcPr>
            <w:tcW w:w="439" w:type="pct"/>
            <w:tcBorders>
              <w:top w:val="nil"/>
              <w:left w:val="nil"/>
              <w:bottom w:val="nil"/>
              <w:right w:val="nil"/>
            </w:tcBorders>
            <w:shd w:val="clear" w:color="000000" w:fill="FFFFFF"/>
            <w:noWrap/>
            <w:vAlign w:val="center"/>
            <w:hideMark/>
          </w:tcPr>
          <w:p w14:paraId="6433EFE6" w14:textId="08C671AE"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8</w:t>
            </w:r>
          </w:p>
        </w:tc>
        <w:tc>
          <w:tcPr>
            <w:tcW w:w="439" w:type="pct"/>
            <w:tcBorders>
              <w:top w:val="nil"/>
              <w:left w:val="nil"/>
              <w:bottom w:val="nil"/>
              <w:right w:val="nil"/>
            </w:tcBorders>
            <w:shd w:val="clear" w:color="000000" w:fill="FFFFFF"/>
            <w:noWrap/>
            <w:vAlign w:val="center"/>
            <w:hideMark/>
          </w:tcPr>
          <w:p w14:paraId="37874391" w14:textId="6A215D07"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0.7</w:t>
            </w:r>
          </w:p>
        </w:tc>
        <w:tc>
          <w:tcPr>
            <w:tcW w:w="439" w:type="pct"/>
            <w:tcBorders>
              <w:top w:val="nil"/>
              <w:left w:val="nil"/>
              <w:bottom w:val="nil"/>
              <w:right w:val="nil"/>
            </w:tcBorders>
            <w:shd w:val="clear" w:color="000000" w:fill="FFFFFF"/>
            <w:noWrap/>
            <w:vAlign w:val="center"/>
            <w:hideMark/>
          </w:tcPr>
          <w:p w14:paraId="5B37D290" w14:textId="342F0A67"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11</w:t>
            </w:r>
          </w:p>
        </w:tc>
        <w:tc>
          <w:tcPr>
            <w:tcW w:w="439" w:type="pct"/>
            <w:tcBorders>
              <w:top w:val="nil"/>
              <w:left w:val="nil"/>
              <w:bottom w:val="nil"/>
              <w:right w:val="nil"/>
            </w:tcBorders>
            <w:shd w:val="clear" w:color="000000" w:fill="FFFFFF"/>
            <w:noWrap/>
            <w:vAlign w:val="center"/>
            <w:hideMark/>
          </w:tcPr>
          <w:p w14:paraId="0795C3B2" w14:textId="7A8B1883"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3.8</w:t>
            </w:r>
          </w:p>
        </w:tc>
        <w:tc>
          <w:tcPr>
            <w:tcW w:w="439" w:type="pct"/>
            <w:tcBorders>
              <w:top w:val="nil"/>
              <w:left w:val="nil"/>
              <w:bottom w:val="nil"/>
              <w:right w:val="nil"/>
            </w:tcBorders>
            <w:shd w:val="clear" w:color="auto" w:fill="E1E8EB"/>
            <w:noWrap/>
            <w:vAlign w:val="center"/>
            <w:hideMark/>
          </w:tcPr>
          <w:p w14:paraId="17812DED" w14:textId="58664CD7"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26</w:t>
            </w:r>
          </w:p>
        </w:tc>
        <w:tc>
          <w:tcPr>
            <w:tcW w:w="439" w:type="pct"/>
            <w:tcBorders>
              <w:top w:val="nil"/>
              <w:left w:val="nil"/>
              <w:bottom w:val="nil"/>
              <w:right w:val="nil"/>
            </w:tcBorders>
            <w:shd w:val="clear" w:color="auto" w:fill="E1E8EB"/>
            <w:noWrap/>
            <w:vAlign w:val="center"/>
            <w:hideMark/>
          </w:tcPr>
          <w:p w14:paraId="51CBA1A8" w14:textId="61CD7F13"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2.5</w:t>
            </w:r>
          </w:p>
        </w:tc>
      </w:tr>
      <w:tr w:rsidR="007B66F5" w:rsidRPr="00C95D7C" w14:paraId="6ECB582E" w14:textId="77777777" w:rsidTr="00405179">
        <w:trPr>
          <w:trHeight w:val="227"/>
        </w:trPr>
        <w:tc>
          <w:tcPr>
            <w:tcW w:w="1488" w:type="pct"/>
            <w:tcBorders>
              <w:top w:val="nil"/>
              <w:left w:val="nil"/>
              <w:bottom w:val="nil"/>
              <w:right w:val="nil"/>
            </w:tcBorders>
            <w:shd w:val="clear" w:color="000000" w:fill="FFFFFF"/>
            <w:noWrap/>
            <w:vAlign w:val="center"/>
            <w:hideMark/>
          </w:tcPr>
          <w:p w14:paraId="4BC8E65D" w14:textId="77777777" w:rsidR="007B66F5" w:rsidRPr="00C95D7C" w:rsidRDefault="007B66F5" w:rsidP="00746D27">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Communications (c)</w:t>
            </w:r>
          </w:p>
        </w:tc>
        <w:tc>
          <w:tcPr>
            <w:tcW w:w="439" w:type="pct"/>
            <w:tcBorders>
              <w:top w:val="nil"/>
              <w:left w:val="nil"/>
              <w:bottom w:val="nil"/>
              <w:right w:val="nil"/>
            </w:tcBorders>
            <w:shd w:val="clear" w:color="000000" w:fill="FFFFFF"/>
            <w:vAlign w:val="center"/>
            <w:hideMark/>
          </w:tcPr>
          <w:p w14:paraId="753A54B3" w14:textId="291516FB"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19</w:t>
            </w:r>
          </w:p>
        </w:tc>
        <w:tc>
          <w:tcPr>
            <w:tcW w:w="439" w:type="pct"/>
            <w:tcBorders>
              <w:top w:val="nil"/>
              <w:left w:val="nil"/>
              <w:bottom w:val="nil"/>
              <w:right w:val="nil"/>
            </w:tcBorders>
            <w:shd w:val="clear" w:color="000000" w:fill="FFFFFF"/>
            <w:vAlign w:val="center"/>
            <w:hideMark/>
          </w:tcPr>
          <w:p w14:paraId="59D04BD7" w14:textId="79780E8A"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2.2</w:t>
            </w:r>
          </w:p>
        </w:tc>
        <w:tc>
          <w:tcPr>
            <w:tcW w:w="439" w:type="pct"/>
            <w:tcBorders>
              <w:top w:val="nil"/>
              <w:left w:val="nil"/>
              <w:bottom w:val="nil"/>
              <w:right w:val="nil"/>
            </w:tcBorders>
            <w:shd w:val="clear" w:color="000000" w:fill="FFFFFF"/>
            <w:noWrap/>
            <w:vAlign w:val="center"/>
            <w:hideMark/>
          </w:tcPr>
          <w:p w14:paraId="26FA57D7" w14:textId="7DAB13ED"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21</w:t>
            </w:r>
          </w:p>
        </w:tc>
        <w:tc>
          <w:tcPr>
            <w:tcW w:w="439" w:type="pct"/>
            <w:tcBorders>
              <w:top w:val="nil"/>
              <w:left w:val="nil"/>
              <w:bottom w:val="nil"/>
              <w:right w:val="nil"/>
            </w:tcBorders>
            <w:shd w:val="clear" w:color="000000" w:fill="FFFFFF"/>
            <w:noWrap/>
            <w:vAlign w:val="center"/>
            <w:hideMark/>
          </w:tcPr>
          <w:p w14:paraId="6D0899AF" w14:textId="5F315FE4"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17.4</w:t>
            </w:r>
          </w:p>
        </w:tc>
        <w:tc>
          <w:tcPr>
            <w:tcW w:w="439" w:type="pct"/>
            <w:tcBorders>
              <w:top w:val="nil"/>
              <w:left w:val="nil"/>
              <w:bottom w:val="nil"/>
              <w:right w:val="nil"/>
            </w:tcBorders>
            <w:shd w:val="clear" w:color="000000" w:fill="FFFFFF"/>
            <w:noWrap/>
            <w:vAlign w:val="center"/>
            <w:hideMark/>
          </w:tcPr>
          <w:p w14:paraId="7DFCD2D2" w14:textId="3101DF1B"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48</w:t>
            </w:r>
          </w:p>
        </w:tc>
        <w:tc>
          <w:tcPr>
            <w:tcW w:w="439" w:type="pct"/>
            <w:tcBorders>
              <w:top w:val="nil"/>
              <w:left w:val="nil"/>
              <w:bottom w:val="nil"/>
              <w:right w:val="nil"/>
            </w:tcBorders>
            <w:shd w:val="clear" w:color="000000" w:fill="FFFFFF"/>
            <w:noWrap/>
            <w:vAlign w:val="center"/>
            <w:hideMark/>
          </w:tcPr>
          <w:p w14:paraId="6730B30E" w14:textId="0FD55195" w:rsidR="007B66F5" w:rsidRPr="007637B8" w:rsidRDefault="000D14F9"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21</w:t>
            </w:r>
            <w:r w:rsidR="00814941" w:rsidRPr="007637B8">
              <w:rPr>
                <w:rFonts w:ascii="Arial" w:hAnsi="Arial" w:cs="Arial"/>
                <w:color w:val="auto"/>
                <w:sz w:val="16"/>
                <w:szCs w:val="16"/>
              </w:rPr>
              <w:t>.0</w:t>
            </w:r>
          </w:p>
        </w:tc>
        <w:tc>
          <w:tcPr>
            <w:tcW w:w="439" w:type="pct"/>
            <w:tcBorders>
              <w:top w:val="nil"/>
              <w:left w:val="nil"/>
              <w:bottom w:val="nil"/>
              <w:right w:val="nil"/>
            </w:tcBorders>
            <w:shd w:val="clear" w:color="auto" w:fill="E1E8EB"/>
            <w:noWrap/>
            <w:vAlign w:val="center"/>
            <w:hideMark/>
          </w:tcPr>
          <w:p w14:paraId="52520829" w14:textId="291BA780"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66</w:t>
            </w:r>
          </w:p>
        </w:tc>
        <w:tc>
          <w:tcPr>
            <w:tcW w:w="439" w:type="pct"/>
            <w:tcBorders>
              <w:top w:val="nil"/>
              <w:left w:val="nil"/>
              <w:bottom w:val="nil"/>
              <w:right w:val="nil"/>
            </w:tcBorders>
            <w:shd w:val="clear" w:color="auto" w:fill="E1E8EB"/>
            <w:noWrap/>
            <w:vAlign w:val="center"/>
            <w:hideMark/>
          </w:tcPr>
          <w:p w14:paraId="300FF233" w14:textId="6DEB2C92"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10.3</w:t>
            </w:r>
          </w:p>
        </w:tc>
      </w:tr>
      <w:tr w:rsidR="007B66F5" w:rsidRPr="00C95D7C" w14:paraId="295905A9" w14:textId="77777777" w:rsidTr="00405179">
        <w:trPr>
          <w:trHeight w:val="227"/>
        </w:trPr>
        <w:tc>
          <w:tcPr>
            <w:tcW w:w="1488" w:type="pct"/>
            <w:tcBorders>
              <w:top w:val="nil"/>
              <w:left w:val="nil"/>
              <w:bottom w:val="nil"/>
              <w:right w:val="nil"/>
            </w:tcBorders>
            <w:shd w:val="clear" w:color="000000" w:fill="FFFFFF"/>
            <w:noWrap/>
            <w:vAlign w:val="center"/>
            <w:hideMark/>
          </w:tcPr>
          <w:p w14:paraId="0A02CBC2" w14:textId="77777777" w:rsidR="007B66F5" w:rsidRPr="00C95D7C" w:rsidRDefault="007B66F5" w:rsidP="00746D27">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Construction (d)</w:t>
            </w:r>
          </w:p>
        </w:tc>
        <w:tc>
          <w:tcPr>
            <w:tcW w:w="439" w:type="pct"/>
            <w:tcBorders>
              <w:top w:val="nil"/>
              <w:left w:val="nil"/>
              <w:bottom w:val="nil"/>
              <w:right w:val="nil"/>
            </w:tcBorders>
            <w:shd w:val="clear" w:color="000000" w:fill="FFFFFF"/>
            <w:vAlign w:val="center"/>
            <w:hideMark/>
          </w:tcPr>
          <w:p w14:paraId="284F8C72" w14:textId="2071F1D0"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14</w:t>
            </w:r>
          </w:p>
        </w:tc>
        <w:tc>
          <w:tcPr>
            <w:tcW w:w="439" w:type="pct"/>
            <w:tcBorders>
              <w:top w:val="nil"/>
              <w:left w:val="nil"/>
              <w:bottom w:val="nil"/>
              <w:right w:val="nil"/>
            </w:tcBorders>
            <w:shd w:val="clear" w:color="000000" w:fill="FFFFFF"/>
            <w:vAlign w:val="center"/>
            <w:hideMark/>
          </w:tcPr>
          <w:p w14:paraId="0ECBC962" w14:textId="37601BB9"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1.3</w:t>
            </w:r>
          </w:p>
        </w:tc>
        <w:tc>
          <w:tcPr>
            <w:tcW w:w="439" w:type="pct"/>
            <w:tcBorders>
              <w:top w:val="nil"/>
              <w:left w:val="nil"/>
              <w:bottom w:val="nil"/>
              <w:right w:val="nil"/>
            </w:tcBorders>
            <w:shd w:val="clear" w:color="000000" w:fill="FFFFFF"/>
            <w:noWrap/>
            <w:vAlign w:val="center"/>
            <w:hideMark/>
          </w:tcPr>
          <w:p w14:paraId="3AF97185" w14:textId="3365290B"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22</w:t>
            </w:r>
          </w:p>
        </w:tc>
        <w:tc>
          <w:tcPr>
            <w:tcW w:w="439" w:type="pct"/>
            <w:tcBorders>
              <w:top w:val="nil"/>
              <w:left w:val="nil"/>
              <w:bottom w:val="nil"/>
              <w:right w:val="nil"/>
            </w:tcBorders>
            <w:shd w:val="clear" w:color="000000" w:fill="FFFFFF"/>
            <w:noWrap/>
            <w:vAlign w:val="center"/>
            <w:hideMark/>
          </w:tcPr>
          <w:p w14:paraId="0E84C8A5" w14:textId="2565695E"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4.1</w:t>
            </w:r>
          </w:p>
        </w:tc>
        <w:tc>
          <w:tcPr>
            <w:tcW w:w="439" w:type="pct"/>
            <w:tcBorders>
              <w:top w:val="nil"/>
              <w:left w:val="nil"/>
              <w:bottom w:val="nil"/>
              <w:right w:val="nil"/>
            </w:tcBorders>
            <w:shd w:val="clear" w:color="000000" w:fill="FFFFFF"/>
            <w:noWrap/>
            <w:vAlign w:val="center"/>
            <w:hideMark/>
          </w:tcPr>
          <w:p w14:paraId="171226CE" w14:textId="067D4876"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19</w:t>
            </w:r>
          </w:p>
        </w:tc>
        <w:tc>
          <w:tcPr>
            <w:tcW w:w="439" w:type="pct"/>
            <w:tcBorders>
              <w:top w:val="nil"/>
              <w:left w:val="nil"/>
              <w:bottom w:val="nil"/>
              <w:right w:val="nil"/>
            </w:tcBorders>
            <w:shd w:val="clear" w:color="000000" w:fill="FFFFFF"/>
            <w:noWrap/>
            <w:vAlign w:val="center"/>
            <w:hideMark/>
          </w:tcPr>
          <w:p w14:paraId="2E675D8A" w14:textId="3723BA93"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2.9</w:t>
            </w:r>
          </w:p>
        </w:tc>
        <w:tc>
          <w:tcPr>
            <w:tcW w:w="439" w:type="pct"/>
            <w:tcBorders>
              <w:top w:val="nil"/>
              <w:left w:val="nil"/>
              <w:bottom w:val="nil"/>
              <w:right w:val="nil"/>
            </w:tcBorders>
            <w:shd w:val="clear" w:color="auto" w:fill="E1E8EB"/>
            <w:noWrap/>
            <w:vAlign w:val="center"/>
            <w:hideMark/>
          </w:tcPr>
          <w:p w14:paraId="4E7C5385" w14:textId="2DC75A55"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13</w:t>
            </w:r>
          </w:p>
        </w:tc>
        <w:tc>
          <w:tcPr>
            <w:tcW w:w="439" w:type="pct"/>
            <w:tcBorders>
              <w:top w:val="nil"/>
              <w:left w:val="nil"/>
              <w:bottom w:val="nil"/>
              <w:right w:val="nil"/>
            </w:tcBorders>
            <w:shd w:val="clear" w:color="auto" w:fill="E1E8EB"/>
            <w:noWrap/>
            <w:vAlign w:val="center"/>
            <w:hideMark/>
          </w:tcPr>
          <w:p w14:paraId="129CEDBC" w14:textId="6B475E37"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1.1</w:t>
            </w:r>
          </w:p>
        </w:tc>
      </w:tr>
      <w:tr w:rsidR="007B66F5" w:rsidRPr="00C95D7C" w14:paraId="5FA1634E" w14:textId="77777777" w:rsidTr="00405179">
        <w:trPr>
          <w:trHeight w:val="227"/>
        </w:trPr>
        <w:tc>
          <w:tcPr>
            <w:tcW w:w="1488" w:type="pct"/>
            <w:tcBorders>
              <w:top w:val="nil"/>
              <w:left w:val="nil"/>
              <w:bottom w:val="nil"/>
              <w:right w:val="nil"/>
            </w:tcBorders>
            <w:shd w:val="clear" w:color="000000" w:fill="FFFFFF"/>
            <w:noWrap/>
            <w:vAlign w:val="center"/>
            <w:hideMark/>
          </w:tcPr>
          <w:p w14:paraId="573AFF5B" w14:textId="77777777" w:rsidR="007B66F5" w:rsidRPr="00C95D7C" w:rsidRDefault="007B66F5" w:rsidP="00746D27">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Health (e)</w:t>
            </w:r>
          </w:p>
        </w:tc>
        <w:tc>
          <w:tcPr>
            <w:tcW w:w="439" w:type="pct"/>
            <w:tcBorders>
              <w:top w:val="nil"/>
              <w:left w:val="nil"/>
              <w:bottom w:val="nil"/>
              <w:right w:val="nil"/>
            </w:tcBorders>
            <w:shd w:val="clear" w:color="000000" w:fill="FFFFFF"/>
            <w:vAlign w:val="center"/>
            <w:hideMark/>
          </w:tcPr>
          <w:p w14:paraId="0D633388" w14:textId="1DD1DFF5"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34</w:t>
            </w:r>
          </w:p>
        </w:tc>
        <w:tc>
          <w:tcPr>
            <w:tcW w:w="439" w:type="pct"/>
            <w:tcBorders>
              <w:top w:val="nil"/>
              <w:left w:val="nil"/>
              <w:bottom w:val="nil"/>
              <w:right w:val="nil"/>
            </w:tcBorders>
            <w:shd w:val="clear" w:color="000000" w:fill="FFFFFF"/>
            <w:vAlign w:val="center"/>
            <w:hideMark/>
          </w:tcPr>
          <w:p w14:paraId="31BCAA58" w14:textId="21C12E1F"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7.3</w:t>
            </w:r>
          </w:p>
        </w:tc>
        <w:tc>
          <w:tcPr>
            <w:tcW w:w="439" w:type="pct"/>
            <w:tcBorders>
              <w:top w:val="nil"/>
              <w:left w:val="nil"/>
              <w:bottom w:val="nil"/>
              <w:right w:val="nil"/>
            </w:tcBorders>
            <w:shd w:val="clear" w:color="000000" w:fill="FFFFFF"/>
            <w:noWrap/>
            <w:vAlign w:val="center"/>
            <w:hideMark/>
          </w:tcPr>
          <w:p w14:paraId="2DDFC5D1" w14:textId="31E40EA6"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39</w:t>
            </w:r>
          </w:p>
        </w:tc>
        <w:tc>
          <w:tcPr>
            <w:tcW w:w="439" w:type="pct"/>
            <w:tcBorders>
              <w:top w:val="nil"/>
              <w:left w:val="nil"/>
              <w:bottom w:val="nil"/>
              <w:right w:val="nil"/>
            </w:tcBorders>
            <w:shd w:val="clear" w:color="000000" w:fill="FFFFFF"/>
            <w:noWrap/>
            <w:vAlign w:val="center"/>
            <w:hideMark/>
          </w:tcPr>
          <w:p w14:paraId="7CB4A037" w14:textId="1B90FEAA"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12.4</w:t>
            </w:r>
          </w:p>
        </w:tc>
        <w:tc>
          <w:tcPr>
            <w:tcW w:w="439" w:type="pct"/>
            <w:tcBorders>
              <w:top w:val="nil"/>
              <w:left w:val="nil"/>
              <w:bottom w:val="nil"/>
              <w:right w:val="nil"/>
            </w:tcBorders>
            <w:shd w:val="clear" w:color="000000" w:fill="FFFFFF"/>
            <w:noWrap/>
            <w:vAlign w:val="center"/>
            <w:hideMark/>
          </w:tcPr>
          <w:p w14:paraId="38734E26" w14:textId="24F8A33A"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48</w:t>
            </w:r>
          </w:p>
        </w:tc>
        <w:tc>
          <w:tcPr>
            <w:tcW w:w="439" w:type="pct"/>
            <w:tcBorders>
              <w:top w:val="nil"/>
              <w:left w:val="nil"/>
              <w:bottom w:val="nil"/>
              <w:right w:val="nil"/>
            </w:tcBorders>
            <w:shd w:val="clear" w:color="000000" w:fill="FFFFFF"/>
            <w:noWrap/>
            <w:vAlign w:val="center"/>
            <w:hideMark/>
          </w:tcPr>
          <w:p w14:paraId="3A89DE7F" w14:textId="55E82795"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8.5</w:t>
            </w:r>
          </w:p>
        </w:tc>
        <w:tc>
          <w:tcPr>
            <w:tcW w:w="439" w:type="pct"/>
            <w:tcBorders>
              <w:top w:val="nil"/>
              <w:left w:val="nil"/>
              <w:bottom w:val="nil"/>
              <w:right w:val="nil"/>
            </w:tcBorders>
            <w:shd w:val="clear" w:color="auto" w:fill="E1E8EB"/>
            <w:noWrap/>
            <w:vAlign w:val="center"/>
            <w:hideMark/>
          </w:tcPr>
          <w:p w14:paraId="56298E0B" w14:textId="01E1DA52"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68</w:t>
            </w:r>
          </w:p>
        </w:tc>
        <w:tc>
          <w:tcPr>
            <w:tcW w:w="439" w:type="pct"/>
            <w:tcBorders>
              <w:top w:val="nil"/>
              <w:left w:val="nil"/>
              <w:bottom w:val="nil"/>
              <w:right w:val="nil"/>
            </w:tcBorders>
            <w:shd w:val="clear" w:color="auto" w:fill="E1E8EB"/>
            <w:noWrap/>
            <w:vAlign w:val="center"/>
            <w:hideMark/>
          </w:tcPr>
          <w:p w14:paraId="133B2905" w14:textId="13C9492B"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7.2</w:t>
            </w:r>
          </w:p>
        </w:tc>
      </w:tr>
      <w:tr w:rsidR="007B66F5" w:rsidRPr="00C95D7C" w14:paraId="17E150C0" w14:textId="77777777" w:rsidTr="00405179">
        <w:trPr>
          <w:trHeight w:val="227"/>
        </w:trPr>
        <w:tc>
          <w:tcPr>
            <w:tcW w:w="1488" w:type="pct"/>
            <w:tcBorders>
              <w:top w:val="nil"/>
              <w:left w:val="nil"/>
              <w:bottom w:val="nil"/>
              <w:right w:val="nil"/>
            </w:tcBorders>
            <w:shd w:val="clear" w:color="000000" w:fill="FFFFFF"/>
            <w:vAlign w:val="center"/>
            <w:hideMark/>
          </w:tcPr>
          <w:p w14:paraId="4D6B93E8" w14:textId="77777777" w:rsidR="007B66F5" w:rsidRPr="00C95D7C" w:rsidRDefault="007B66F5" w:rsidP="00746D27">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Property and business</w:t>
            </w:r>
            <w:r w:rsidRPr="00C95D7C">
              <w:rPr>
                <w:rFonts w:ascii="Arial" w:hAnsi="Arial" w:cs="Arial"/>
                <w:color w:val="auto"/>
                <w:sz w:val="16"/>
                <w:szCs w:val="16"/>
              </w:rPr>
              <w:br/>
              <w:t xml:space="preserve">  services (f)</w:t>
            </w:r>
          </w:p>
        </w:tc>
        <w:tc>
          <w:tcPr>
            <w:tcW w:w="439" w:type="pct"/>
            <w:tcBorders>
              <w:top w:val="nil"/>
              <w:left w:val="nil"/>
              <w:bottom w:val="nil"/>
              <w:right w:val="nil"/>
            </w:tcBorders>
            <w:shd w:val="clear" w:color="000000" w:fill="FFFFFF"/>
            <w:vAlign w:val="center"/>
            <w:hideMark/>
          </w:tcPr>
          <w:p w14:paraId="33160CB0" w14:textId="2F9352F3"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41</w:t>
            </w:r>
          </w:p>
        </w:tc>
        <w:tc>
          <w:tcPr>
            <w:tcW w:w="439" w:type="pct"/>
            <w:tcBorders>
              <w:top w:val="nil"/>
              <w:left w:val="nil"/>
              <w:bottom w:val="nil"/>
              <w:right w:val="nil"/>
            </w:tcBorders>
            <w:shd w:val="clear" w:color="000000" w:fill="FFFFFF"/>
            <w:vAlign w:val="center"/>
            <w:hideMark/>
          </w:tcPr>
          <w:p w14:paraId="6FF19ADE" w14:textId="5026D600"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35.1</w:t>
            </w:r>
          </w:p>
        </w:tc>
        <w:tc>
          <w:tcPr>
            <w:tcW w:w="439" w:type="pct"/>
            <w:tcBorders>
              <w:top w:val="nil"/>
              <w:left w:val="nil"/>
              <w:bottom w:val="nil"/>
              <w:right w:val="nil"/>
            </w:tcBorders>
            <w:shd w:val="clear" w:color="000000" w:fill="FFFFFF"/>
            <w:noWrap/>
            <w:vAlign w:val="center"/>
            <w:hideMark/>
          </w:tcPr>
          <w:p w14:paraId="22CF3C2C" w14:textId="4D342765"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57</w:t>
            </w:r>
          </w:p>
        </w:tc>
        <w:tc>
          <w:tcPr>
            <w:tcW w:w="439" w:type="pct"/>
            <w:tcBorders>
              <w:top w:val="nil"/>
              <w:left w:val="nil"/>
              <w:bottom w:val="nil"/>
              <w:right w:val="nil"/>
            </w:tcBorders>
            <w:shd w:val="clear" w:color="000000" w:fill="FFFFFF"/>
            <w:noWrap/>
            <w:vAlign w:val="center"/>
            <w:hideMark/>
          </w:tcPr>
          <w:p w14:paraId="034431D7" w14:textId="494FC224"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9.1</w:t>
            </w:r>
          </w:p>
        </w:tc>
        <w:tc>
          <w:tcPr>
            <w:tcW w:w="439" w:type="pct"/>
            <w:tcBorders>
              <w:top w:val="nil"/>
              <w:left w:val="nil"/>
              <w:bottom w:val="nil"/>
              <w:right w:val="nil"/>
            </w:tcBorders>
            <w:shd w:val="clear" w:color="000000" w:fill="FFFFFF"/>
            <w:noWrap/>
            <w:vAlign w:val="center"/>
            <w:hideMark/>
          </w:tcPr>
          <w:p w14:paraId="6A38AE04" w14:textId="4C2028A5" w:rsidR="007B66F5" w:rsidRPr="007637B8" w:rsidRDefault="0081494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63</w:t>
            </w:r>
          </w:p>
        </w:tc>
        <w:tc>
          <w:tcPr>
            <w:tcW w:w="439" w:type="pct"/>
            <w:tcBorders>
              <w:top w:val="nil"/>
              <w:left w:val="nil"/>
              <w:bottom w:val="nil"/>
              <w:right w:val="nil"/>
            </w:tcBorders>
            <w:shd w:val="clear" w:color="000000" w:fill="FFFFFF"/>
            <w:noWrap/>
            <w:vAlign w:val="center"/>
            <w:hideMark/>
          </w:tcPr>
          <w:p w14:paraId="1B78B00A" w14:textId="31FCA028"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12.3</w:t>
            </w:r>
          </w:p>
        </w:tc>
        <w:tc>
          <w:tcPr>
            <w:tcW w:w="439" w:type="pct"/>
            <w:tcBorders>
              <w:top w:val="nil"/>
              <w:left w:val="nil"/>
              <w:bottom w:val="nil"/>
              <w:right w:val="nil"/>
            </w:tcBorders>
            <w:shd w:val="clear" w:color="auto" w:fill="E1E8EB"/>
            <w:noWrap/>
            <w:vAlign w:val="center"/>
            <w:hideMark/>
          </w:tcPr>
          <w:p w14:paraId="00063F49" w14:textId="3E368C9C"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215</w:t>
            </w:r>
          </w:p>
        </w:tc>
        <w:tc>
          <w:tcPr>
            <w:tcW w:w="439" w:type="pct"/>
            <w:tcBorders>
              <w:top w:val="nil"/>
              <w:left w:val="nil"/>
              <w:bottom w:val="nil"/>
              <w:right w:val="nil"/>
            </w:tcBorders>
            <w:shd w:val="clear" w:color="auto" w:fill="E1E8EB"/>
            <w:noWrap/>
            <w:vAlign w:val="center"/>
            <w:hideMark/>
          </w:tcPr>
          <w:p w14:paraId="0AB68A39" w14:textId="720CB4EB"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29.3</w:t>
            </w:r>
          </w:p>
        </w:tc>
      </w:tr>
      <w:tr w:rsidR="007B66F5" w:rsidRPr="00C95D7C" w14:paraId="37DB312E" w14:textId="77777777" w:rsidTr="00405179">
        <w:trPr>
          <w:trHeight w:val="227"/>
        </w:trPr>
        <w:tc>
          <w:tcPr>
            <w:tcW w:w="1488" w:type="pct"/>
            <w:tcBorders>
              <w:top w:val="nil"/>
              <w:left w:val="nil"/>
              <w:bottom w:val="nil"/>
              <w:right w:val="nil"/>
            </w:tcBorders>
            <w:shd w:val="clear" w:color="000000" w:fill="FFFFFF"/>
            <w:noWrap/>
            <w:vAlign w:val="center"/>
            <w:hideMark/>
          </w:tcPr>
          <w:p w14:paraId="39E3A50B" w14:textId="77777777" w:rsidR="007B66F5" w:rsidRPr="00C95D7C" w:rsidRDefault="007B66F5" w:rsidP="00746D27">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Trade (g)</w:t>
            </w:r>
          </w:p>
        </w:tc>
        <w:tc>
          <w:tcPr>
            <w:tcW w:w="439" w:type="pct"/>
            <w:tcBorders>
              <w:top w:val="nil"/>
              <w:left w:val="nil"/>
              <w:bottom w:val="nil"/>
              <w:right w:val="nil"/>
            </w:tcBorders>
            <w:shd w:val="clear" w:color="000000" w:fill="FFFFFF"/>
            <w:vAlign w:val="center"/>
            <w:hideMark/>
          </w:tcPr>
          <w:p w14:paraId="6D3F6FBA" w14:textId="59128CD7"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24</w:t>
            </w:r>
          </w:p>
        </w:tc>
        <w:tc>
          <w:tcPr>
            <w:tcW w:w="439" w:type="pct"/>
            <w:tcBorders>
              <w:top w:val="nil"/>
              <w:left w:val="nil"/>
              <w:bottom w:val="nil"/>
              <w:right w:val="nil"/>
            </w:tcBorders>
            <w:shd w:val="clear" w:color="000000" w:fill="FFFFFF"/>
            <w:vAlign w:val="center"/>
            <w:hideMark/>
          </w:tcPr>
          <w:p w14:paraId="35AE2D4E" w14:textId="3C7785A9"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4.0</w:t>
            </w:r>
          </w:p>
        </w:tc>
        <w:tc>
          <w:tcPr>
            <w:tcW w:w="439" w:type="pct"/>
            <w:tcBorders>
              <w:top w:val="nil"/>
              <w:left w:val="nil"/>
              <w:bottom w:val="nil"/>
              <w:right w:val="nil"/>
            </w:tcBorders>
            <w:shd w:val="clear" w:color="000000" w:fill="FFFFFF"/>
            <w:noWrap/>
            <w:vAlign w:val="center"/>
            <w:hideMark/>
          </w:tcPr>
          <w:p w14:paraId="760CD130" w14:textId="2A92D8EF"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24</w:t>
            </w:r>
          </w:p>
        </w:tc>
        <w:tc>
          <w:tcPr>
            <w:tcW w:w="439" w:type="pct"/>
            <w:tcBorders>
              <w:top w:val="nil"/>
              <w:left w:val="nil"/>
              <w:bottom w:val="nil"/>
              <w:right w:val="nil"/>
            </w:tcBorders>
            <w:shd w:val="clear" w:color="000000" w:fill="FFFFFF"/>
            <w:noWrap/>
            <w:vAlign w:val="center"/>
            <w:hideMark/>
          </w:tcPr>
          <w:p w14:paraId="64C2260E" w14:textId="79C2C429"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6.1</w:t>
            </w:r>
          </w:p>
        </w:tc>
        <w:tc>
          <w:tcPr>
            <w:tcW w:w="439" w:type="pct"/>
            <w:tcBorders>
              <w:top w:val="nil"/>
              <w:left w:val="nil"/>
              <w:bottom w:val="nil"/>
              <w:right w:val="nil"/>
            </w:tcBorders>
            <w:shd w:val="clear" w:color="000000" w:fill="FFFFFF"/>
            <w:noWrap/>
            <w:vAlign w:val="center"/>
            <w:hideMark/>
          </w:tcPr>
          <w:p w14:paraId="073ADE9A" w14:textId="5764AA27"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27</w:t>
            </w:r>
          </w:p>
        </w:tc>
        <w:tc>
          <w:tcPr>
            <w:tcW w:w="439" w:type="pct"/>
            <w:tcBorders>
              <w:top w:val="nil"/>
              <w:left w:val="nil"/>
              <w:bottom w:val="nil"/>
              <w:right w:val="nil"/>
            </w:tcBorders>
            <w:shd w:val="clear" w:color="000000" w:fill="FFFFFF"/>
            <w:noWrap/>
            <w:vAlign w:val="center"/>
            <w:hideMark/>
          </w:tcPr>
          <w:p w14:paraId="787A628E" w14:textId="66D8CEE7"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4.3</w:t>
            </w:r>
          </w:p>
        </w:tc>
        <w:tc>
          <w:tcPr>
            <w:tcW w:w="439" w:type="pct"/>
            <w:tcBorders>
              <w:top w:val="nil"/>
              <w:left w:val="nil"/>
              <w:bottom w:val="nil"/>
              <w:right w:val="nil"/>
            </w:tcBorders>
            <w:shd w:val="clear" w:color="auto" w:fill="E1E8EB"/>
            <w:noWrap/>
            <w:vAlign w:val="center"/>
            <w:hideMark/>
          </w:tcPr>
          <w:p w14:paraId="0A23CCA9" w14:textId="1E7D3683"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122</w:t>
            </w:r>
          </w:p>
        </w:tc>
        <w:tc>
          <w:tcPr>
            <w:tcW w:w="439" w:type="pct"/>
            <w:tcBorders>
              <w:top w:val="nil"/>
              <w:left w:val="nil"/>
              <w:bottom w:val="nil"/>
              <w:right w:val="nil"/>
            </w:tcBorders>
            <w:shd w:val="clear" w:color="auto" w:fill="E1E8EB"/>
            <w:noWrap/>
            <w:vAlign w:val="center"/>
            <w:hideMark/>
          </w:tcPr>
          <w:p w14:paraId="1A6F389A" w14:textId="077669F1"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3.0</w:t>
            </w:r>
          </w:p>
        </w:tc>
      </w:tr>
      <w:tr w:rsidR="007B66F5" w:rsidRPr="00C95D7C" w14:paraId="011F7270" w14:textId="77777777" w:rsidTr="00405179">
        <w:trPr>
          <w:trHeight w:val="227"/>
        </w:trPr>
        <w:tc>
          <w:tcPr>
            <w:tcW w:w="1488" w:type="pct"/>
            <w:tcBorders>
              <w:top w:val="nil"/>
              <w:left w:val="nil"/>
              <w:bottom w:val="nil"/>
              <w:right w:val="nil"/>
            </w:tcBorders>
            <w:shd w:val="clear" w:color="000000" w:fill="FFFFFF"/>
            <w:noWrap/>
            <w:vAlign w:val="center"/>
            <w:hideMark/>
          </w:tcPr>
          <w:p w14:paraId="6EFA8541" w14:textId="77777777" w:rsidR="007B66F5" w:rsidRPr="00C95D7C" w:rsidRDefault="007B66F5" w:rsidP="00746D27">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Transport (h)</w:t>
            </w:r>
          </w:p>
        </w:tc>
        <w:tc>
          <w:tcPr>
            <w:tcW w:w="439" w:type="pct"/>
            <w:tcBorders>
              <w:top w:val="nil"/>
              <w:left w:val="nil"/>
              <w:bottom w:val="nil"/>
              <w:right w:val="nil"/>
            </w:tcBorders>
            <w:shd w:val="clear" w:color="000000" w:fill="FFFFFF"/>
            <w:vAlign w:val="center"/>
            <w:hideMark/>
          </w:tcPr>
          <w:p w14:paraId="1BD6FCC3" w14:textId="3A006CA8"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20</w:t>
            </w:r>
          </w:p>
        </w:tc>
        <w:tc>
          <w:tcPr>
            <w:tcW w:w="439" w:type="pct"/>
            <w:tcBorders>
              <w:top w:val="nil"/>
              <w:left w:val="nil"/>
              <w:bottom w:val="nil"/>
              <w:right w:val="nil"/>
            </w:tcBorders>
            <w:shd w:val="clear" w:color="000000" w:fill="FFFFFF"/>
            <w:vAlign w:val="center"/>
            <w:hideMark/>
          </w:tcPr>
          <w:p w14:paraId="21AB78EB" w14:textId="6F1F4E10"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5.8</w:t>
            </w:r>
          </w:p>
        </w:tc>
        <w:tc>
          <w:tcPr>
            <w:tcW w:w="439" w:type="pct"/>
            <w:tcBorders>
              <w:top w:val="nil"/>
              <w:left w:val="nil"/>
              <w:bottom w:val="nil"/>
              <w:right w:val="nil"/>
            </w:tcBorders>
            <w:shd w:val="clear" w:color="000000" w:fill="FFFFFF"/>
            <w:noWrap/>
            <w:vAlign w:val="center"/>
            <w:hideMark/>
          </w:tcPr>
          <w:p w14:paraId="4A4A8C10" w14:textId="36472E72"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37</w:t>
            </w:r>
          </w:p>
        </w:tc>
        <w:tc>
          <w:tcPr>
            <w:tcW w:w="439" w:type="pct"/>
            <w:tcBorders>
              <w:top w:val="nil"/>
              <w:left w:val="nil"/>
              <w:bottom w:val="nil"/>
              <w:right w:val="nil"/>
            </w:tcBorders>
            <w:shd w:val="clear" w:color="000000" w:fill="FFFFFF"/>
            <w:noWrap/>
            <w:vAlign w:val="center"/>
            <w:hideMark/>
          </w:tcPr>
          <w:p w14:paraId="28EC2099" w14:textId="46970EA7"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18.7</w:t>
            </w:r>
          </w:p>
        </w:tc>
        <w:tc>
          <w:tcPr>
            <w:tcW w:w="439" w:type="pct"/>
            <w:tcBorders>
              <w:top w:val="nil"/>
              <w:left w:val="nil"/>
              <w:bottom w:val="nil"/>
              <w:right w:val="nil"/>
            </w:tcBorders>
            <w:shd w:val="clear" w:color="000000" w:fill="FFFFFF"/>
            <w:noWrap/>
            <w:vAlign w:val="center"/>
            <w:hideMark/>
          </w:tcPr>
          <w:p w14:paraId="05AB5ECF" w14:textId="2605C4FE"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50</w:t>
            </w:r>
          </w:p>
        </w:tc>
        <w:tc>
          <w:tcPr>
            <w:tcW w:w="439" w:type="pct"/>
            <w:tcBorders>
              <w:top w:val="nil"/>
              <w:left w:val="nil"/>
              <w:bottom w:val="nil"/>
              <w:right w:val="nil"/>
            </w:tcBorders>
            <w:shd w:val="clear" w:color="000000" w:fill="FFFFFF"/>
            <w:noWrap/>
            <w:vAlign w:val="center"/>
            <w:hideMark/>
          </w:tcPr>
          <w:p w14:paraId="1A60DAC8" w14:textId="34DF85EB"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14.8</w:t>
            </w:r>
          </w:p>
        </w:tc>
        <w:tc>
          <w:tcPr>
            <w:tcW w:w="439" w:type="pct"/>
            <w:tcBorders>
              <w:top w:val="nil"/>
              <w:left w:val="nil"/>
              <w:bottom w:val="nil"/>
              <w:right w:val="nil"/>
            </w:tcBorders>
            <w:shd w:val="clear" w:color="auto" w:fill="E1E8EB"/>
            <w:noWrap/>
            <w:vAlign w:val="center"/>
            <w:hideMark/>
          </w:tcPr>
          <w:p w14:paraId="10B5EB3F" w14:textId="275158F9"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81</w:t>
            </w:r>
          </w:p>
        </w:tc>
        <w:tc>
          <w:tcPr>
            <w:tcW w:w="439" w:type="pct"/>
            <w:tcBorders>
              <w:top w:val="nil"/>
              <w:left w:val="nil"/>
              <w:bottom w:val="nil"/>
              <w:right w:val="nil"/>
            </w:tcBorders>
            <w:shd w:val="clear" w:color="auto" w:fill="E1E8EB"/>
            <w:noWrap/>
            <w:vAlign w:val="center"/>
            <w:hideMark/>
          </w:tcPr>
          <w:p w14:paraId="2E0E9965" w14:textId="54CD06A1"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16.8</w:t>
            </w:r>
          </w:p>
        </w:tc>
      </w:tr>
      <w:tr w:rsidR="007B66F5" w:rsidRPr="00C95D7C" w14:paraId="21285CE8" w14:textId="77777777" w:rsidTr="00405179">
        <w:trPr>
          <w:trHeight w:val="227"/>
        </w:trPr>
        <w:tc>
          <w:tcPr>
            <w:tcW w:w="1488" w:type="pct"/>
            <w:tcBorders>
              <w:top w:val="nil"/>
              <w:left w:val="nil"/>
              <w:bottom w:val="nil"/>
              <w:right w:val="nil"/>
            </w:tcBorders>
            <w:shd w:val="clear" w:color="000000" w:fill="FFFFFF"/>
            <w:noWrap/>
            <w:vAlign w:val="center"/>
            <w:hideMark/>
          </w:tcPr>
          <w:p w14:paraId="2E75F5C0" w14:textId="77777777" w:rsidR="007B66F5" w:rsidRPr="00C95D7C" w:rsidRDefault="007B66F5" w:rsidP="00746D27">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Other (</w:t>
            </w:r>
            <w:proofErr w:type="spellStart"/>
            <w:r w:rsidRPr="00C95D7C">
              <w:rPr>
                <w:rFonts w:ascii="Arial" w:hAnsi="Arial" w:cs="Arial"/>
                <w:color w:val="auto"/>
                <w:sz w:val="16"/>
                <w:szCs w:val="16"/>
              </w:rPr>
              <w:t>i</w:t>
            </w:r>
            <w:proofErr w:type="spellEnd"/>
            <w:r w:rsidRPr="00C95D7C">
              <w:rPr>
                <w:rFonts w:ascii="Arial" w:hAnsi="Arial" w:cs="Arial"/>
                <w:color w:val="auto"/>
                <w:sz w:val="16"/>
                <w:szCs w:val="16"/>
              </w:rPr>
              <w:t>)</w:t>
            </w:r>
          </w:p>
        </w:tc>
        <w:tc>
          <w:tcPr>
            <w:tcW w:w="439" w:type="pct"/>
            <w:tcBorders>
              <w:top w:val="nil"/>
              <w:left w:val="nil"/>
              <w:bottom w:val="nil"/>
              <w:right w:val="nil"/>
            </w:tcBorders>
            <w:shd w:val="clear" w:color="000000" w:fill="FFFFFF"/>
            <w:vAlign w:val="center"/>
            <w:hideMark/>
          </w:tcPr>
          <w:p w14:paraId="7E619007" w14:textId="02269C87"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11</w:t>
            </w:r>
          </w:p>
        </w:tc>
        <w:tc>
          <w:tcPr>
            <w:tcW w:w="439" w:type="pct"/>
            <w:tcBorders>
              <w:top w:val="nil"/>
              <w:left w:val="nil"/>
              <w:bottom w:val="nil"/>
              <w:right w:val="nil"/>
            </w:tcBorders>
            <w:shd w:val="clear" w:color="000000" w:fill="FFFFFF"/>
            <w:vAlign w:val="center"/>
            <w:hideMark/>
          </w:tcPr>
          <w:p w14:paraId="7FDF5A9B" w14:textId="2D1ED055"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4.3</w:t>
            </w:r>
          </w:p>
        </w:tc>
        <w:tc>
          <w:tcPr>
            <w:tcW w:w="439" w:type="pct"/>
            <w:tcBorders>
              <w:top w:val="nil"/>
              <w:left w:val="nil"/>
              <w:bottom w:val="nil"/>
              <w:right w:val="nil"/>
            </w:tcBorders>
            <w:shd w:val="clear" w:color="000000" w:fill="FFFFFF"/>
            <w:noWrap/>
            <w:vAlign w:val="center"/>
            <w:hideMark/>
          </w:tcPr>
          <w:p w14:paraId="36A3F0DC" w14:textId="16896D2A"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20</w:t>
            </w:r>
          </w:p>
        </w:tc>
        <w:tc>
          <w:tcPr>
            <w:tcW w:w="439" w:type="pct"/>
            <w:tcBorders>
              <w:top w:val="nil"/>
              <w:left w:val="nil"/>
              <w:bottom w:val="nil"/>
              <w:right w:val="nil"/>
            </w:tcBorders>
            <w:shd w:val="clear" w:color="000000" w:fill="FFFFFF"/>
            <w:noWrap/>
            <w:vAlign w:val="center"/>
            <w:hideMark/>
          </w:tcPr>
          <w:p w14:paraId="4A5BE7D6" w14:textId="5680E344"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5.8</w:t>
            </w:r>
          </w:p>
        </w:tc>
        <w:tc>
          <w:tcPr>
            <w:tcW w:w="439" w:type="pct"/>
            <w:tcBorders>
              <w:top w:val="nil"/>
              <w:left w:val="nil"/>
              <w:bottom w:val="nil"/>
              <w:right w:val="nil"/>
            </w:tcBorders>
            <w:shd w:val="clear" w:color="000000" w:fill="FFFFFF"/>
            <w:noWrap/>
            <w:vAlign w:val="center"/>
            <w:hideMark/>
          </w:tcPr>
          <w:p w14:paraId="42D9D442" w14:textId="153C0E2E"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14</w:t>
            </w:r>
          </w:p>
        </w:tc>
        <w:tc>
          <w:tcPr>
            <w:tcW w:w="439" w:type="pct"/>
            <w:tcBorders>
              <w:top w:val="nil"/>
              <w:left w:val="nil"/>
              <w:bottom w:val="nil"/>
              <w:right w:val="nil"/>
            </w:tcBorders>
            <w:shd w:val="clear" w:color="000000" w:fill="FFFFFF"/>
            <w:noWrap/>
            <w:vAlign w:val="center"/>
            <w:hideMark/>
          </w:tcPr>
          <w:p w14:paraId="39B0C7D0" w14:textId="7626407D"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2.7</w:t>
            </w:r>
          </w:p>
        </w:tc>
        <w:tc>
          <w:tcPr>
            <w:tcW w:w="439" w:type="pct"/>
            <w:tcBorders>
              <w:top w:val="nil"/>
              <w:left w:val="nil"/>
              <w:bottom w:val="nil"/>
              <w:right w:val="nil"/>
            </w:tcBorders>
            <w:shd w:val="clear" w:color="auto" w:fill="E1E8EB"/>
            <w:noWrap/>
            <w:vAlign w:val="center"/>
            <w:hideMark/>
          </w:tcPr>
          <w:p w14:paraId="4DEE3640" w14:textId="0961FCEE"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48</w:t>
            </w:r>
          </w:p>
        </w:tc>
        <w:tc>
          <w:tcPr>
            <w:tcW w:w="439" w:type="pct"/>
            <w:tcBorders>
              <w:top w:val="nil"/>
              <w:left w:val="nil"/>
              <w:bottom w:val="nil"/>
              <w:right w:val="nil"/>
            </w:tcBorders>
            <w:shd w:val="clear" w:color="auto" w:fill="E1E8EB"/>
            <w:noWrap/>
            <w:vAlign w:val="center"/>
            <w:hideMark/>
          </w:tcPr>
          <w:p w14:paraId="46A41E39" w14:textId="36058132" w:rsidR="007B66F5" w:rsidRPr="007637B8" w:rsidRDefault="008C0981" w:rsidP="00746D27">
            <w:pPr>
              <w:keepNext/>
              <w:keepLines/>
              <w:spacing w:after="0" w:line="240" w:lineRule="auto"/>
              <w:jc w:val="right"/>
              <w:rPr>
                <w:rFonts w:ascii="Arial" w:hAnsi="Arial" w:cs="Arial"/>
                <w:color w:val="auto"/>
                <w:sz w:val="16"/>
                <w:szCs w:val="16"/>
              </w:rPr>
            </w:pPr>
            <w:r w:rsidRPr="007637B8">
              <w:rPr>
                <w:rFonts w:ascii="Arial" w:hAnsi="Arial" w:cs="Arial"/>
                <w:color w:val="auto"/>
                <w:sz w:val="16"/>
                <w:szCs w:val="16"/>
              </w:rPr>
              <w:t>3.0</w:t>
            </w:r>
          </w:p>
        </w:tc>
      </w:tr>
      <w:tr w:rsidR="007B66F5" w:rsidRPr="00C95D7C" w14:paraId="037351F6" w14:textId="77777777" w:rsidTr="00405179">
        <w:trPr>
          <w:trHeight w:val="227"/>
        </w:trPr>
        <w:tc>
          <w:tcPr>
            <w:tcW w:w="1488" w:type="pct"/>
            <w:tcBorders>
              <w:top w:val="nil"/>
              <w:left w:val="nil"/>
              <w:bottom w:val="single" w:sz="4" w:space="0" w:color="auto"/>
              <w:right w:val="nil"/>
            </w:tcBorders>
            <w:shd w:val="clear" w:color="000000" w:fill="FFFFFF"/>
            <w:noWrap/>
            <w:vAlign w:val="center"/>
            <w:hideMark/>
          </w:tcPr>
          <w:p w14:paraId="2480EED9" w14:textId="77777777" w:rsidR="007B66F5" w:rsidRPr="00C95D7C" w:rsidRDefault="007B66F5" w:rsidP="00746D27">
            <w:pPr>
              <w:keepNext/>
              <w:keepLines/>
              <w:spacing w:after="0" w:line="240" w:lineRule="auto"/>
              <w:jc w:val="left"/>
              <w:rPr>
                <w:rFonts w:ascii="Arial" w:hAnsi="Arial" w:cs="Arial"/>
                <w:b/>
                <w:bCs/>
                <w:color w:val="auto"/>
                <w:sz w:val="16"/>
                <w:szCs w:val="16"/>
              </w:rPr>
            </w:pPr>
            <w:r w:rsidRPr="00C95D7C">
              <w:rPr>
                <w:rFonts w:ascii="Arial" w:hAnsi="Arial" w:cs="Arial"/>
                <w:b/>
                <w:bCs/>
                <w:color w:val="auto"/>
                <w:sz w:val="16"/>
                <w:szCs w:val="16"/>
              </w:rPr>
              <w:t>Total</w:t>
            </w:r>
          </w:p>
        </w:tc>
        <w:tc>
          <w:tcPr>
            <w:tcW w:w="439" w:type="pct"/>
            <w:tcBorders>
              <w:top w:val="single" w:sz="4" w:space="0" w:color="auto"/>
              <w:left w:val="nil"/>
              <w:bottom w:val="single" w:sz="4" w:space="0" w:color="auto"/>
              <w:right w:val="nil"/>
            </w:tcBorders>
            <w:shd w:val="clear" w:color="000000" w:fill="FFFFFF"/>
            <w:noWrap/>
            <w:vAlign w:val="center"/>
            <w:hideMark/>
          </w:tcPr>
          <w:p w14:paraId="0157C803" w14:textId="28D15A69" w:rsidR="007B66F5" w:rsidRPr="007637B8" w:rsidRDefault="008C0981" w:rsidP="00746D27">
            <w:pPr>
              <w:keepNext/>
              <w:keepLines/>
              <w:spacing w:after="0" w:line="240" w:lineRule="auto"/>
              <w:jc w:val="right"/>
              <w:rPr>
                <w:rFonts w:ascii="Arial" w:hAnsi="Arial" w:cs="Arial"/>
                <w:b/>
                <w:color w:val="auto"/>
                <w:sz w:val="16"/>
                <w:szCs w:val="16"/>
              </w:rPr>
            </w:pPr>
            <w:r w:rsidRPr="007637B8">
              <w:rPr>
                <w:rFonts w:ascii="Arial" w:hAnsi="Arial" w:cs="Arial"/>
                <w:b/>
                <w:color w:val="auto"/>
                <w:sz w:val="16"/>
                <w:szCs w:val="16"/>
              </w:rPr>
              <w:t>185</w:t>
            </w:r>
          </w:p>
        </w:tc>
        <w:tc>
          <w:tcPr>
            <w:tcW w:w="439" w:type="pct"/>
            <w:tcBorders>
              <w:top w:val="single" w:sz="4" w:space="0" w:color="auto"/>
              <w:left w:val="nil"/>
              <w:bottom w:val="single" w:sz="4" w:space="0" w:color="auto"/>
              <w:right w:val="nil"/>
            </w:tcBorders>
            <w:shd w:val="clear" w:color="000000" w:fill="FFFFFF"/>
            <w:noWrap/>
            <w:vAlign w:val="center"/>
            <w:hideMark/>
          </w:tcPr>
          <w:p w14:paraId="1FA0D204" w14:textId="43D7749A" w:rsidR="007B66F5" w:rsidRPr="007637B8" w:rsidRDefault="008C0981" w:rsidP="00746D27">
            <w:pPr>
              <w:keepNext/>
              <w:keepLines/>
              <w:spacing w:after="0" w:line="240" w:lineRule="auto"/>
              <w:jc w:val="right"/>
              <w:rPr>
                <w:rFonts w:ascii="Arial" w:hAnsi="Arial" w:cs="Arial"/>
                <w:b/>
                <w:color w:val="auto"/>
                <w:sz w:val="16"/>
                <w:szCs w:val="16"/>
              </w:rPr>
            </w:pPr>
            <w:r w:rsidRPr="007637B8">
              <w:rPr>
                <w:rFonts w:ascii="Arial" w:hAnsi="Arial" w:cs="Arial"/>
                <w:b/>
                <w:color w:val="auto"/>
                <w:sz w:val="16"/>
                <w:szCs w:val="16"/>
              </w:rPr>
              <w:t>63.2</w:t>
            </w:r>
          </w:p>
        </w:tc>
        <w:tc>
          <w:tcPr>
            <w:tcW w:w="439" w:type="pct"/>
            <w:tcBorders>
              <w:top w:val="single" w:sz="4" w:space="0" w:color="auto"/>
              <w:left w:val="nil"/>
              <w:bottom w:val="single" w:sz="4" w:space="0" w:color="auto"/>
              <w:right w:val="nil"/>
            </w:tcBorders>
            <w:shd w:val="clear" w:color="000000" w:fill="FFFFFF"/>
            <w:noWrap/>
            <w:vAlign w:val="center"/>
            <w:hideMark/>
          </w:tcPr>
          <w:p w14:paraId="77A59C66" w14:textId="7D40D543" w:rsidR="007B66F5" w:rsidRPr="007637B8" w:rsidRDefault="008C0981" w:rsidP="00746D27">
            <w:pPr>
              <w:keepNext/>
              <w:keepLines/>
              <w:spacing w:after="0" w:line="240" w:lineRule="auto"/>
              <w:jc w:val="right"/>
              <w:rPr>
                <w:rFonts w:ascii="Arial" w:hAnsi="Arial" w:cs="Arial"/>
                <w:b/>
                <w:color w:val="auto"/>
                <w:sz w:val="16"/>
                <w:szCs w:val="16"/>
              </w:rPr>
            </w:pPr>
            <w:r w:rsidRPr="007637B8">
              <w:rPr>
                <w:rFonts w:ascii="Arial" w:hAnsi="Arial" w:cs="Arial"/>
                <w:b/>
                <w:color w:val="auto"/>
                <w:sz w:val="16"/>
                <w:szCs w:val="16"/>
              </w:rPr>
              <w:t>245</w:t>
            </w:r>
          </w:p>
        </w:tc>
        <w:tc>
          <w:tcPr>
            <w:tcW w:w="439" w:type="pct"/>
            <w:tcBorders>
              <w:top w:val="single" w:sz="4" w:space="0" w:color="auto"/>
              <w:left w:val="nil"/>
              <w:bottom w:val="single" w:sz="4" w:space="0" w:color="auto"/>
              <w:right w:val="nil"/>
            </w:tcBorders>
            <w:shd w:val="clear" w:color="000000" w:fill="FFFFFF"/>
            <w:noWrap/>
            <w:vAlign w:val="center"/>
            <w:hideMark/>
          </w:tcPr>
          <w:p w14:paraId="276DDC32" w14:textId="7ACB5F72" w:rsidR="007B66F5" w:rsidRPr="007637B8" w:rsidRDefault="008C0981" w:rsidP="00746D27">
            <w:pPr>
              <w:keepNext/>
              <w:keepLines/>
              <w:spacing w:after="0" w:line="240" w:lineRule="auto"/>
              <w:jc w:val="right"/>
              <w:rPr>
                <w:rFonts w:ascii="Arial" w:hAnsi="Arial" w:cs="Arial"/>
                <w:b/>
                <w:color w:val="auto"/>
                <w:sz w:val="16"/>
                <w:szCs w:val="16"/>
              </w:rPr>
            </w:pPr>
            <w:r w:rsidRPr="007637B8">
              <w:rPr>
                <w:rFonts w:ascii="Arial" w:hAnsi="Arial" w:cs="Arial"/>
                <w:b/>
                <w:color w:val="auto"/>
                <w:sz w:val="16"/>
                <w:szCs w:val="16"/>
              </w:rPr>
              <w:t>76.0</w:t>
            </w:r>
          </w:p>
        </w:tc>
        <w:tc>
          <w:tcPr>
            <w:tcW w:w="439" w:type="pct"/>
            <w:tcBorders>
              <w:top w:val="single" w:sz="4" w:space="0" w:color="auto"/>
              <w:left w:val="nil"/>
              <w:bottom w:val="single" w:sz="4" w:space="0" w:color="auto"/>
              <w:right w:val="nil"/>
            </w:tcBorders>
            <w:shd w:val="clear" w:color="000000" w:fill="FFFFFF"/>
            <w:noWrap/>
            <w:vAlign w:val="center"/>
            <w:hideMark/>
          </w:tcPr>
          <w:p w14:paraId="3CA53205" w14:textId="0AE1B58D" w:rsidR="007B66F5" w:rsidRPr="007637B8" w:rsidRDefault="008C0981" w:rsidP="00746D27">
            <w:pPr>
              <w:keepNext/>
              <w:keepLines/>
              <w:spacing w:after="0" w:line="240" w:lineRule="auto"/>
              <w:jc w:val="right"/>
              <w:rPr>
                <w:rFonts w:ascii="Arial" w:hAnsi="Arial" w:cs="Arial"/>
                <w:b/>
                <w:color w:val="auto"/>
                <w:sz w:val="16"/>
                <w:szCs w:val="16"/>
              </w:rPr>
            </w:pPr>
            <w:r w:rsidRPr="007637B8">
              <w:rPr>
                <w:rFonts w:ascii="Arial" w:hAnsi="Arial" w:cs="Arial"/>
                <w:b/>
                <w:color w:val="auto"/>
                <w:sz w:val="16"/>
                <w:szCs w:val="16"/>
              </w:rPr>
              <w:t>296</w:t>
            </w:r>
          </w:p>
        </w:tc>
        <w:tc>
          <w:tcPr>
            <w:tcW w:w="439" w:type="pct"/>
            <w:tcBorders>
              <w:top w:val="single" w:sz="4" w:space="0" w:color="auto"/>
              <w:left w:val="nil"/>
              <w:bottom w:val="single" w:sz="4" w:space="0" w:color="auto"/>
              <w:right w:val="nil"/>
            </w:tcBorders>
            <w:shd w:val="clear" w:color="000000" w:fill="FFFFFF"/>
            <w:noWrap/>
            <w:vAlign w:val="center"/>
            <w:hideMark/>
          </w:tcPr>
          <w:p w14:paraId="287CCB13" w14:textId="4E402067" w:rsidR="007B66F5" w:rsidRPr="007637B8" w:rsidRDefault="008C0981" w:rsidP="00746D27">
            <w:pPr>
              <w:keepNext/>
              <w:keepLines/>
              <w:spacing w:after="0" w:line="240" w:lineRule="auto"/>
              <w:jc w:val="right"/>
              <w:rPr>
                <w:rFonts w:ascii="Arial" w:hAnsi="Arial" w:cs="Arial"/>
                <w:b/>
                <w:color w:val="auto"/>
                <w:sz w:val="16"/>
                <w:szCs w:val="16"/>
              </w:rPr>
            </w:pPr>
            <w:r w:rsidRPr="007637B8">
              <w:rPr>
                <w:rFonts w:ascii="Arial" w:hAnsi="Arial" w:cs="Arial"/>
                <w:b/>
                <w:color w:val="auto"/>
                <w:sz w:val="16"/>
                <w:szCs w:val="16"/>
              </w:rPr>
              <w:t>73.6</w:t>
            </w:r>
          </w:p>
        </w:tc>
        <w:tc>
          <w:tcPr>
            <w:tcW w:w="439" w:type="pct"/>
            <w:tcBorders>
              <w:top w:val="single" w:sz="4" w:space="0" w:color="auto"/>
              <w:left w:val="nil"/>
              <w:bottom w:val="single" w:sz="4" w:space="0" w:color="auto"/>
              <w:right w:val="nil"/>
            </w:tcBorders>
            <w:shd w:val="clear" w:color="auto" w:fill="E1E8EB"/>
            <w:noWrap/>
            <w:vAlign w:val="center"/>
            <w:hideMark/>
          </w:tcPr>
          <w:p w14:paraId="568768E6" w14:textId="137A503C" w:rsidR="007B66F5" w:rsidRPr="007637B8" w:rsidRDefault="008C0981" w:rsidP="00746D27">
            <w:pPr>
              <w:keepNext/>
              <w:keepLines/>
              <w:spacing w:after="0" w:line="240" w:lineRule="auto"/>
              <w:jc w:val="right"/>
              <w:rPr>
                <w:rFonts w:ascii="Arial" w:hAnsi="Arial" w:cs="Arial"/>
                <w:b/>
                <w:color w:val="auto"/>
                <w:sz w:val="16"/>
                <w:szCs w:val="16"/>
              </w:rPr>
            </w:pPr>
            <w:r w:rsidRPr="007637B8">
              <w:rPr>
                <w:rFonts w:ascii="Arial" w:hAnsi="Arial" w:cs="Arial"/>
                <w:b/>
                <w:color w:val="auto"/>
                <w:sz w:val="16"/>
                <w:szCs w:val="16"/>
              </w:rPr>
              <w:t>744</w:t>
            </w:r>
          </w:p>
        </w:tc>
        <w:tc>
          <w:tcPr>
            <w:tcW w:w="439" w:type="pct"/>
            <w:tcBorders>
              <w:top w:val="single" w:sz="4" w:space="0" w:color="auto"/>
              <w:left w:val="nil"/>
              <w:bottom w:val="single" w:sz="4" w:space="0" w:color="auto"/>
              <w:right w:val="nil"/>
            </w:tcBorders>
            <w:shd w:val="clear" w:color="auto" w:fill="E1E8EB"/>
            <w:noWrap/>
            <w:vAlign w:val="center"/>
            <w:hideMark/>
          </w:tcPr>
          <w:p w14:paraId="23D026F5" w14:textId="7829989F" w:rsidR="007B66F5" w:rsidRPr="007637B8" w:rsidRDefault="008C0981" w:rsidP="00746D27">
            <w:pPr>
              <w:keepNext/>
              <w:keepLines/>
              <w:spacing w:after="0" w:line="240" w:lineRule="auto"/>
              <w:jc w:val="right"/>
              <w:rPr>
                <w:rFonts w:ascii="Arial" w:hAnsi="Arial" w:cs="Arial"/>
                <w:b/>
                <w:color w:val="auto"/>
                <w:sz w:val="16"/>
                <w:szCs w:val="16"/>
              </w:rPr>
            </w:pPr>
            <w:r w:rsidRPr="007637B8">
              <w:rPr>
                <w:rFonts w:ascii="Arial" w:hAnsi="Arial" w:cs="Arial"/>
                <w:b/>
                <w:color w:val="auto"/>
                <w:sz w:val="16"/>
                <w:szCs w:val="16"/>
              </w:rPr>
              <w:t>76.9</w:t>
            </w:r>
          </w:p>
        </w:tc>
      </w:tr>
    </w:tbl>
    <w:p w14:paraId="4BD89289" w14:textId="7C4D75E4" w:rsidR="007B66F5" w:rsidRDefault="007B66F5" w:rsidP="007B66F5">
      <w:pPr>
        <w:pStyle w:val="ChartandTableFootnoteAlpha"/>
        <w:numPr>
          <w:ilvl w:val="0"/>
          <w:numId w:val="0"/>
        </w:numPr>
      </w:pPr>
      <w:r w:rsidRPr="00BF48CD">
        <w:t xml:space="preserve">Before republishing this data or comparing between years, thoroughly review the methodological and data caveats in Appendix </w:t>
      </w:r>
      <w:r w:rsidRPr="007637B8">
        <w:t>B.</w:t>
      </w:r>
      <w:r w:rsidRPr="00BF48CD">
        <w:t xml:space="preserve"> </w:t>
      </w:r>
    </w:p>
    <w:p w14:paraId="1C485747" w14:textId="77777777" w:rsidR="007B66F5" w:rsidRPr="005F1ACD" w:rsidRDefault="007B66F5" w:rsidP="007B66F5">
      <w:pPr>
        <w:pStyle w:val="ChartandTableFootnoteAlpha"/>
        <w:numPr>
          <w:ilvl w:val="0"/>
          <w:numId w:val="14"/>
        </w:numPr>
      </w:pPr>
      <w:r w:rsidRPr="005F1ACD">
        <w:t>Comprises: accommodation; food and beverage services.</w:t>
      </w:r>
    </w:p>
    <w:p w14:paraId="1E48F305" w14:textId="77777777" w:rsidR="007B66F5" w:rsidRPr="005F1ACD" w:rsidRDefault="007B66F5" w:rsidP="007B66F5">
      <w:pPr>
        <w:pStyle w:val="ChartandTableFootnoteAlpha"/>
      </w:pPr>
      <w:r w:rsidRPr="005F1ACD">
        <w:t>Comprises: heritage activities; creative and performing arts; sports and recreation and gambling.</w:t>
      </w:r>
    </w:p>
    <w:p w14:paraId="6F9FD171" w14:textId="77777777" w:rsidR="007B66F5" w:rsidRPr="005F1ACD" w:rsidRDefault="007B66F5" w:rsidP="007B66F5">
      <w:pPr>
        <w:pStyle w:val="ChartandTableFootnoteAlpha"/>
      </w:pPr>
      <w:r w:rsidRPr="005F1ACD">
        <w:t>Comprises: publishing (including internet); motion picture and sound recording activities; broadcasting (including internet); and telecommunication services (including internet).</w:t>
      </w:r>
    </w:p>
    <w:p w14:paraId="6132D8F4" w14:textId="77777777" w:rsidR="007B66F5" w:rsidRPr="005F1ACD" w:rsidRDefault="007B66F5" w:rsidP="007B66F5">
      <w:pPr>
        <w:pStyle w:val="ChartandTableFootnoteAlpha"/>
      </w:pPr>
      <w:r w:rsidRPr="005F1ACD">
        <w:t>Comprises: building construction; heavy and civil engineering construction and services to construction.</w:t>
      </w:r>
    </w:p>
    <w:p w14:paraId="76BA010C" w14:textId="77777777" w:rsidR="007B66F5" w:rsidRPr="005F1ACD" w:rsidRDefault="007B66F5" w:rsidP="007B66F5">
      <w:pPr>
        <w:pStyle w:val="ChartandTableFootnoteAlpha"/>
      </w:pPr>
      <w:r w:rsidRPr="005F1ACD">
        <w:t>Comprises: hospitals; medical and other health care services; residential and social assistance services.</w:t>
      </w:r>
    </w:p>
    <w:p w14:paraId="58C72597" w14:textId="77777777" w:rsidR="007B66F5" w:rsidRPr="005F1ACD" w:rsidRDefault="007B66F5" w:rsidP="007B66F5">
      <w:pPr>
        <w:pStyle w:val="ChartandTableFootnoteAlpha"/>
      </w:pPr>
      <w:r w:rsidRPr="005F1ACD">
        <w:t>Comprises: property and real estate operators; professional, scientific and technical services; computer system design services; and administrative services.</w:t>
      </w:r>
    </w:p>
    <w:p w14:paraId="6AF9F1FC" w14:textId="21344580" w:rsidR="007B66F5" w:rsidRPr="005F1ACD" w:rsidRDefault="007B66F5" w:rsidP="007B66F5">
      <w:pPr>
        <w:pStyle w:val="ChartandTableFootnoteAlpha"/>
      </w:pPr>
      <w:r w:rsidRPr="005F1ACD">
        <w:t>Comprises: wholesaling of basic material, machinery and equipment, grocery, liquor and tobacco products; motor vehicle and motor vehicle parts retailing; retailing of fuel, food and other store based retailing; and non</w:t>
      </w:r>
      <w:r w:rsidR="003E7C79">
        <w:t>–</w:t>
      </w:r>
      <w:r w:rsidRPr="005F1ACD">
        <w:t>store retailing and retail commission</w:t>
      </w:r>
      <w:r w:rsidR="003E7C79">
        <w:t>–</w:t>
      </w:r>
      <w:r w:rsidRPr="005F1ACD">
        <w:t>based buying and/or selling.</w:t>
      </w:r>
    </w:p>
    <w:p w14:paraId="11C5527A" w14:textId="77777777" w:rsidR="007B66F5" w:rsidRPr="005F1ACD" w:rsidRDefault="007B66F5" w:rsidP="007B66F5">
      <w:pPr>
        <w:pStyle w:val="ChartandTableFootnoteAlpha"/>
      </w:pPr>
      <w:r w:rsidRPr="005F1ACD">
        <w:t>Comprises: road, rail, water, air and space, postal and courier (pickup and delivery), warehousing and storage; and transport support services.</w:t>
      </w:r>
    </w:p>
    <w:p w14:paraId="59F9C499" w14:textId="77777777" w:rsidR="007B66F5" w:rsidRPr="005F1ACD" w:rsidRDefault="007B66F5" w:rsidP="007B66F5">
      <w:pPr>
        <w:pStyle w:val="ChartandTableFootnoteAlpha"/>
      </w:pPr>
      <w:r w:rsidRPr="005F1ACD">
        <w:t>Comprises: repair and maintenance; public administration; defence; education related services; and personal and other services.</w:t>
      </w:r>
    </w:p>
    <w:p w14:paraId="5DF7F6D9" w14:textId="77777777" w:rsidR="007B66F5" w:rsidRPr="00820C89" w:rsidRDefault="007B66F5" w:rsidP="00655CC7">
      <w:pPr>
        <w:pStyle w:val="Heading3noTOC"/>
      </w:pPr>
      <w:bookmarkStart w:id="131" w:name="_Toc80368787"/>
      <w:bookmarkStart w:id="132" w:name="_Toc87014321"/>
      <w:r w:rsidRPr="00820C89">
        <w:t>Commercial real estate</w:t>
      </w:r>
      <w:bookmarkEnd w:id="131"/>
      <w:bookmarkEnd w:id="132"/>
    </w:p>
    <w:p w14:paraId="0CC5D7CC" w14:textId="3DEB21A6" w:rsidR="007B66F5" w:rsidRDefault="007B66F5" w:rsidP="007B66F5">
      <w:r>
        <w:t xml:space="preserve">In </w:t>
      </w:r>
      <w:r w:rsidR="00D76ED2">
        <w:t>2020</w:t>
      </w:r>
      <w:r w:rsidR="00D76ED2">
        <w:noBreakHyphen/>
        <w:t>21</w:t>
      </w:r>
      <w:r>
        <w:t>, there was a</w:t>
      </w:r>
      <w:r w:rsidR="00FA05B5">
        <w:t>n increase</w:t>
      </w:r>
      <w:r>
        <w:t xml:space="preserve"> in both the number and value of approvals in commercial real estate. There were </w:t>
      </w:r>
      <w:r w:rsidR="00FA05B5" w:rsidRPr="000674EC">
        <w:t>862</w:t>
      </w:r>
      <w:r>
        <w:t> </w:t>
      </w:r>
      <w:r w:rsidR="00440FE6">
        <w:t>proposals worth</w:t>
      </w:r>
      <w:r>
        <w:t xml:space="preserve"> </w:t>
      </w:r>
      <w:r w:rsidRPr="000674EC">
        <w:t>$</w:t>
      </w:r>
      <w:r w:rsidR="00FA05B5" w:rsidRPr="000674EC">
        <w:t>82.0</w:t>
      </w:r>
      <w:r w:rsidRPr="000674EC">
        <w:t xml:space="preserve"> billion </w:t>
      </w:r>
      <w:r w:rsidR="00440FE6">
        <w:t xml:space="preserve">approved </w:t>
      </w:r>
      <w:r>
        <w:t xml:space="preserve">compared to </w:t>
      </w:r>
      <w:r w:rsidR="00D76ED2">
        <w:t>2019</w:t>
      </w:r>
      <w:r w:rsidR="00D76ED2">
        <w:noBreakHyphen/>
        <w:t>20</w:t>
      </w:r>
      <w:r w:rsidRPr="000674EC">
        <w:t xml:space="preserve"> </w:t>
      </w:r>
      <w:r>
        <w:t xml:space="preserve">where </w:t>
      </w:r>
      <w:r w:rsidR="00FA05B5">
        <w:t>440</w:t>
      </w:r>
      <w:r>
        <w:t xml:space="preserve"> approvals </w:t>
      </w:r>
      <w:r w:rsidR="00196729">
        <w:t xml:space="preserve">worth </w:t>
      </w:r>
      <w:r w:rsidRPr="000674EC">
        <w:t>$</w:t>
      </w:r>
      <w:r w:rsidR="00FA05B5" w:rsidRPr="000674EC">
        <w:t>38.8</w:t>
      </w:r>
      <w:r w:rsidRPr="000674EC">
        <w:t> billion</w:t>
      </w:r>
      <w:r w:rsidR="00196729">
        <w:t xml:space="preserve"> were approved</w:t>
      </w:r>
      <w:r>
        <w:t xml:space="preserve">. </w:t>
      </w:r>
    </w:p>
    <w:p w14:paraId="1CF47558" w14:textId="27F8487C" w:rsidR="007B66F5" w:rsidRDefault="007B66F5" w:rsidP="007B66F5">
      <w:r>
        <w:t xml:space="preserve">The number of approvals in developed commercial real estate </w:t>
      </w:r>
      <w:r w:rsidRPr="000674EC">
        <w:t>increased</w:t>
      </w:r>
      <w:r>
        <w:t xml:space="preserve"> </w:t>
      </w:r>
      <w:r w:rsidR="00440FE6">
        <w:t xml:space="preserve">significantly </w:t>
      </w:r>
      <w:r>
        <w:t>(</w:t>
      </w:r>
      <w:r w:rsidR="00440FE6">
        <w:t>247</w:t>
      </w:r>
      <w:r>
        <w:t xml:space="preserve"> in </w:t>
      </w:r>
      <w:r w:rsidR="00D76ED2">
        <w:t>2019</w:t>
      </w:r>
      <w:r w:rsidR="00D76ED2">
        <w:noBreakHyphen/>
        <w:t>20</w:t>
      </w:r>
      <w:r w:rsidRPr="000674EC">
        <w:t xml:space="preserve"> </w:t>
      </w:r>
      <w:r>
        <w:t xml:space="preserve">to </w:t>
      </w:r>
      <w:r w:rsidR="00440FE6">
        <w:t>657</w:t>
      </w:r>
      <w:r>
        <w:t xml:space="preserve"> in </w:t>
      </w:r>
      <w:r w:rsidR="00D76ED2">
        <w:t>2020</w:t>
      </w:r>
      <w:r w:rsidR="00D76ED2">
        <w:noBreakHyphen/>
        <w:t>21</w:t>
      </w:r>
      <w:r>
        <w:t xml:space="preserve">) </w:t>
      </w:r>
      <w:r w:rsidR="00B40B8F" w:rsidRPr="000674EC">
        <w:t>and</w:t>
      </w:r>
      <w:r>
        <w:t xml:space="preserve"> the total value </w:t>
      </w:r>
      <w:r w:rsidR="005C01F4">
        <w:t xml:space="preserve">of approvals </w:t>
      </w:r>
      <w:r w:rsidR="00B40B8F" w:rsidRPr="000674EC">
        <w:t>increased</w:t>
      </w:r>
      <w:r w:rsidR="003E79B6" w:rsidRPr="000674EC">
        <w:t xml:space="preserve"> by $4</w:t>
      </w:r>
      <w:r w:rsidR="005C01F4">
        <w:t>2</w:t>
      </w:r>
      <w:r w:rsidR="003E79B6" w:rsidRPr="000674EC">
        <w:t>.2</w:t>
      </w:r>
      <w:r w:rsidR="00A44160">
        <w:t> </w:t>
      </w:r>
      <w:r w:rsidR="003E79B6" w:rsidRPr="000674EC">
        <w:t>billion</w:t>
      </w:r>
      <w:r w:rsidRPr="000674EC">
        <w:t xml:space="preserve"> (</w:t>
      </w:r>
      <w:r w:rsidR="003C063E">
        <w:t xml:space="preserve">from </w:t>
      </w:r>
      <w:r w:rsidRPr="000674EC">
        <w:t>$</w:t>
      </w:r>
      <w:r w:rsidRPr="000674EC" w:rsidDel="005C01F4">
        <w:t>28.2</w:t>
      </w:r>
      <w:r w:rsidRPr="000674EC">
        <w:t xml:space="preserve"> billion </w:t>
      </w:r>
      <w:r>
        <w:t xml:space="preserve">in </w:t>
      </w:r>
      <w:r w:rsidR="00D76ED2">
        <w:t>2019</w:t>
      </w:r>
      <w:r w:rsidR="00D76ED2">
        <w:noBreakHyphen/>
        <w:t>20</w:t>
      </w:r>
      <w:r w:rsidRPr="000674EC">
        <w:t xml:space="preserve"> </w:t>
      </w:r>
      <w:r>
        <w:t xml:space="preserve">to </w:t>
      </w:r>
      <w:r w:rsidRPr="000674EC">
        <w:t>$</w:t>
      </w:r>
      <w:r w:rsidR="005C01F4">
        <w:t>70.4</w:t>
      </w:r>
      <w:r w:rsidRPr="000674EC">
        <w:t xml:space="preserve"> billion </w:t>
      </w:r>
      <w:r>
        <w:t xml:space="preserve">in </w:t>
      </w:r>
      <w:r w:rsidR="00D76ED2">
        <w:t>2020</w:t>
      </w:r>
      <w:r w:rsidR="00D76ED2">
        <w:noBreakHyphen/>
        <w:t>21</w:t>
      </w:r>
      <w:r>
        <w:t xml:space="preserve">). </w:t>
      </w:r>
    </w:p>
    <w:p w14:paraId="03940519" w14:textId="362337C1" w:rsidR="00A63906" w:rsidRPr="00A63906" w:rsidRDefault="001953A4" w:rsidP="009955B8">
      <w:r>
        <w:lastRenderedPageBreak/>
        <w:t>The majority of</w:t>
      </w:r>
      <w:r w:rsidR="005C01F4">
        <w:t xml:space="preserve"> </w:t>
      </w:r>
      <w:r w:rsidR="00397DD4">
        <w:t xml:space="preserve">approvals </w:t>
      </w:r>
      <w:r>
        <w:t xml:space="preserve">by number and </w:t>
      </w:r>
      <w:r w:rsidR="00397DD4">
        <w:t xml:space="preserve">value of investment </w:t>
      </w:r>
      <w:r w:rsidR="005C01F4">
        <w:t>in commercial real estate</w:t>
      </w:r>
      <w:r w:rsidR="00397DD4">
        <w:t xml:space="preserve"> (both developed and for development)</w:t>
      </w:r>
      <w:r w:rsidR="005C01F4">
        <w:t xml:space="preserve"> </w:t>
      </w:r>
      <w:r>
        <w:t>w</w:t>
      </w:r>
      <w:r w:rsidR="00C96A16">
        <w:t>ere</w:t>
      </w:r>
      <w:r>
        <w:t xml:space="preserve"> received by New</w:t>
      </w:r>
      <w:r w:rsidR="00A44160">
        <w:t> </w:t>
      </w:r>
      <w:r>
        <w:t>South</w:t>
      </w:r>
      <w:r w:rsidR="00A44160">
        <w:t> </w:t>
      </w:r>
      <w:r>
        <w:t>Wales and Victoria</w:t>
      </w:r>
      <w:r w:rsidR="005C01F4">
        <w:t>. New</w:t>
      </w:r>
      <w:r w:rsidR="00A44160">
        <w:t> </w:t>
      </w:r>
      <w:r w:rsidR="005C01F4">
        <w:t>South</w:t>
      </w:r>
      <w:r w:rsidR="00A44160">
        <w:t> </w:t>
      </w:r>
      <w:r w:rsidR="005C01F4">
        <w:t xml:space="preserve">Wales </w:t>
      </w:r>
      <w:r>
        <w:t>received 28</w:t>
      </w:r>
      <w:r w:rsidR="00C96A16">
        <w:t>.0</w:t>
      </w:r>
      <w:r w:rsidR="00A44160">
        <w:t> </w:t>
      </w:r>
      <w:r>
        <w:t>per</w:t>
      </w:r>
      <w:r w:rsidR="00A44160">
        <w:t> </w:t>
      </w:r>
      <w:r>
        <w:t>cent of total approvals worth $18.7</w:t>
      </w:r>
      <w:r w:rsidR="00A44160">
        <w:t> </w:t>
      </w:r>
      <w:r>
        <w:t>billion</w:t>
      </w:r>
      <w:r w:rsidR="00397DD4">
        <w:t xml:space="preserve">. </w:t>
      </w:r>
      <w:r>
        <w:t xml:space="preserve">Victoria </w:t>
      </w:r>
      <w:r w:rsidR="00397DD4">
        <w:t>received 24.7</w:t>
      </w:r>
      <w:r w:rsidR="00A44160">
        <w:t> </w:t>
      </w:r>
      <w:r w:rsidR="00397DD4">
        <w:t>per</w:t>
      </w:r>
      <w:r w:rsidR="00A44160">
        <w:t> </w:t>
      </w:r>
      <w:r w:rsidR="00397DD4">
        <w:t>cent of approvals worth $8.2</w:t>
      </w:r>
      <w:r w:rsidR="00A44160">
        <w:t> </w:t>
      </w:r>
      <w:r w:rsidR="00397DD4">
        <w:t>billion (see</w:t>
      </w:r>
      <w:r w:rsidR="00A44160">
        <w:t> </w:t>
      </w:r>
      <w:r w:rsidR="00397DD4">
        <w:t>Table</w:t>
      </w:r>
      <w:r w:rsidR="00C64693">
        <w:t> </w:t>
      </w:r>
      <w:r w:rsidR="00397DD4">
        <w:t xml:space="preserve">3.12). </w:t>
      </w:r>
    </w:p>
    <w:p w14:paraId="478AEDE6" w14:textId="08EFD01A" w:rsidR="00F07785" w:rsidRPr="009955B8" w:rsidRDefault="00F07785" w:rsidP="009955B8">
      <w:pPr>
        <w:pStyle w:val="TableMainHeading"/>
      </w:pPr>
      <w:bookmarkStart w:id="133" w:name="_Toc89939945"/>
      <w:r w:rsidRPr="009955B8">
        <w:t xml:space="preserve">Table </w:t>
      </w:r>
      <w:fldSimple w:instr=" STYLEREF 1 \s ">
        <w:r w:rsidR="0019342F">
          <w:rPr>
            <w:noProof/>
          </w:rPr>
          <w:t>3</w:t>
        </w:r>
      </w:fldSimple>
      <w:r w:rsidR="009812FE" w:rsidRPr="009955B8">
        <w:t>.</w:t>
      </w:r>
      <w:fldSimple w:instr=" SEQ Table \* ARABIC \s 1 ">
        <w:r w:rsidR="0019342F">
          <w:rPr>
            <w:noProof/>
          </w:rPr>
          <w:t>11</w:t>
        </w:r>
      </w:fldSimple>
      <w:r w:rsidRPr="009955B8">
        <w:t xml:space="preserve">: Commercial real estate approvals, by type from </w:t>
      </w:r>
      <w:r w:rsidR="00DC1928">
        <w:t>2017</w:t>
      </w:r>
      <w:r w:rsidR="00DC1928">
        <w:noBreakHyphen/>
        <w:t>18</w:t>
      </w:r>
      <w:r w:rsidRPr="009955B8">
        <w:t xml:space="preserve"> to </w:t>
      </w:r>
      <w:r w:rsidR="00D76ED2">
        <w:t>2020</w:t>
      </w:r>
      <w:r w:rsidR="00D76ED2">
        <w:noBreakHyphen/>
        <w:t>21</w:t>
      </w:r>
      <w:bookmarkEnd w:id="133"/>
    </w:p>
    <w:tbl>
      <w:tblPr>
        <w:tblW w:w="5000" w:type="pct"/>
        <w:tblLook w:val="04A0" w:firstRow="1" w:lastRow="0" w:firstColumn="1" w:lastColumn="0" w:noHBand="0" w:noVBand="1"/>
      </w:tblPr>
      <w:tblGrid>
        <w:gridCol w:w="2852"/>
        <w:gridCol w:w="582"/>
        <w:gridCol w:w="635"/>
        <w:gridCol w:w="581"/>
        <w:gridCol w:w="635"/>
        <w:gridCol w:w="581"/>
        <w:gridCol w:w="635"/>
        <w:gridCol w:w="581"/>
        <w:gridCol w:w="628"/>
      </w:tblGrid>
      <w:tr w:rsidR="00A63906" w:rsidRPr="006368C8" w14:paraId="46F0E4F2" w14:textId="77777777" w:rsidTr="009955B8">
        <w:trPr>
          <w:trHeight w:val="225"/>
        </w:trPr>
        <w:tc>
          <w:tcPr>
            <w:tcW w:w="1849" w:type="pct"/>
            <w:tcBorders>
              <w:top w:val="single" w:sz="4" w:space="0" w:color="auto"/>
              <w:left w:val="nil"/>
              <w:bottom w:val="nil"/>
              <w:right w:val="nil"/>
            </w:tcBorders>
            <w:shd w:val="clear" w:color="000000" w:fill="FFFFFF"/>
            <w:noWrap/>
            <w:vAlign w:val="center"/>
            <w:hideMark/>
          </w:tcPr>
          <w:p w14:paraId="609433E5" w14:textId="77777777" w:rsidR="00A63906" w:rsidRPr="006368C8" w:rsidRDefault="00A63906" w:rsidP="00746D27">
            <w:pPr>
              <w:spacing w:after="0" w:line="240" w:lineRule="auto"/>
              <w:jc w:val="left"/>
              <w:rPr>
                <w:rFonts w:ascii="Arial" w:hAnsi="Arial" w:cs="Arial"/>
                <w:sz w:val="16"/>
                <w:szCs w:val="16"/>
              </w:rPr>
            </w:pPr>
            <w:r w:rsidRPr="006368C8">
              <w:rPr>
                <w:rFonts w:ascii="Arial" w:hAnsi="Arial" w:cs="Arial"/>
                <w:sz w:val="16"/>
                <w:szCs w:val="16"/>
              </w:rPr>
              <w:t> </w:t>
            </w:r>
          </w:p>
        </w:tc>
        <w:tc>
          <w:tcPr>
            <w:tcW w:w="789" w:type="pct"/>
            <w:gridSpan w:val="2"/>
            <w:tcBorders>
              <w:top w:val="single" w:sz="4" w:space="0" w:color="auto"/>
              <w:left w:val="nil"/>
              <w:bottom w:val="single" w:sz="4" w:space="0" w:color="auto"/>
              <w:right w:val="nil"/>
            </w:tcBorders>
            <w:shd w:val="clear" w:color="000000" w:fill="FFFFFF"/>
            <w:noWrap/>
            <w:vAlign w:val="center"/>
            <w:hideMark/>
          </w:tcPr>
          <w:p w14:paraId="3097D1A7" w14:textId="0F823C6E" w:rsidR="00A63906" w:rsidRPr="0023512E" w:rsidRDefault="00DC1928" w:rsidP="00746D27">
            <w:pPr>
              <w:spacing w:after="0" w:line="240" w:lineRule="auto"/>
              <w:jc w:val="right"/>
              <w:rPr>
                <w:rFonts w:ascii="Arial" w:hAnsi="Arial" w:cs="Arial"/>
                <w:sz w:val="16"/>
                <w:szCs w:val="16"/>
              </w:rPr>
            </w:pPr>
            <w:r>
              <w:rPr>
                <w:rFonts w:ascii="Arial" w:hAnsi="Arial" w:cs="Arial"/>
                <w:sz w:val="16"/>
                <w:szCs w:val="16"/>
              </w:rPr>
              <w:t>2017</w:t>
            </w:r>
            <w:r>
              <w:rPr>
                <w:rFonts w:ascii="Arial" w:hAnsi="Arial" w:cs="Arial"/>
                <w:sz w:val="16"/>
                <w:szCs w:val="16"/>
              </w:rPr>
              <w:noBreakHyphen/>
              <w:t>18</w:t>
            </w:r>
          </w:p>
        </w:tc>
        <w:tc>
          <w:tcPr>
            <w:tcW w:w="789" w:type="pct"/>
            <w:gridSpan w:val="2"/>
            <w:tcBorders>
              <w:top w:val="single" w:sz="4" w:space="0" w:color="auto"/>
              <w:left w:val="nil"/>
              <w:bottom w:val="single" w:sz="4" w:space="0" w:color="auto"/>
              <w:right w:val="nil"/>
            </w:tcBorders>
            <w:shd w:val="clear" w:color="000000" w:fill="FFFFFF"/>
            <w:noWrap/>
            <w:vAlign w:val="center"/>
            <w:hideMark/>
          </w:tcPr>
          <w:p w14:paraId="4B52B801" w14:textId="04452007" w:rsidR="00A63906" w:rsidRPr="0023512E" w:rsidRDefault="00C17F09" w:rsidP="00746D27">
            <w:pPr>
              <w:spacing w:after="0" w:line="240" w:lineRule="auto"/>
              <w:jc w:val="right"/>
              <w:rPr>
                <w:rFonts w:ascii="Arial" w:hAnsi="Arial" w:cs="Arial"/>
                <w:color w:val="auto"/>
                <w:sz w:val="16"/>
                <w:szCs w:val="16"/>
              </w:rPr>
            </w:pPr>
            <w:r>
              <w:rPr>
                <w:rFonts w:ascii="Arial" w:hAnsi="Arial" w:cs="Arial"/>
                <w:color w:val="auto"/>
                <w:sz w:val="16"/>
                <w:szCs w:val="16"/>
              </w:rPr>
              <w:t>2018</w:t>
            </w:r>
            <w:r>
              <w:rPr>
                <w:rFonts w:ascii="Arial" w:hAnsi="Arial" w:cs="Arial"/>
                <w:color w:val="auto"/>
                <w:sz w:val="16"/>
                <w:szCs w:val="16"/>
              </w:rPr>
              <w:noBreakHyphen/>
              <w:t>19</w:t>
            </w:r>
          </w:p>
        </w:tc>
        <w:tc>
          <w:tcPr>
            <w:tcW w:w="789" w:type="pct"/>
            <w:gridSpan w:val="2"/>
            <w:tcBorders>
              <w:top w:val="single" w:sz="4" w:space="0" w:color="auto"/>
              <w:left w:val="nil"/>
              <w:bottom w:val="single" w:sz="4" w:space="0" w:color="auto"/>
              <w:right w:val="nil"/>
            </w:tcBorders>
            <w:shd w:val="clear" w:color="000000" w:fill="FFFFFF"/>
            <w:noWrap/>
            <w:vAlign w:val="center"/>
            <w:hideMark/>
          </w:tcPr>
          <w:p w14:paraId="3F69CB04" w14:textId="04BBEE86" w:rsidR="00A63906" w:rsidRPr="0023512E" w:rsidRDefault="00D76ED2" w:rsidP="00746D27">
            <w:pPr>
              <w:spacing w:after="0" w:line="240" w:lineRule="auto"/>
              <w:jc w:val="right"/>
              <w:rPr>
                <w:rFonts w:ascii="Arial" w:hAnsi="Arial" w:cs="Arial"/>
                <w:color w:val="auto"/>
                <w:sz w:val="16"/>
                <w:szCs w:val="16"/>
              </w:rPr>
            </w:pPr>
            <w:r>
              <w:rPr>
                <w:rFonts w:ascii="Arial" w:hAnsi="Arial" w:cs="Arial"/>
                <w:color w:val="auto"/>
                <w:sz w:val="16"/>
                <w:szCs w:val="16"/>
              </w:rPr>
              <w:t>2019</w:t>
            </w:r>
            <w:r>
              <w:rPr>
                <w:rFonts w:ascii="Arial" w:hAnsi="Arial" w:cs="Arial"/>
                <w:color w:val="auto"/>
                <w:sz w:val="16"/>
                <w:szCs w:val="16"/>
              </w:rPr>
              <w:noBreakHyphen/>
              <w:t>20</w:t>
            </w:r>
          </w:p>
        </w:tc>
        <w:tc>
          <w:tcPr>
            <w:tcW w:w="785" w:type="pct"/>
            <w:gridSpan w:val="2"/>
            <w:tcBorders>
              <w:top w:val="single" w:sz="4" w:space="0" w:color="auto"/>
              <w:left w:val="nil"/>
              <w:bottom w:val="single" w:sz="4" w:space="0" w:color="auto"/>
              <w:right w:val="nil"/>
            </w:tcBorders>
            <w:shd w:val="clear" w:color="auto" w:fill="E1E8EB"/>
            <w:noWrap/>
            <w:vAlign w:val="center"/>
            <w:hideMark/>
          </w:tcPr>
          <w:p w14:paraId="589E2B53" w14:textId="458AEA88" w:rsidR="00A63906" w:rsidRPr="0023512E" w:rsidRDefault="00D76ED2" w:rsidP="00746D27">
            <w:pPr>
              <w:spacing w:after="0" w:line="240" w:lineRule="auto"/>
              <w:jc w:val="right"/>
              <w:rPr>
                <w:rFonts w:ascii="Arial" w:hAnsi="Arial" w:cs="Arial"/>
                <w:color w:val="auto"/>
                <w:sz w:val="16"/>
                <w:szCs w:val="16"/>
              </w:rPr>
            </w:pPr>
            <w:r>
              <w:rPr>
                <w:rFonts w:ascii="Arial" w:hAnsi="Arial" w:cs="Arial"/>
                <w:color w:val="auto"/>
                <w:sz w:val="16"/>
                <w:szCs w:val="16"/>
              </w:rPr>
              <w:t>2020</w:t>
            </w:r>
            <w:r>
              <w:rPr>
                <w:rFonts w:ascii="Arial" w:hAnsi="Arial" w:cs="Arial"/>
                <w:color w:val="auto"/>
                <w:sz w:val="16"/>
                <w:szCs w:val="16"/>
              </w:rPr>
              <w:noBreakHyphen/>
              <w:t>21</w:t>
            </w:r>
          </w:p>
        </w:tc>
      </w:tr>
      <w:tr w:rsidR="00A63906" w:rsidRPr="006368C8" w14:paraId="7704360D" w14:textId="77777777" w:rsidTr="009955B8">
        <w:trPr>
          <w:trHeight w:val="225"/>
        </w:trPr>
        <w:tc>
          <w:tcPr>
            <w:tcW w:w="1849" w:type="pct"/>
            <w:tcBorders>
              <w:top w:val="nil"/>
              <w:left w:val="nil"/>
              <w:bottom w:val="single" w:sz="4" w:space="0" w:color="auto"/>
              <w:right w:val="nil"/>
            </w:tcBorders>
            <w:shd w:val="clear" w:color="000000" w:fill="FFFFFF"/>
            <w:noWrap/>
            <w:vAlign w:val="center"/>
            <w:hideMark/>
          </w:tcPr>
          <w:p w14:paraId="228BF0EE" w14:textId="77777777" w:rsidR="00A63906" w:rsidRPr="006368C8" w:rsidRDefault="00A63906" w:rsidP="00746D27">
            <w:pPr>
              <w:spacing w:after="0" w:line="240" w:lineRule="auto"/>
              <w:jc w:val="left"/>
              <w:rPr>
                <w:rFonts w:ascii="Arial" w:hAnsi="Arial" w:cs="Arial"/>
                <w:sz w:val="16"/>
                <w:szCs w:val="16"/>
              </w:rPr>
            </w:pPr>
            <w:r w:rsidRPr="006368C8">
              <w:rPr>
                <w:rFonts w:ascii="Arial" w:hAnsi="Arial" w:cs="Arial"/>
                <w:sz w:val="16"/>
                <w:szCs w:val="16"/>
              </w:rPr>
              <w:t> </w:t>
            </w:r>
          </w:p>
        </w:tc>
        <w:tc>
          <w:tcPr>
            <w:tcW w:w="377" w:type="pct"/>
            <w:tcBorders>
              <w:top w:val="nil"/>
              <w:left w:val="nil"/>
              <w:bottom w:val="single" w:sz="4" w:space="0" w:color="auto"/>
              <w:right w:val="nil"/>
            </w:tcBorders>
            <w:shd w:val="clear" w:color="000000" w:fill="FFFFFF"/>
            <w:noWrap/>
            <w:vAlign w:val="center"/>
            <w:hideMark/>
          </w:tcPr>
          <w:p w14:paraId="6DA6AC35" w14:textId="77777777" w:rsidR="00A63906" w:rsidRPr="006368C8" w:rsidRDefault="00A63906" w:rsidP="00746D27">
            <w:pPr>
              <w:spacing w:after="0" w:line="240" w:lineRule="auto"/>
              <w:jc w:val="right"/>
              <w:rPr>
                <w:rFonts w:ascii="Arial" w:hAnsi="Arial" w:cs="Arial"/>
                <w:sz w:val="16"/>
                <w:szCs w:val="16"/>
              </w:rPr>
            </w:pPr>
            <w:r w:rsidRPr="006368C8">
              <w:rPr>
                <w:rFonts w:ascii="Arial" w:hAnsi="Arial" w:cs="Arial"/>
                <w:sz w:val="16"/>
                <w:szCs w:val="16"/>
              </w:rPr>
              <w:t>No.</w:t>
            </w:r>
          </w:p>
        </w:tc>
        <w:tc>
          <w:tcPr>
            <w:tcW w:w="412" w:type="pct"/>
            <w:tcBorders>
              <w:top w:val="nil"/>
              <w:left w:val="nil"/>
              <w:bottom w:val="single" w:sz="4" w:space="0" w:color="auto"/>
              <w:right w:val="nil"/>
            </w:tcBorders>
            <w:shd w:val="clear" w:color="000000" w:fill="FFFFFF"/>
            <w:noWrap/>
            <w:vAlign w:val="center"/>
            <w:hideMark/>
          </w:tcPr>
          <w:p w14:paraId="2E294D9D" w14:textId="77777777" w:rsidR="00A63906" w:rsidRPr="006368C8" w:rsidRDefault="00A63906" w:rsidP="00746D27">
            <w:pPr>
              <w:spacing w:after="0" w:line="240" w:lineRule="auto"/>
              <w:jc w:val="right"/>
              <w:rPr>
                <w:rFonts w:ascii="Arial" w:hAnsi="Arial" w:cs="Arial"/>
                <w:sz w:val="16"/>
                <w:szCs w:val="16"/>
              </w:rPr>
            </w:pPr>
            <w:r w:rsidRPr="006368C8">
              <w:rPr>
                <w:rFonts w:ascii="Arial" w:hAnsi="Arial" w:cs="Arial"/>
                <w:sz w:val="16"/>
                <w:szCs w:val="16"/>
              </w:rPr>
              <w:t>$b</w:t>
            </w:r>
          </w:p>
        </w:tc>
        <w:tc>
          <w:tcPr>
            <w:tcW w:w="377" w:type="pct"/>
            <w:tcBorders>
              <w:top w:val="nil"/>
              <w:left w:val="nil"/>
              <w:bottom w:val="single" w:sz="4" w:space="0" w:color="auto"/>
              <w:right w:val="nil"/>
            </w:tcBorders>
            <w:shd w:val="clear" w:color="000000" w:fill="FFFFFF"/>
            <w:noWrap/>
            <w:vAlign w:val="center"/>
            <w:hideMark/>
          </w:tcPr>
          <w:p w14:paraId="01934A4B" w14:textId="77777777" w:rsidR="00A63906" w:rsidRPr="006368C8" w:rsidRDefault="00A63906" w:rsidP="00746D27">
            <w:pPr>
              <w:spacing w:after="0" w:line="240" w:lineRule="auto"/>
              <w:jc w:val="right"/>
              <w:rPr>
                <w:rFonts w:ascii="Arial" w:hAnsi="Arial" w:cs="Arial"/>
                <w:color w:val="auto"/>
                <w:sz w:val="16"/>
                <w:szCs w:val="16"/>
              </w:rPr>
            </w:pPr>
            <w:r w:rsidRPr="006368C8">
              <w:rPr>
                <w:rFonts w:ascii="Arial" w:hAnsi="Arial" w:cs="Arial"/>
                <w:color w:val="auto"/>
                <w:sz w:val="16"/>
                <w:szCs w:val="16"/>
              </w:rPr>
              <w:t>No.</w:t>
            </w:r>
          </w:p>
        </w:tc>
        <w:tc>
          <w:tcPr>
            <w:tcW w:w="412" w:type="pct"/>
            <w:tcBorders>
              <w:top w:val="nil"/>
              <w:left w:val="nil"/>
              <w:bottom w:val="single" w:sz="4" w:space="0" w:color="auto"/>
              <w:right w:val="nil"/>
            </w:tcBorders>
            <w:shd w:val="clear" w:color="000000" w:fill="FFFFFF"/>
            <w:noWrap/>
            <w:vAlign w:val="center"/>
            <w:hideMark/>
          </w:tcPr>
          <w:p w14:paraId="0A95D2F3" w14:textId="77777777" w:rsidR="00A63906" w:rsidRPr="006368C8" w:rsidRDefault="00A63906" w:rsidP="00746D27">
            <w:pPr>
              <w:spacing w:after="0" w:line="240" w:lineRule="auto"/>
              <w:jc w:val="right"/>
              <w:rPr>
                <w:rFonts w:ascii="Arial" w:hAnsi="Arial" w:cs="Arial"/>
                <w:color w:val="auto"/>
                <w:sz w:val="16"/>
                <w:szCs w:val="16"/>
              </w:rPr>
            </w:pPr>
            <w:r w:rsidRPr="006368C8">
              <w:rPr>
                <w:rFonts w:ascii="Arial" w:hAnsi="Arial" w:cs="Arial"/>
                <w:color w:val="auto"/>
                <w:sz w:val="16"/>
                <w:szCs w:val="16"/>
              </w:rPr>
              <w:t>$b</w:t>
            </w:r>
          </w:p>
        </w:tc>
        <w:tc>
          <w:tcPr>
            <w:tcW w:w="377" w:type="pct"/>
            <w:tcBorders>
              <w:top w:val="nil"/>
              <w:left w:val="nil"/>
              <w:bottom w:val="single" w:sz="4" w:space="0" w:color="auto"/>
              <w:right w:val="nil"/>
            </w:tcBorders>
            <w:shd w:val="clear" w:color="000000" w:fill="FFFFFF"/>
            <w:noWrap/>
            <w:vAlign w:val="center"/>
            <w:hideMark/>
          </w:tcPr>
          <w:p w14:paraId="30CA747E" w14:textId="77777777" w:rsidR="00A63906" w:rsidRPr="006368C8" w:rsidRDefault="00A63906" w:rsidP="00746D27">
            <w:pPr>
              <w:spacing w:after="0" w:line="240" w:lineRule="auto"/>
              <w:jc w:val="right"/>
              <w:rPr>
                <w:rFonts w:ascii="Arial" w:hAnsi="Arial" w:cs="Arial"/>
                <w:color w:val="auto"/>
                <w:sz w:val="16"/>
                <w:szCs w:val="16"/>
              </w:rPr>
            </w:pPr>
            <w:r w:rsidRPr="006368C8">
              <w:rPr>
                <w:rFonts w:ascii="Arial" w:hAnsi="Arial" w:cs="Arial"/>
                <w:color w:val="auto"/>
                <w:sz w:val="16"/>
                <w:szCs w:val="16"/>
              </w:rPr>
              <w:t>No.</w:t>
            </w:r>
          </w:p>
        </w:tc>
        <w:tc>
          <w:tcPr>
            <w:tcW w:w="412" w:type="pct"/>
            <w:tcBorders>
              <w:top w:val="nil"/>
              <w:left w:val="nil"/>
              <w:bottom w:val="single" w:sz="4" w:space="0" w:color="auto"/>
              <w:right w:val="nil"/>
            </w:tcBorders>
            <w:shd w:val="clear" w:color="000000" w:fill="FFFFFF"/>
            <w:noWrap/>
            <w:vAlign w:val="center"/>
            <w:hideMark/>
          </w:tcPr>
          <w:p w14:paraId="61E3DE4D" w14:textId="77777777" w:rsidR="00A63906" w:rsidRPr="006368C8" w:rsidRDefault="00A63906" w:rsidP="00746D27">
            <w:pPr>
              <w:spacing w:after="0" w:line="240" w:lineRule="auto"/>
              <w:jc w:val="right"/>
              <w:rPr>
                <w:rFonts w:ascii="Arial" w:hAnsi="Arial" w:cs="Arial"/>
                <w:color w:val="auto"/>
                <w:sz w:val="16"/>
                <w:szCs w:val="16"/>
              </w:rPr>
            </w:pPr>
            <w:r w:rsidRPr="006368C8">
              <w:rPr>
                <w:rFonts w:ascii="Arial" w:hAnsi="Arial" w:cs="Arial"/>
                <w:color w:val="auto"/>
                <w:sz w:val="16"/>
                <w:szCs w:val="16"/>
              </w:rPr>
              <w:t>$b</w:t>
            </w:r>
          </w:p>
        </w:tc>
        <w:tc>
          <w:tcPr>
            <w:tcW w:w="377" w:type="pct"/>
            <w:tcBorders>
              <w:top w:val="nil"/>
              <w:left w:val="nil"/>
              <w:bottom w:val="single" w:sz="4" w:space="0" w:color="auto"/>
              <w:right w:val="nil"/>
            </w:tcBorders>
            <w:shd w:val="clear" w:color="auto" w:fill="E1E8EB"/>
            <w:noWrap/>
            <w:vAlign w:val="center"/>
            <w:hideMark/>
          </w:tcPr>
          <w:p w14:paraId="7DD40DF7" w14:textId="77777777" w:rsidR="00A63906" w:rsidRPr="006368C8" w:rsidRDefault="00A63906" w:rsidP="00746D27">
            <w:pPr>
              <w:spacing w:after="0" w:line="240" w:lineRule="auto"/>
              <w:jc w:val="right"/>
              <w:rPr>
                <w:rFonts w:ascii="Arial" w:hAnsi="Arial" w:cs="Arial"/>
                <w:color w:val="auto"/>
                <w:sz w:val="16"/>
                <w:szCs w:val="16"/>
              </w:rPr>
            </w:pPr>
            <w:r w:rsidRPr="006368C8">
              <w:rPr>
                <w:rFonts w:ascii="Arial" w:hAnsi="Arial" w:cs="Arial"/>
                <w:color w:val="auto"/>
                <w:sz w:val="16"/>
                <w:szCs w:val="16"/>
              </w:rPr>
              <w:t>No.</w:t>
            </w:r>
          </w:p>
        </w:tc>
        <w:tc>
          <w:tcPr>
            <w:tcW w:w="408" w:type="pct"/>
            <w:tcBorders>
              <w:top w:val="nil"/>
              <w:left w:val="nil"/>
              <w:bottom w:val="single" w:sz="4" w:space="0" w:color="auto"/>
              <w:right w:val="nil"/>
            </w:tcBorders>
            <w:shd w:val="clear" w:color="auto" w:fill="E1E8EB"/>
            <w:noWrap/>
            <w:vAlign w:val="center"/>
            <w:hideMark/>
          </w:tcPr>
          <w:p w14:paraId="4B28CB18" w14:textId="77777777" w:rsidR="00A63906" w:rsidRPr="006368C8" w:rsidRDefault="00A63906" w:rsidP="00746D27">
            <w:pPr>
              <w:spacing w:after="0" w:line="240" w:lineRule="auto"/>
              <w:jc w:val="right"/>
              <w:rPr>
                <w:rFonts w:ascii="Arial" w:hAnsi="Arial" w:cs="Arial"/>
                <w:color w:val="auto"/>
                <w:sz w:val="16"/>
                <w:szCs w:val="16"/>
              </w:rPr>
            </w:pPr>
            <w:r w:rsidRPr="006368C8">
              <w:rPr>
                <w:rFonts w:ascii="Arial" w:hAnsi="Arial" w:cs="Arial"/>
                <w:color w:val="auto"/>
                <w:sz w:val="16"/>
                <w:szCs w:val="16"/>
              </w:rPr>
              <w:t>$b</w:t>
            </w:r>
          </w:p>
        </w:tc>
      </w:tr>
      <w:tr w:rsidR="00A63906" w:rsidRPr="006368C8" w14:paraId="75357087" w14:textId="77777777" w:rsidTr="009955B8">
        <w:trPr>
          <w:trHeight w:val="225"/>
        </w:trPr>
        <w:tc>
          <w:tcPr>
            <w:tcW w:w="1849" w:type="pct"/>
            <w:tcBorders>
              <w:top w:val="nil"/>
              <w:left w:val="nil"/>
              <w:bottom w:val="nil"/>
              <w:right w:val="nil"/>
            </w:tcBorders>
            <w:shd w:val="clear" w:color="000000" w:fill="FFFFFF"/>
            <w:noWrap/>
            <w:vAlign w:val="center"/>
            <w:hideMark/>
          </w:tcPr>
          <w:p w14:paraId="779A84DC" w14:textId="77777777" w:rsidR="00A63906" w:rsidRPr="006368C8" w:rsidRDefault="00A63906" w:rsidP="00746D27">
            <w:pPr>
              <w:spacing w:after="0" w:line="240" w:lineRule="auto"/>
              <w:jc w:val="left"/>
              <w:rPr>
                <w:rFonts w:ascii="Arial" w:hAnsi="Arial" w:cs="Arial"/>
                <w:b/>
                <w:bCs/>
                <w:sz w:val="16"/>
                <w:szCs w:val="16"/>
              </w:rPr>
            </w:pPr>
            <w:r w:rsidRPr="006368C8">
              <w:rPr>
                <w:rFonts w:ascii="Arial" w:hAnsi="Arial" w:cs="Arial"/>
                <w:b/>
                <w:bCs/>
                <w:sz w:val="16"/>
                <w:szCs w:val="16"/>
              </w:rPr>
              <w:t>Commercial</w:t>
            </w:r>
          </w:p>
        </w:tc>
        <w:tc>
          <w:tcPr>
            <w:tcW w:w="377" w:type="pct"/>
            <w:tcBorders>
              <w:top w:val="nil"/>
              <w:left w:val="nil"/>
              <w:bottom w:val="nil"/>
              <w:right w:val="nil"/>
            </w:tcBorders>
            <w:shd w:val="clear" w:color="000000" w:fill="FFFFFF"/>
            <w:noWrap/>
            <w:vAlign w:val="center"/>
            <w:hideMark/>
          </w:tcPr>
          <w:p w14:paraId="7DE7DABD" w14:textId="77777777" w:rsidR="00A63906" w:rsidRPr="006368C8" w:rsidRDefault="00A63906" w:rsidP="00746D27">
            <w:pPr>
              <w:spacing w:after="0" w:line="240" w:lineRule="auto"/>
              <w:jc w:val="right"/>
              <w:rPr>
                <w:rFonts w:ascii="Arial" w:hAnsi="Arial" w:cs="Arial"/>
                <w:sz w:val="16"/>
                <w:szCs w:val="16"/>
              </w:rPr>
            </w:pPr>
            <w:r w:rsidRPr="006368C8">
              <w:rPr>
                <w:rFonts w:ascii="Arial" w:hAnsi="Arial" w:cs="Arial"/>
                <w:sz w:val="16"/>
                <w:szCs w:val="16"/>
              </w:rPr>
              <w:t> </w:t>
            </w:r>
          </w:p>
        </w:tc>
        <w:tc>
          <w:tcPr>
            <w:tcW w:w="412" w:type="pct"/>
            <w:tcBorders>
              <w:top w:val="nil"/>
              <w:left w:val="nil"/>
              <w:bottom w:val="nil"/>
              <w:right w:val="nil"/>
            </w:tcBorders>
            <w:shd w:val="clear" w:color="000000" w:fill="FFFFFF"/>
            <w:noWrap/>
            <w:vAlign w:val="center"/>
            <w:hideMark/>
          </w:tcPr>
          <w:p w14:paraId="42BF7760" w14:textId="77777777" w:rsidR="00A63906" w:rsidRPr="006368C8" w:rsidRDefault="00A63906" w:rsidP="00746D27">
            <w:pPr>
              <w:spacing w:after="0" w:line="240" w:lineRule="auto"/>
              <w:jc w:val="right"/>
              <w:rPr>
                <w:rFonts w:ascii="Arial" w:hAnsi="Arial" w:cs="Arial"/>
                <w:sz w:val="16"/>
                <w:szCs w:val="16"/>
              </w:rPr>
            </w:pPr>
            <w:r w:rsidRPr="006368C8">
              <w:rPr>
                <w:rFonts w:ascii="Arial" w:hAnsi="Arial" w:cs="Arial"/>
                <w:sz w:val="16"/>
                <w:szCs w:val="16"/>
              </w:rPr>
              <w:t> </w:t>
            </w:r>
          </w:p>
        </w:tc>
        <w:tc>
          <w:tcPr>
            <w:tcW w:w="377" w:type="pct"/>
            <w:tcBorders>
              <w:top w:val="nil"/>
              <w:left w:val="nil"/>
              <w:bottom w:val="nil"/>
              <w:right w:val="nil"/>
            </w:tcBorders>
            <w:shd w:val="clear" w:color="000000" w:fill="FFFFFF"/>
            <w:noWrap/>
            <w:vAlign w:val="center"/>
            <w:hideMark/>
          </w:tcPr>
          <w:p w14:paraId="46537B4F" w14:textId="77777777" w:rsidR="00A63906" w:rsidRPr="006368C8" w:rsidRDefault="00A63906" w:rsidP="00746D27">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412" w:type="pct"/>
            <w:tcBorders>
              <w:top w:val="nil"/>
              <w:left w:val="nil"/>
              <w:bottom w:val="nil"/>
              <w:right w:val="nil"/>
            </w:tcBorders>
            <w:shd w:val="clear" w:color="000000" w:fill="FFFFFF"/>
            <w:noWrap/>
            <w:vAlign w:val="center"/>
            <w:hideMark/>
          </w:tcPr>
          <w:p w14:paraId="0BAE72F3" w14:textId="77777777" w:rsidR="00A63906" w:rsidRPr="006368C8" w:rsidRDefault="00A63906" w:rsidP="00746D27">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377" w:type="pct"/>
            <w:tcBorders>
              <w:top w:val="nil"/>
              <w:left w:val="nil"/>
              <w:bottom w:val="nil"/>
              <w:right w:val="nil"/>
            </w:tcBorders>
            <w:shd w:val="clear" w:color="000000" w:fill="FFFFFF"/>
            <w:noWrap/>
            <w:vAlign w:val="center"/>
            <w:hideMark/>
          </w:tcPr>
          <w:p w14:paraId="3E7C814F" w14:textId="77777777" w:rsidR="00A63906" w:rsidRPr="006368C8" w:rsidRDefault="00A63906" w:rsidP="00746D27">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412" w:type="pct"/>
            <w:tcBorders>
              <w:top w:val="nil"/>
              <w:left w:val="nil"/>
              <w:bottom w:val="nil"/>
              <w:right w:val="nil"/>
            </w:tcBorders>
            <w:shd w:val="clear" w:color="000000" w:fill="FFFFFF"/>
            <w:noWrap/>
            <w:vAlign w:val="center"/>
            <w:hideMark/>
          </w:tcPr>
          <w:p w14:paraId="497993E8" w14:textId="77777777" w:rsidR="00A63906" w:rsidRPr="006368C8" w:rsidRDefault="00A63906" w:rsidP="00746D27">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377" w:type="pct"/>
            <w:tcBorders>
              <w:top w:val="nil"/>
              <w:left w:val="nil"/>
              <w:bottom w:val="nil"/>
              <w:right w:val="nil"/>
            </w:tcBorders>
            <w:shd w:val="clear" w:color="auto" w:fill="E1E8EB"/>
            <w:noWrap/>
            <w:vAlign w:val="center"/>
            <w:hideMark/>
          </w:tcPr>
          <w:p w14:paraId="582C0DD0" w14:textId="77777777" w:rsidR="00A63906" w:rsidRPr="006368C8" w:rsidRDefault="00A63906" w:rsidP="00746D27">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408" w:type="pct"/>
            <w:tcBorders>
              <w:top w:val="nil"/>
              <w:left w:val="nil"/>
              <w:bottom w:val="nil"/>
              <w:right w:val="nil"/>
            </w:tcBorders>
            <w:shd w:val="clear" w:color="auto" w:fill="E1E8EB"/>
            <w:noWrap/>
            <w:vAlign w:val="center"/>
            <w:hideMark/>
          </w:tcPr>
          <w:p w14:paraId="2D1AB8EF" w14:textId="77777777" w:rsidR="00A63906" w:rsidRPr="006368C8" w:rsidRDefault="00A63906" w:rsidP="00746D27">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r>
      <w:tr w:rsidR="00A63906" w:rsidRPr="006368C8" w14:paraId="73D94A2E" w14:textId="77777777" w:rsidTr="009955B8">
        <w:trPr>
          <w:trHeight w:val="225"/>
        </w:trPr>
        <w:tc>
          <w:tcPr>
            <w:tcW w:w="1849" w:type="pct"/>
            <w:tcBorders>
              <w:top w:val="nil"/>
              <w:left w:val="nil"/>
              <w:bottom w:val="nil"/>
              <w:right w:val="nil"/>
            </w:tcBorders>
            <w:shd w:val="clear" w:color="000000" w:fill="FFFFFF"/>
            <w:noWrap/>
            <w:vAlign w:val="center"/>
            <w:hideMark/>
          </w:tcPr>
          <w:p w14:paraId="1E2AE4BB" w14:textId="77777777" w:rsidR="00A63906" w:rsidRPr="006368C8" w:rsidRDefault="00A63906" w:rsidP="00746D27">
            <w:pPr>
              <w:spacing w:after="0" w:line="240" w:lineRule="auto"/>
              <w:jc w:val="left"/>
              <w:rPr>
                <w:rFonts w:ascii="Arial" w:hAnsi="Arial" w:cs="Arial"/>
                <w:sz w:val="16"/>
                <w:szCs w:val="16"/>
                <w:u w:val="single"/>
              </w:rPr>
            </w:pPr>
            <w:r w:rsidRPr="006368C8">
              <w:rPr>
                <w:rFonts w:ascii="Arial" w:hAnsi="Arial" w:cs="Arial"/>
                <w:sz w:val="16"/>
                <w:szCs w:val="16"/>
                <w:u w:val="single"/>
              </w:rPr>
              <w:t>Developed</w:t>
            </w:r>
          </w:p>
        </w:tc>
        <w:tc>
          <w:tcPr>
            <w:tcW w:w="377" w:type="pct"/>
            <w:tcBorders>
              <w:top w:val="nil"/>
              <w:left w:val="nil"/>
              <w:bottom w:val="nil"/>
              <w:right w:val="nil"/>
            </w:tcBorders>
            <w:shd w:val="clear" w:color="000000" w:fill="FFFFFF"/>
            <w:noWrap/>
            <w:vAlign w:val="center"/>
            <w:hideMark/>
          </w:tcPr>
          <w:p w14:paraId="6E958CCF" w14:textId="77777777" w:rsidR="00A63906" w:rsidRPr="006368C8" w:rsidRDefault="00A63906" w:rsidP="00746D27">
            <w:pPr>
              <w:spacing w:after="0" w:line="240" w:lineRule="auto"/>
              <w:jc w:val="right"/>
              <w:rPr>
                <w:rFonts w:ascii="Arial" w:hAnsi="Arial" w:cs="Arial"/>
                <w:sz w:val="16"/>
                <w:szCs w:val="16"/>
              </w:rPr>
            </w:pPr>
            <w:r w:rsidRPr="006368C8">
              <w:rPr>
                <w:rFonts w:ascii="Arial" w:hAnsi="Arial" w:cs="Arial"/>
                <w:sz w:val="16"/>
                <w:szCs w:val="16"/>
              </w:rPr>
              <w:t> </w:t>
            </w:r>
          </w:p>
        </w:tc>
        <w:tc>
          <w:tcPr>
            <w:tcW w:w="412" w:type="pct"/>
            <w:tcBorders>
              <w:top w:val="nil"/>
              <w:left w:val="nil"/>
              <w:bottom w:val="nil"/>
              <w:right w:val="nil"/>
            </w:tcBorders>
            <w:shd w:val="clear" w:color="000000" w:fill="FFFFFF"/>
            <w:noWrap/>
            <w:vAlign w:val="center"/>
            <w:hideMark/>
          </w:tcPr>
          <w:p w14:paraId="7A47C7D9" w14:textId="77777777" w:rsidR="00A63906" w:rsidRPr="006368C8" w:rsidRDefault="00A63906" w:rsidP="00746D27">
            <w:pPr>
              <w:spacing w:after="0" w:line="240" w:lineRule="auto"/>
              <w:jc w:val="right"/>
              <w:rPr>
                <w:rFonts w:ascii="Arial" w:hAnsi="Arial" w:cs="Arial"/>
                <w:sz w:val="16"/>
                <w:szCs w:val="16"/>
              </w:rPr>
            </w:pPr>
            <w:r w:rsidRPr="006368C8">
              <w:rPr>
                <w:rFonts w:ascii="Arial" w:hAnsi="Arial" w:cs="Arial"/>
                <w:sz w:val="16"/>
                <w:szCs w:val="16"/>
              </w:rPr>
              <w:t> </w:t>
            </w:r>
          </w:p>
        </w:tc>
        <w:tc>
          <w:tcPr>
            <w:tcW w:w="377" w:type="pct"/>
            <w:tcBorders>
              <w:top w:val="nil"/>
              <w:left w:val="nil"/>
              <w:bottom w:val="nil"/>
              <w:right w:val="nil"/>
            </w:tcBorders>
            <w:shd w:val="clear" w:color="000000" w:fill="FFFFFF"/>
            <w:noWrap/>
            <w:vAlign w:val="center"/>
            <w:hideMark/>
          </w:tcPr>
          <w:p w14:paraId="2ECACA57" w14:textId="77777777" w:rsidR="00A63906" w:rsidRPr="006368C8" w:rsidRDefault="00A63906" w:rsidP="00746D27">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412" w:type="pct"/>
            <w:tcBorders>
              <w:top w:val="nil"/>
              <w:left w:val="nil"/>
              <w:bottom w:val="nil"/>
              <w:right w:val="nil"/>
            </w:tcBorders>
            <w:shd w:val="clear" w:color="000000" w:fill="FFFFFF"/>
            <w:noWrap/>
            <w:vAlign w:val="center"/>
            <w:hideMark/>
          </w:tcPr>
          <w:p w14:paraId="34C144D9" w14:textId="77777777" w:rsidR="00A63906" w:rsidRPr="006368C8" w:rsidRDefault="00A63906" w:rsidP="00746D27">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377" w:type="pct"/>
            <w:tcBorders>
              <w:top w:val="nil"/>
              <w:left w:val="nil"/>
              <w:bottom w:val="nil"/>
              <w:right w:val="nil"/>
            </w:tcBorders>
            <w:shd w:val="clear" w:color="000000" w:fill="FFFFFF"/>
            <w:noWrap/>
            <w:vAlign w:val="center"/>
            <w:hideMark/>
          </w:tcPr>
          <w:p w14:paraId="757AF91E" w14:textId="77777777" w:rsidR="00A63906" w:rsidRPr="006368C8" w:rsidRDefault="00A63906" w:rsidP="00746D27">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412" w:type="pct"/>
            <w:tcBorders>
              <w:top w:val="nil"/>
              <w:left w:val="nil"/>
              <w:bottom w:val="nil"/>
              <w:right w:val="nil"/>
            </w:tcBorders>
            <w:shd w:val="clear" w:color="000000" w:fill="FFFFFF"/>
            <w:noWrap/>
            <w:vAlign w:val="center"/>
            <w:hideMark/>
          </w:tcPr>
          <w:p w14:paraId="09B3EE43" w14:textId="77777777" w:rsidR="00A63906" w:rsidRPr="006368C8" w:rsidRDefault="00A63906" w:rsidP="00746D27">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377" w:type="pct"/>
            <w:tcBorders>
              <w:top w:val="nil"/>
              <w:left w:val="nil"/>
              <w:bottom w:val="nil"/>
              <w:right w:val="nil"/>
            </w:tcBorders>
            <w:shd w:val="clear" w:color="auto" w:fill="E1E8EB"/>
            <w:noWrap/>
            <w:vAlign w:val="center"/>
            <w:hideMark/>
          </w:tcPr>
          <w:p w14:paraId="56C82547" w14:textId="77777777" w:rsidR="00A63906" w:rsidRPr="006368C8" w:rsidRDefault="00A63906" w:rsidP="00746D27">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408" w:type="pct"/>
            <w:tcBorders>
              <w:top w:val="nil"/>
              <w:left w:val="nil"/>
              <w:bottom w:val="nil"/>
              <w:right w:val="nil"/>
            </w:tcBorders>
            <w:shd w:val="clear" w:color="auto" w:fill="E1E8EB"/>
            <w:noWrap/>
            <w:vAlign w:val="center"/>
            <w:hideMark/>
          </w:tcPr>
          <w:p w14:paraId="574B03B0" w14:textId="77777777" w:rsidR="00A63906" w:rsidRPr="006368C8" w:rsidRDefault="00A63906" w:rsidP="00746D27">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r>
      <w:tr w:rsidR="00A63906" w:rsidRPr="006368C8" w14:paraId="5CD4D176" w14:textId="77777777" w:rsidTr="009955B8">
        <w:trPr>
          <w:trHeight w:val="225"/>
        </w:trPr>
        <w:tc>
          <w:tcPr>
            <w:tcW w:w="1849" w:type="pct"/>
            <w:tcBorders>
              <w:top w:val="nil"/>
              <w:left w:val="nil"/>
              <w:bottom w:val="nil"/>
              <w:right w:val="nil"/>
            </w:tcBorders>
            <w:shd w:val="clear" w:color="000000" w:fill="FFFFFF"/>
            <w:noWrap/>
            <w:vAlign w:val="center"/>
            <w:hideMark/>
          </w:tcPr>
          <w:p w14:paraId="71FFBF58" w14:textId="77777777" w:rsidR="00A63906" w:rsidRPr="006368C8" w:rsidRDefault="00A63906" w:rsidP="00746D27">
            <w:pPr>
              <w:spacing w:after="0" w:line="240" w:lineRule="auto"/>
              <w:jc w:val="left"/>
              <w:rPr>
                <w:rFonts w:ascii="Arial" w:hAnsi="Arial" w:cs="Arial"/>
                <w:sz w:val="16"/>
                <w:szCs w:val="16"/>
              </w:rPr>
            </w:pPr>
            <w:r w:rsidRPr="006368C8">
              <w:rPr>
                <w:rFonts w:ascii="Arial" w:hAnsi="Arial" w:cs="Arial"/>
                <w:sz w:val="16"/>
                <w:szCs w:val="16"/>
              </w:rPr>
              <w:t xml:space="preserve"> Existing commercial property</w:t>
            </w:r>
          </w:p>
        </w:tc>
        <w:tc>
          <w:tcPr>
            <w:tcW w:w="377" w:type="pct"/>
            <w:tcBorders>
              <w:top w:val="nil"/>
              <w:left w:val="nil"/>
              <w:bottom w:val="nil"/>
              <w:right w:val="nil"/>
            </w:tcBorders>
            <w:shd w:val="clear" w:color="000000" w:fill="FFFFFF"/>
            <w:noWrap/>
            <w:vAlign w:val="center"/>
            <w:hideMark/>
          </w:tcPr>
          <w:p w14:paraId="7B5C7DE3" w14:textId="7392E9CC" w:rsidR="00A63906" w:rsidRPr="0023512E" w:rsidRDefault="006E15B5" w:rsidP="00746D27">
            <w:pPr>
              <w:spacing w:after="0" w:line="240" w:lineRule="auto"/>
              <w:jc w:val="right"/>
              <w:rPr>
                <w:rFonts w:ascii="Arial" w:hAnsi="Arial" w:cs="Arial"/>
                <w:sz w:val="16"/>
                <w:szCs w:val="16"/>
              </w:rPr>
            </w:pPr>
            <w:r w:rsidRPr="0023512E">
              <w:rPr>
                <w:rFonts w:ascii="Arial" w:hAnsi="Arial" w:cs="Arial"/>
                <w:sz w:val="16"/>
                <w:szCs w:val="16"/>
              </w:rPr>
              <w:t>166</w:t>
            </w:r>
          </w:p>
        </w:tc>
        <w:tc>
          <w:tcPr>
            <w:tcW w:w="412" w:type="pct"/>
            <w:tcBorders>
              <w:top w:val="nil"/>
              <w:left w:val="nil"/>
              <w:bottom w:val="nil"/>
              <w:right w:val="nil"/>
            </w:tcBorders>
            <w:shd w:val="clear" w:color="000000" w:fill="FFFFFF"/>
            <w:noWrap/>
            <w:vAlign w:val="center"/>
            <w:hideMark/>
          </w:tcPr>
          <w:p w14:paraId="26567576" w14:textId="428C88DD" w:rsidR="00A63906" w:rsidRPr="0023512E" w:rsidRDefault="006E15B5" w:rsidP="00746D27">
            <w:pPr>
              <w:spacing w:after="0" w:line="240" w:lineRule="auto"/>
              <w:jc w:val="right"/>
              <w:rPr>
                <w:rFonts w:ascii="Arial" w:hAnsi="Arial" w:cs="Arial"/>
                <w:sz w:val="16"/>
                <w:szCs w:val="16"/>
              </w:rPr>
            </w:pPr>
            <w:r w:rsidRPr="0023512E">
              <w:rPr>
                <w:rFonts w:ascii="Arial" w:hAnsi="Arial" w:cs="Arial"/>
                <w:sz w:val="16"/>
                <w:szCs w:val="16"/>
              </w:rPr>
              <w:t>18.3</w:t>
            </w:r>
          </w:p>
        </w:tc>
        <w:tc>
          <w:tcPr>
            <w:tcW w:w="377" w:type="pct"/>
            <w:tcBorders>
              <w:top w:val="nil"/>
              <w:left w:val="nil"/>
              <w:bottom w:val="nil"/>
              <w:right w:val="nil"/>
            </w:tcBorders>
            <w:shd w:val="clear" w:color="000000" w:fill="FFFFFF"/>
            <w:noWrap/>
            <w:vAlign w:val="center"/>
            <w:hideMark/>
          </w:tcPr>
          <w:p w14:paraId="5DE4FD6B" w14:textId="246B50D7" w:rsidR="00A63906" w:rsidRPr="0023512E" w:rsidRDefault="006E1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184</w:t>
            </w:r>
          </w:p>
        </w:tc>
        <w:tc>
          <w:tcPr>
            <w:tcW w:w="412" w:type="pct"/>
            <w:tcBorders>
              <w:top w:val="nil"/>
              <w:left w:val="nil"/>
              <w:bottom w:val="nil"/>
              <w:right w:val="nil"/>
            </w:tcBorders>
            <w:shd w:val="clear" w:color="000000" w:fill="FFFFFF"/>
            <w:noWrap/>
            <w:vAlign w:val="center"/>
            <w:hideMark/>
          </w:tcPr>
          <w:p w14:paraId="34DACBA3" w14:textId="2BDE444E" w:rsidR="00A63906" w:rsidRPr="0023512E" w:rsidRDefault="006E1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39</w:t>
            </w:r>
          </w:p>
        </w:tc>
        <w:tc>
          <w:tcPr>
            <w:tcW w:w="377" w:type="pct"/>
            <w:tcBorders>
              <w:top w:val="nil"/>
              <w:left w:val="nil"/>
              <w:bottom w:val="nil"/>
              <w:right w:val="nil"/>
            </w:tcBorders>
            <w:shd w:val="clear" w:color="000000" w:fill="FFFFFF"/>
            <w:noWrap/>
            <w:vAlign w:val="center"/>
            <w:hideMark/>
          </w:tcPr>
          <w:p w14:paraId="48C2F6EB" w14:textId="08EF32DD" w:rsidR="00A63906" w:rsidRPr="0023512E" w:rsidRDefault="006E1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220</w:t>
            </w:r>
          </w:p>
        </w:tc>
        <w:tc>
          <w:tcPr>
            <w:tcW w:w="412" w:type="pct"/>
            <w:tcBorders>
              <w:top w:val="nil"/>
              <w:left w:val="nil"/>
              <w:bottom w:val="nil"/>
              <w:right w:val="nil"/>
            </w:tcBorders>
            <w:shd w:val="clear" w:color="000000" w:fill="FFFFFF"/>
            <w:noWrap/>
            <w:vAlign w:val="center"/>
            <w:hideMark/>
          </w:tcPr>
          <w:p w14:paraId="7A8772E1" w14:textId="5B7F098C" w:rsidR="00A63906" w:rsidRPr="0023512E" w:rsidRDefault="006E1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22.8</w:t>
            </w:r>
          </w:p>
        </w:tc>
        <w:tc>
          <w:tcPr>
            <w:tcW w:w="377" w:type="pct"/>
            <w:tcBorders>
              <w:top w:val="nil"/>
              <w:left w:val="nil"/>
              <w:bottom w:val="nil"/>
              <w:right w:val="nil"/>
            </w:tcBorders>
            <w:shd w:val="clear" w:color="auto" w:fill="E1E8EB"/>
            <w:noWrap/>
            <w:vAlign w:val="center"/>
            <w:hideMark/>
          </w:tcPr>
          <w:p w14:paraId="394F15F4" w14:textId="339E21B8" w:rsidR="00A63906" w:rsidRPr="0023512E" w:rsidRDefault="006E1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596</w:t>
            </w:r>
          </w:p>
        </w:tc>
        <w:tc>
          <w:tcPr>
            <w:tcW w:w="408" w:type="pct"/>
            <w:tcBorders>
              <w:top w:val="nil"/>
              <w:left w:val="nil"/>
              <w:bottom w:val="nil"/>
              <w:right w:val="nil"/>
            </w:tcBorders>
            <w:shd w:val="clear" w:color="auto" w:fill="E1E8EB"/>
            <w:noWrap/>
            <w:vAlign w:val="center"/>
            <w:hideMark/>
          </w:tcPr>
          <w:p w14:paraId="2A0A00FE" w14:textId="54804BDC" w:rsidR="00A63906" w:rsidRPr="0023512E" w:rsidRDefault="006E1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48.7</w:t>
            </w:r>
          </w:p>
        </w:tc>
      </w:tr>
      <w:tr w:rsidR="00A63906" w:rsidRPr="006368C8" w14:paraId="608314BC" w14:textId="77777777" w:rsidTr="009955B8">
        <w:trPr>
          <w:trHeight w:val="225"/>
        </w:trPr>
        <w:tc>
          <w:tcPr>
            <w:tcW w:w="1849" w:type="pct"/>
            <w:tcBorders>
              <w:top w:val="nil"/>
              <w:left w:val="nil"/>
              <w:bottom w:val="nil"/>
              <w:right w:val="nil"/>
            </w:tcBorders>
            <w:shd w:val="clear" w:color="000000" w:fill="FFFFFF"/>
            <w:noWrap/>
            <w:vAlign w:val="center"/>
            <w:hideMark/>
          </w:tcPr>
          <w:p w14:paraId="6B7476C1" w14:textId="554AB0F0" w:rsidR="00A63906" w:rsidRPr="006368C8" w:rsidRDefault="003E7C79" w:rsidP="00746D27">
            <w:pPr>
              <w:spacing w:after="0" w:line="240" w:lineRule="auto"/>
              <w:jc w:val="left"/>
              <w:rPr>
                <w:rFonts w:ascii="Arial" w:hAnsi="Arial" w:cs="Arial"/>
                <w:sz w:val="16"/>
                <w:szCs w:val="16"/>
              </w:rPr>
            </w:pPr>
            <w:r>
              <w:rPr>
                <w:rFonts w:ascii="Arial" w:hAnsi="Arial" w:cs="Arial"/>
                <w:sz w:val="16"/>
                <w:szCs w:val="16"/>
              </w:rPr>
              <w:t>–</w:t>
            </w:r>
            <w:r w:rsidR="00A63906" w:rsidRPr="006368C8">
              <w:rPr>
                <w:rFonts w:ascii="Arial" w:hAnsi="Arial" w:cs="Arial"/>
                <w:sz w:val="16"/>
                <w:szCs w:val="16"/>
              </w:rPr>
              <w:t xml:space="preserve"> E</w:t>
            </w:r>
            <w:r w:rsidR="00CB1F62">
              <w:rPr>
                <w:rFonts w:ascii="Arial" w:hAnsi="Arial" w:cs="Arial"/>
                <w:sz w:val="16"/>
                <w:szCs w:val="16"/>
              </w:rPr>
              <w:t>Cs</w:t>
            </w:r>
          </w:p>
        </w:tc>
        <w:tc>
          <w:tcPr>
            <w:tcW w:w="377" w:type="pct"/>
            <w:tcBorders>
              <w:top w:val="nil"/>
              <w:left w:val="nil"/>
              <w:bottom w:val="nil"/>
              <w:right w:val="nil"/>
            </w:tcBorders>
            <w:shd w:val="clear" w:color="000000" w:fill="FFFFFF"/>
            <w:noWrap/>
            <w:vAlign w:val="center"/>
            <w:hideMark/>
          </w:tcPr>
          <w:p w14:paraId="6DFCB09D" w14:textId="58EB23B7" w:rsidR="00A63906" w:rsidRPr="0023512E" w:rsidRDefault="006E15B5" w:rsidP="00746D27">
            <w:pPr>
              <w:spacing w:after="0" w:line="240" w:lineRule="auto"/>
              <w:jc w:val="right"/>
              <w:rPr>
                <w:rFonts w:ascii="Arial" w:hAnsi="Arial" w:cs="Arial"/>
                <w:sz w:val="16"/>
                <w:szCs w:val="16"/>
              </w:rPr>
            </w:pPr>
            <w:r w:rsidRPr="0023512E">
              <w:rPr>
                <w:rFonts w:ascii="Arial" w:hAnsi="Arial" w:cs="Arial"/>
                <w:sz w:val="16"/>
                <w:szCs w:val="16"/>
              </w:rPr>
              <w:t>25</w:t>
            </w:r>
          </w:p>
        </w:tc>
        <w:tc>
          <w:tcPr>
            <w:tcW w:w="412" w:type="pct"/>
            <w:tcBorders>
              <w:top w:val="nil"/>
              <w:left w:val="nil"/>
              <w:bottom w:val="nil"/>
              <w:right w:val="nil"/>
            </w:tcBorders>
            <w:shd w:val="clear" w:color="000000" w:fill="FFFFFF"/>
            <w:noWrap/>
            <w:vAlign w:val="center"/>
            <w:hideMark/>
          </w:tcPr>
          <w:p w14:paraId="12106376" w14:textId="4FC619CB" w:rsidR="00A63906" w:rsidRPr="0023512E" w:rsidRDefault="006E15B5" w:rsidP="00746D27">
            <w:pPr>
              <w:spacing w:after="0" w:line="240" w:lineRule="auto"/>
              <w:jc w:val="right"/>
              <w:rPr>
                <w:rFonts w:ascii="Arial" w:hAnsi="Arial" w:cs="Arial"/>
                <w:sz w:val="16"/>
                <w:szCs w:val="16"/>
              </w:rPr>
            </w:pPr>
            <w:r w:rsidRPr="0023512E">
              <w:rPr>
                <w:rFonts w:ascii="Arial" w:hAnsi="Arial" w:cs="Arial"/>
                <w:sz w:val="16"/>
                <w:szCs w:val="16"/>
              </w:rPr>
              <w:t>7.1</w:t>
            </w:r>
          </w:p>
        </w:tc>
        <w:tc>
          <w:tcPr>
            <w:tcW w:w="377" w:type="pct"/>
            <w:tcBorders>
              <w:top w:val="nil"/>
              <w:left w:val="nil"/>
              <w:bottom w:val="nil"/>
              <w:right w:val="nil"/>
            </w:tcBorders>
            <w:shd w:val="clear" w:color="000000" w:fill="FFFFFF"/>
            <w:noWrap/>
            <w:vAlign w:val="center"/>
            <w:hideMark/>
          </w:tcPr>
          <w:p w14:paraId="19C4530D" w14:textId="7DD85350" w:rsidR="00A63906" w:rsidRPr="0023512E" w:rsidRDefault="006E1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37</w:t>
            </w:r>
          </w:p>
        </w:tc>
        <w:tc>
          <w:tcPr>
            <w:tcW w:w="412" w:type="pct"/>
            <w:tcBorders>
              <w:top w:val="nil"/>
              <w:left w:val="nil"/>
              <w:bottom w:val="nil"/>
              <w:right w:val="nil"/>
            </w:tcBorders>
            <w:shd w:val="clear" w:color="000000" w:fill="FFFFFF"/>
            <w:noWrap/>
            <w:vAlign w:val="center"/>
            <w:hideMark/>
          </w:tcPr>
          <w:p w14:paraId="1BB2E182" w14:textId="6F012AB5" w:rsidR="00A63906" w:rsidRPr="0023512E" w:rsidRDefault="006E1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19.2</w:t>
            </w:r>
          </w:p>
        </w:tc>
        <w:tc>
          <w:tcPr>
            <w:tcW w:w="377" w:type="pct"/>
            <w:tcBorders>
              <w:top w:val="nil"/>
              <w:left w:val="nil"/>
              <w:bottom w:val="nil"/>
              <w:right w:val="nil"/>
            </w:tcBorders>
            <w:shd w:val="clear" w:color="000000" w:fill="FFFFFF"/>
            <w:noWrap/>
            <w:vAlign w:val="center"/>
            <w:hideMark/>
          </w:tcPr>
          <w:p w14:paraId="3881EC27" w14:textId="1AD04B55" w:rsidR="00A63906" w:rsidRPr="0023512E" w:rsidRDefault="006E1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27</w:t>
            </w:r>
          </w:p>
        </w:tc>
        <w:tc>
          <w:tcPr>
            <w:tcW w:w="412" w:type="pct"/>
            <w:tcBorders>
              <w:top w:val="nil"/>
              <w:left w:val="nil"/>
              <w:bottom w:val="nil"/>
              <w:right w:val="nil"/>
            </w:tcBorders>
            <w:shd w:val="clear" w:color="000000" w:fill="FFFFFF"/>
            <w:noWrap/>
            <w:vAlign w:val="center"/>
            <w:hideMark/>
          </w:tcPr>
          <w:p w14:paraId="6B4D6949" w14:textId="43E6ACCF" w:rsidR="00A63906" w:rsidRPr="0023512E" w:rsidRDefault="006E1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5.5</w:t>
            </w:r>
          </w:p>
        </w:tc>
        <w:tc>
          <w:tcPr>
            <w:tcW w:w="377" w:type="pct"/>
            <w:tcBorders>
              <w:top w:val="nil"/>
              <w:left w:val="nil"/>
              <w:bottom w:val="nil"/>
              <w:right w:val="nil"/>
            </w:tcBorders>
            <w:shd w:val="clear" w:color="auto" w:fill="E1E8EB"/>
            <w:noWrap/>
            <w:vAlign w:val="center"/>
            <w:hideMark/>
          </w:tcPr>
          <w:p w14:paraId="13CCFC8D" w14:textId="03804C22" w:rsidR="00A63906" w:rsidRPr="0023512E" w:rsidRDefault="006E1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61</w:t>
            </w:r>
          </w:p>
        </w:tc>
        <w:tc>
          <w:tcPr>
            <w:tcW w:w="408" w:type="pct"/>
            <w:tcBorders>
              <w:top w:val="nil"/>
              <w:left w:val="nil"/>
              <w:bottom w:val="nil"/>
              <w:right w:val="nil"/>
            </w:tcBorders>
            <w:shd w:val="clear" w:color="auto" w:fill="E1E8EB"/>
            <w:noWrap/>
            <w:vAlign w:val="center"/>
            <w:hideMark/>
          </w:tcPr>
          <w:p w14:paraId="3A015768" w14:textId="6BF55A0A" w:rsidR="00A63906" w:rsidRPr="0023512E" w:rsidRDefault="006E1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21.7</w:t>
            </w:r>
          </w:p>
        </w:tc>
      </w:tr>
      <w:tr w:rsidR="00A63906" w:rsidRPr="006368C8" w14:paraId="78F382F4" w14:textId="77777777" w:rsidTr="009955B8">
        <w:trPr>
          <w:trHeight w:val="225"/>
        </w:trPr>
        <w:tc>
          <w:tcPr>
            <w:tcW w:w="1849" w:type="pct"/>
            <w:tcBorders>
              <w:top w:val="nil"/>
              <w:left w:val="nil"/>
              <w:bottom w:val="nil"/>
              <w:right w:val="nil"/>
            </w:tcBorders>
            <w:shd w:val="clear" w:color="000000" w:fill="FFFFFF"/>
            <w:noWrap/>
            <w:vAlign w:val="center"/>
            <w:hideMark/>
          </w:tcPr>
          <w:p w14:paraId="1FBF55FA" w14:textId="4B9A2D51" w:rsidR="00A63906" w:rsidRPr="006368C8" w:rsidRDefault="00A63906" w:rsidP="00746D27">
            <w:pPr>
              <w:spacing w:after="0" w:line="240" w:lineRule="auto"/>
              <w:jc w:val="left"/>
              <w:rPr>
                <w:rFonts w:ascii="Arial" w:hAnsi="Arial" w:cs="Arial"/>
                <w:i/>
                <w:iCs/>
                <w:sz w:val="16"/>
                <w:szCs w:val="16"/>
              </w:rPr>
            </w:pPr>
            <w:r w:rsidRPr="006368C8">
              <w:rPr>
                <w:rFonts w:ascii="Arial" w:hAnsi="Arial" w:cs="Arial"/>
                <w:i/>
                <w:iCs/>
                <w:sz w:val="16"/>
                <w:szCs w:val="16"/>
              </w:rPr>
              <w:t>Sub</w:t>
            </w:r>
            <w:r w:rsidR="003E7C79">
              <w:rPr>
                <w:rFonts w:ascii="Arial" w:hAnsi="Arial" w:cs="Arial"/>
                <w:i/>
                <w:iCs/>
                <w:sz w:val="16"/>
                <w:szCs w:val="16"/>
              </w:rPr>
              <w:t>–</w:t>
            </w:r>
            <w:r w:rsidRPr="006368C8">
              <w:rPr>
                <w:rFonts w:ascii="Arial" w:hAnsi="Arial" w:cs="Arial"/>
                <w:i/>
                <w:iCs/>
                <w:sz w:val="16"/>
                <w:szCs w:val="16"/>
              </w:rPr>
              <w:t xml:space="preserve">total </w:t>
            </w:r>
            <w:r w:rsidR="00065800">
              <w:rPr>
                <w:rFonts w:ascii="Arial" w:hAnsi="Arial" w:cs="Arial"/>
                <w:i/>
                <w:iCs/>
                <w:sz w:val="16"/>
                <w:szCs w:val="16"/>
              </w:rPr>
              <w:t>‘</w:t>
            </w:r>
            <w:r w:rsidRPr="006368C8">
              <w:rPr>
                <w:rFonts w:ascii="Arial" w:hAnsi="Arial" w:cs="Arial"/>
                <w:i/>
                <w:iCs/>
                <w:sz w:val="16"/>
                <w:szCs w:val="16"/>
              </w:rPr>
              <w:t>Developed</w:t>
            </w:r>
            <w:r w:rsidR="00065800">
              <w:rPr>
                <w:rFonts w:ascii="Arial" w:hAnsi="Arial" w:cs="Arial"/>
                <w:i/>
                <w:iCs/>
                <w:sz w:val="16"/>
                <w:szCs w:val="16"/>
              </w:rPr>
              <w:t>’</w:t>
            </w:r>
          </w:p>
        </w:tc>
        <w:tc>
          <w:tcPr>
            <w:tcW w:w="377" w:type="pct"/>
            <w:tcBorders>
              <w:top w:val="single" w:sz="4" w:space="0" w:color="000000"/>
              <w:left w:val="nil"/>
              <w:bottom w:val="nil"/>
              <w:right w:val="nil"/>
            </w:tcBorders>
            <w:shd w:val="clear" w:color="000000" w:fill="FFFFFF"/>
            <w:noWrap/>
            <w:vAlign w:val="center"/>
            <w:hideMark/>
          </w:tcPr>
          <w:p w14:paraId="0A521DF5" w14:textId="3E8C197C" w:rsidR="00A63906" w:rsidRPr="0023512E" w:rsidRDefault="006E15B5" w:rsidP="00746D27">
            <w:pPr>
              <w:spacing w:after="0" w:line="240" w:lineRule="auto"/>
              <w:jc w:val="right"/>
              <w:rPr>
                <w:rFonts w:ascii="Arial" w:hAnsi="Arial" w:cs="Arial"/>
                <w:i/>
                <w:sz w:val="16"/>
                <w:szCs w:val="16"/>
              </w:rPr>
            </w:pPr>
            <w:r w:rsidRPr="0023512E">
              <w:rPr>
                <w:rFonts w:ascii="Arial" w:hAnsi="Arial" w:cs="Arial"/>
                <w:i/>
                <w:sz w:val="16"/>
                <w:szCs w:val="16"/>
              </w:rPr>
              <w:t>191</w:t>
            </w:r>
          </w:p>
        </w:tc>
        <w:tc>
          <w:tcPr>
            <w:tcW w:w="412" w:type="pct"/>
            <w:tcBorders>
              <w:top w:val="single" w:sz="4" w:space="0" w:color="000000"/>
              <w:left w:val="nil"/>
              <w:bottom w:val="nil"/>
              <w:right w:val="nil"/>
            </w:tcBorders>
            <w:shd w:val="clear" w:color="000000" w:fill="FFFFFF"/>
            <w:noWrap/>
            <w:vAlign w:val="center"/>
            <w:hideMark/>
          </w:tcPr>
          <w:p w14:paraId="0B53F415" w14:textId="1FBA7A99" w:rsidR="00A63906" w:rsidRPr="0023512E" w:rsidRDefault="006E15B5" w:rsidP="00746D27">
            <w:pPr>
              <w:spacing w:after="0" w:line="240" w:lineRule="auto"/>
              <w:jc w:val="right"/>
              <w:rPr>
                <w:rFonts w:ascii="Arial" w:hAnsi="Arial" w:cs="Arial"/>
                <w:i/>
                <w:sz w:val="16"/>
                <w:szCs w:val="16"/>
              </w:rPr>
            </w:pPr>
            <w:r w:rsidRPr="0023512E">
              <w:rPr>
                <w:rFonts w:ascii="Arial" w:hAnsi="Arial" w:cs="Arial"/>
                <w:i/>
                <w:sz w:val="16"/>
                <w:szCs w:val="16"/>
              </w:rPr>
              <w:t>25.4</w:t>
            </w:r>
          </w:p>
        </w:tc>
        <w:tc>
          <w:tcPr>
            <w:tcW w:w="377" w:type="pct"/>
            <w:tcBorders>
              <w:top w:val="single" w:sz="4" w:space="0" w:color="auto"/>
              <w:left w:val="nil"/>
              <w:bottom w:val="nil"/>
              <w:right w:val="nil"/>
            </w:tcBorders>
            <w:shd w:val="clear" w:color="000000" w:fill="FFFFFF"/>
            <w:noWrap/>
            <w:vAlign w:val="center"/>
            <w:hideMark/>
          </w:tcPr>
          <w:p w14:paraId="2EC78652" w14:textId="4FFDFD2C" w:rsidR="00A63906" w:rsidRPr="0023512E" w:rsidRDefault="006E15B5" w:rsidP="00746D27">
            <w:pPr>
              <w:spacing w:after="0" w:line="240" w:lineRule="auto"/>
              <w:jc w:val="right"/>
              <w:rPr>
                <w:rFonts w:ascii="Arial" w:hAnsi="Arial" w:cs="Arial"/>
                <w:i/>
                <w:color w:val="auto"/>
                <w:sz w:val="16"/>
                <w:szCs w:val="16"/>
              </w:rPr>
            </w:pPr>
            <w:r w:rsidRPr="0023512E">
              <w:rPr>
                <w:rFonts w:ascii="Arial" w:hAnsi="Arial" w:cs="Arial"/>
                <w:i/>
                <w:color w:val="auto"/>
                <w:sz w:val="16"/>
                <w:szCs w:val="16"/>
              </w:rPr>
              <w:t>221</w:t>
            </w:r>
          </w:p>
        </w:tc>
        <w:tc>
          <w:tcPr>
            <w:tcW w:w="412" w:type="pct"/>
            <w:tcBorders>
              <w:top w:val="single" w:sz="4" w:space="0" w:color="auto"/>
              <w:left w:val="nil"/>
              <w:bottom w:val="nil"/>
              <w:right w:val="nil"/>
            </w:tcBorders>
            <w:shd w:val="clear" w:color="000000" w:fill="FFFFFF"/>
            <w:noWrap/>
            <w:vAlign w:val="center"/>
            <w:hideMark/>
          </w:tcPr>
          <w:p w14:paraId="3778D693" w14:textId="5DE666A9" w:rsidR="00A63906" w:rsidRPr="0023512E" w:rsidRDefault="006E15B5" w:rsidP="00746D27">
            <w:pPr>
              <w:spacing w:after="0" w:line="240" w:lineRule="auto"/>
              <w:jc w:val="right"/>
              <w:rPr>
                <w:rFonts w:ascii="Arial" w:hAnsi="Arial" w:cs="Arial"/>
                <w:i/>
                <w:color w:val="auto"/>
                <w:sz w:val="16"/>
                <w:szCs w:val="16"/>
              </w:rPr>
            </w:pPr>
            <w:r w:rsidRPr="0023512E">
              <w:rPr>
                <w:rFonts w:ascii="Arial" w:hAnsi="Arial" w:cs="Arial"/>
                <w:i/>
                <w:color w:val="auto"/>
                <w:sz w:val="16"/>
                <w:szCs w:val="16"/>
              </w:rPr>
              <w:t>58.3</w:t>
            </w:r>
          </w:p>
        </w:tc>
        <w:tc>
          <w:tcPr>
            <w:tcW w:w="377" w:type="pct"/>
            <w:tcBorders>
              <w:top w:val="single" w:sz="4" w:space="0" w:color="auto"/>
              <w:left w:val="nil"/>
              <w:bottom w:val="nil"/>
              <w:right w:val="nil"/>
            </w:tcBorders>
            <w:shd w:val="clear" w:color="000000" w:fill="FFFFFF"/>
            <w:noWrap/>
            <w:vAlign w:val="center"/>
            <w:hideMark/>
          </w:tcPr>
          <w:p w14:paraId="31CC96A0" w14:textId="6AFD4DE3" w:rsidR="00A63906" w:rsidRPr="0023512E" w:rsidRDefault="006E15B5" w:rsidP="00746D27">
            <w:pPr>
              <w:spacing w:after="0" w:line="240" w:lineRule="auto"/>
              <w:jc w:val="right"/>
              <w:rPr>
                <w:rFonts w:ascii="Arial" w:hAnsi="Arial" w:cs="Arial"/>
                <w:i/>
                <w:color w:val="auto"/>
                <w:sz w:val="16"/>
                <w:szCs w:val="16"/>
              </w:rPr>
            </w:pPr>
            <w:r w:rsidRPr="0023512E">
              <w:rPr>
                <w:rFonts w:ascii="Arial" w:hAnsi="Arial" w:cs="Arial"/>
                <w:i/>
                <w:color w:val="auto"/>
                <w:sz w:val="16"/>
                <w:szCs w:val="16"/>
              </w:rPr>
              <w:t>247</w:t>
            </w:r>
          </w:p>
        </w:tc>
        <w:tc>
          <w:tcPr>
            <w:tcW w:w="412" w:type="pct"/>
            <w:tcBorders>
              <w:top w:val="single" w:sz="4" w:space="0" w:color="auto"/>
              <w:left w:val="nil"/>
              <w:bottom w:val="nil"/>
              <w:right w:val="nil"/>
            </w:tcBorders>
            <w:shd w:val="clear" w:color="000000" w:fill="FFFFFF"/>
            <w:noWrap/>
            <w:vAlign w:val="center"/>
            <w:hideMark/>
          </w:tcPr>
          <w:p w14:paraId="10BB4E12" w14:textId="12A1FE45" w:rsidR="00A63906" w:rsidRPr="0023512E" w:rsidRDefault="006E15B5" w:rsidP="00746D27">
            <w:pPr>
              <w:spacing w:after="0" w:line="240" w:lineRule="auto"/>
              <w:jc w:val="right"/>
              <w:rPr>
                <w:rFonts w:ascii="Arial" w:hAnsi="Arial" w:cs="Arial"/>
                <w:i/>
                <w:color w:val="auto"/>
                <w:sz w:val="16"/>
                <w:szCs w:val="16"/>
              </w:rPr>
            </w:pPr>
            <w:r w:rsidRPr="0023512E">
              <w:rPr>
                <w:rFonts w:ascii="Arial" w:hAnsi="Arial" w:cs="Arial"/>
                <w:i/>
                <w:color w:val="auto"/>
                <w:sz w:val="16"/>
                <w:szCs w:val="16"/>
              </w:rPr>
              <w:t>28.2</w:t>
            </w:r>
          </w:p>
        </w:tc>
        <w:tc>
          <w:tcPr>
            <w:tcW w:w="377" w:type="pct"/>
            <w:tcBorders>
              <w:top w:val="single" w:sz="4" w:space="0" w:color="auto"/>
              <w:left w:val="nil"/>
              <w:bottom w:val="nil"/>
              <w:right w:val="nil"/>
            </w:tcBorders>
            <w:shd w:val="clear" w:color="auto" w:fill="E1E8EB"/>
            <w:noWrap/>
            <w:vAlign w:val="center"/>
            <w:hideMark/>
          </w:tcPr>
          <w:p w14:paraId="7CAEC920" w14:textId="6BA459D5" w:rsidR="00A63906" w:rsidRPr="0023512E" w:rsidRDefault="006E15B5" w:rsidP="00746D27">
            <w:pPr>
              <w:spacing w:after="0" w:line="240" w:lineRule="auto"/>
              <w:jc w:val="right"/>
              <w:rPr>
                <w:rFonts w:ascii="Arial" w:hAnsi="Arial" w:cs="Arial"/>
                <w:i/>
                <w:color w:val="auto"/>
                <w:sz w:val="16"/>
                <w:szCs w:val="16"/>
              </w:rPr>
            </w:pPr>
            <w:r w:rsidRPr="0023512E">
              <w:rPr>
                <w:rFonts w:ascii="Arial" w:hAnsi="Arial" w:cs="Arial"/>
                <w:i/>
                <w:color w:val="auto"/>
                <w:sz w:val="16"/>
                <w:szCs w:val="16"/>
              </w:rPr>
              <w:t>657</w:t>
            </w:r>
          </w:p>
        </w:tc>
        <w:tc>
          <w:tcPr>
            <w:tcW w:w="408" w:type="pct"/>
            <w:tcBorders>
              <w:top w:val="single" w:sz="4" w:space="0" w:color="auto"/>
              <w:left w:val="nil"/>
              <w:bottom w:val="nil"/>
              <w:right w:val="nil"/>
            </w:tcBorders>
            <w:shd w:val="clear" w:color="auto" w:fill="E1E8EB"/>
            <w:noWrap/>
            <w:vAlign w:val="center"/>
            <w:hideMark/>
          </w:tcPr>
          <w:p w14:paraId="5866C07E" w14:textId="1B172622" w:rsidR="00A63906" w:rsidRPr="0023512E" w:rsidRDefault="006E15B5" w:rsidP="00746D27">
            <w:pPr>
              <w:spacing w:after="0" w:line="240" w:lineRule="auto"/>
              <w:jc w:val="right"/>
              <w:rPr>
                <w:rFonts w:ascii="Arial" w:hAnsi="Arial" w:cs="Arial"/>
                <w:i/>
                <w:color w:val="auto"/>
                <w:sz w:val="16"/>
                <w:szCs w:val="16"/>
              </w:rPr>
            </w:pPr>
            <w:r w:rsidRPr="0023512E">
              <w:rPr>
                <w:rFonts w:ascii="Arial" w:hAnsi="Arial" w:cs="Arial"/>
                <w:i/>
                <w:color w:val="auto"/>
                <w:sz w:val="16"/>
                <w:szCs w:val="16"/>
              </w:rPr>
              <w:t>70.4</w:t>
            </w:r>
          </w:p>
        </w:tc>
      </w:tr>
      <w:tr w:rsidR="00A63906" w:rsidRPr="006368C8" w14:paraId="011D5ABE" w14:textId="77777777" w:rsidTr="009955B8">
        <w:trPr>
          <w:trHeight w:val="225"/>
        </w:trPr>
        <w:tc>
          <w:tcPr>
            <w:tcW w:w="1849" w:type="pct"/>
            <w:tcBorders>
              <w:top w:val="nil"/>
              <w:left w:val="nil"/>
              <w:bottom w:val="nil"/>
              <w:right w:val="nil"/>
            </w:tcBorders>
            <w:shd w:val="clear" w:color="000000" w:fill="FFFFFF"/>
            <w:noWrap/>
            <w:vAlign w:val="center"/>
            <w:hideMark/>
          </w:tcPr>
          <w:p w14:paraId="30F3BB09" w14:textId="77777777" w:rsidR="00A63906" w:rsidRPr="006368C8" w:rsidRDefault="00A63906" w:rsidP="00746D27">
            <w:pPr>
              <w:spacing w:after="0" w:line="240" w:lineRule="auto"/>
              <w:jc w:val="left"/>
              <w:rPr>
                <w:rFonts w:ascii="Arial" w:hAnsi="Arial" w:cs="Arial"/>
                <w:sz w:val="16"/>
                <w:szCs w:val="16"/>
                <w:u w:val="single"/>
              </w:rPr>
            </w:pPr>
            <w:r w:rsidRPr="006368C8">
              <w:rPr>
                <w:rFonts w:ascii="Arial" w:hAnsi="Arial" w:cs="Arial"/>
                <w:sz w:val="16"/>
                <w:szCs w:val="16"/>
                <w:u w:val="single"/>
              </w:rPr>
              <w:t>For development</w:t>
            </w:r>
          </w:p>
        </w:tc>
        <w:tc>
          <w:tcPr>
            <w:tcW w:w="377" w:type="pct"/>
            <w:tcBorders>
              <w:top w:val="nil"/>
              <w:left w:val="nil"/>
              <w:bottom w:val="nil"/>
              <w:right w:val="nil"/>
            </w:tcBorders>
            <w:shd w:val="clear" w:color="000000" w:fill="FFFFFF"/>
            <w:noWrap/>
            <w:vAlign w:val="center"/>
            <w:hideMark/>
          </w:tcPr>
          <w:p w14:paraId="115B0D6E" w14:textId="77777777" w:rsidR="00A63906" w:rsidRPr="0023512E" w:rsidRDefault="00A63906" w:rsidP="00746D27">
            <w:pPr>
              <w:spacing w:after="0" w:line="240" w:lineRule="auto"/>
              <w:jc w:val="right"/>
              <w:rPr>
                <w:rFonts w:ascii="Arial" w:hAnsi="Arial" w:cs="Arial"/>
                <w:sz w:val="16"/>
                <w:szCs w:val="16"/>
              </w:rPr>
            </w:pPr>
            <w:r w:rsidRPr="0023512E">
              <w:rPr>
                <w:rFonts w:ascii="Arial" w:hAnsi="Arial" w:cs="Arial"/>
                <w:sz w:val="16"/>
                <w:szCs w:val="16"/>
              </w:rPr>
              <w:t> </w:t>
            </w:r>
          </w:p>
        </w:tc>
        <w:tc>
          <w:tcPr>
            <w:tcW w:w="412" w:type="pct"/>
            <w:tcBorders>
              <w:top w:val="nil"/>
              <w:left w:val="nil"/>
              <w:bottom w:val="nil"/>
              <w:right w:val="nil"/>
            </w:tcBorders>
            <w:shd w:val="clear" w:color="000000" w:fill="FFFFFF"/>
            <w:noWrap/>
            <w:vAlign w:val="center"/>
            <w:hideMark/>
          </w:tcPr>
          <w:p w14:paraId="6D1F0189" w14:textId="77777777" w:rsidR="00A63906" w:rsidRPr="0023512E" w:rsidRDefault="00A63906" w:rsidP="00746D27">
            <w:pPr>
              <w:spacing w:after="0" w:line="240" w:lineRule="auto"/>
              <w:jc w:val="right"/>
              <w:rPr>
                <w:rFonts w:ascii="Arial" w:hAnsi="Arial" w:cs="Arial"/>
                <w:sz w:val="16"/>
                <w:szCs w:val="16"/>
              </w:rPr>
            </w:pPr>
            <w:r w:rsidRPr="0023512E">
              <w:rPr>
                <w:rFonts w:ascii="Arial" w:hAnsi="Arial" w:cs="Arial"/>
                <w:sz w:val="16"/>
                <w:szCs w:val="16"/>
              </w:rPr>
              <w:t> </w:t>
            </w:r>
          </w:p>
        </w:tc>
        <w:tc>
          <w:tcPr>
            <w:tcW w:w="377" w:type="pct"/>
            <w:tcBorders>
              <w:top w:val="nil"/>
              <w:left w:val="nil"/>
              <w:bottom w:val="nil"/>
              <w:right w:val="nil"/>
            </w:tcBorders>
            <w:shd w:val="clear" w:color="000000" w:fill="FFFFFF"/>
            <w:noWrap/>
            <w:vAlign w:val="center"/>
            <w:hideMark/>
          </w:tcPr>
          <w:p w14:paraId="598AD709" w14:textId="77777777" w:rsidR="00A63906" w:rsidRPr="0023512E" w:rsidRDefault="00A63906" w:rsidP="00746D27">
            <w:pPr>
              <w:spacing w:after="0" w:line="240" w:lineRule="auto"/>
              <w:jc w:val="left"/>
              <w:rPr>
                <w:rFonts w:ascii="Arial" w:hAnsi="Arial" w:cs="Arial"/>
                <w:color w:val="auto"/>
                <w:sz w:val="16"/>
                <w:szCs w:val="16"/>
              </w:rPr>
            </w:pPr>
            <w:r w:rsidRPr="0023512E">
              <w:rPr>
                <w:rFonts w:ascii="Arial" w:hAnsi="Arial" w:cs="Arial"/>
                <w:color w:val="auto"/>
                <w:sz w:val="16"/>
                <w:szCs w:val="16"/>
              </w:rPr>
              <w:t> </w:t>
            </w:r>
          </w:p>
        </w:tc>
        <w:tc>
          <w:tcPr>
            <w:tcW w:w="412" w:type="pct"/>
            <w:tcBorders>
              <w:top w:val="nil"/>
              <w:left w:val="nil"/>
              <w:bottom w:val="nil"/>
              <w:right w:val="nil"/>
            </w:tcBorders>
            <w:shd w:val="clear" w:color="000000" w:fill="FFFFFF"/>
            <w:noWrap/>
            <w:vAlign w:val="center"/>
            <w:hideMark/>
          </w:tcPr>
          <w:p w14:paraId="3E684E42" w14:textId="77777777" w:rsidR="00A63906" w:rsidRPr="0023512E" w:rsidRDefault="00A63906" w:rsidP="00746D27">
            <w:pPr>
              <w:spacing w:after="0" w:line="240" w:lineRule="auto"/>
              <w:jc w:val="left"/>
              <w:rPr>
                <w:rFonts w:ascii="Arial" w:hAnsi="Arial" w:cs="Arial"/>
                <w:color w:val="auto"/>
                <w:sz w:val="16"/>
                <w:szCs w:val="16"/>
              </w:rPr>
            </w:pPr>
            <w:r w:rsidRPr="0023512E">
              <w:rPr>
                <w:rFonts w:ascii="Arial" w:hAnsi="Arial" w:cs="Arial"/>
                <w:color w:val="auto"/>
                <w:sz w:val="16"/>
                <w:szCs w:val="16"/>
              </w:rPr>
              <w:t> </w:t>
            </w:r>
          </w:p>
        </w:tc>
        <w:tc>
          <w:tcPr>
            <w:tcW w:w="377" w:type="pct"/>
            <w:tcBorders>
              <w:top w:val="nil"/>
              <w:left w:val="nil"/>
              <w:bottom w:val="nil"/>
              <w:right w:val="nil"/>
            </w:tcBorders>
            <w:shd w:val="clear" w:color="000000" w:fill="FFFFFF"/>
            <w:noWrap/>
            <w:vAlign w:val="center"/>
            <w:hideMark/>
          </w:tcPr>
          <w:p w14:paraId="428F1996" w14:textId="77777777" w:rsidR="00A63906" w:rsidRPr="0023512E" w:rsidRDefault="00A63906" w:rsidP="00746D27">
            <w:pPr>
              <w:spacing w:after="0" w:line="240" w:lineRule="auto"/>
              <w:jc w:val="left"/>
              <w:rPr>
                <w:rFonts w:ascii="Arial" w:hAnsi="Arial" w:cs="Arial"/>
                <w:color w:val="auto"/>
                <w:sz w:val="16"/>
                <w:szCs w:val="16"/>
              </w:rPr>
            </w:pPr>
            <w:r w:rsidRPr="0023512E">
              <w:rPr>
                <w:rFonts w:ascii="Arial" w:hAnsi="Arial" w:cs="Arial"/>
                <w:color w:val="auto"/>
                <w:sz w:val="16"/>
                <w:szCs w:val="16"/>
              </w:rPr>
              <w:t> </w:t>
            </w:r>
          </w:p>
        </w:tc>
        <w:tc>
          <w:tcPr>
            <w:tcW w:w="412" w:type="pct"/>
            <w:tcBorders>
              <w:top w:val="nil"/>
              <w:left w:val="nil"/>
              <w:bottom w:val="nil"/>
              <w:right w:val="nil"/>
            </w:tcBorders>
            <w:shd w:val="clear" w:color="000000" w:fill="FFFFFF"/>
            <w:noWrap/>
            <w:vAlign w:val="center"/>
            <w:hideMark/>
          </w:tcPr>
          <w:p w14:paraId="06D560A5" w14:textId="77777777" w:rsidR="00A63906" w:rsidRPr="0023512E" w:rsidRDefault="00A63906" w:rsidP="00746D27">
            <w:pPr>
              <w:spacing w:after="0" w:line="240" w:lineRule="auto"/>
              <w:jc w:val="left"/>
              <w:rPr>
                <w:rFonts w:ascii="Arial" w:hAnsi="Arial" w:cs="Arial"/>
                <w:color w:val="auto"/>
                <w:sz w:val="16"/>
                <w:szCs w:val="16"/>
              </w:rPr>
            </w:pPr>
            <w:r w:rsidRPr="0023512E">
              <w:rPr>
                <w:rFonts w:ascii="Arial" w:hAnsi="Arial" w:cs="Arial"/>
                <w:color w:val="auto"/>
                <w:sz w:val="16"/>
                <w:szCs w:val="16"/>
              </w:rPr>
              <w:t> </w:t>
            </w:r>
          </w:p>
        </w:tc>
        <w:tc>
          <w:tcPr>
            <w:tcW w:w="377" w:type="pct"/>
            <w:tcBorders>
              <w:top w:val="nil"/>
              <w:left w:val="nil"/>
              <w:bottom w:val="nil"/>
              <w:right w:val="nil"/>
            </w:tcBorders>
            <w:shd w:val="clear" w:color="auto" w:fill="E1E8EB"/>
            <w:noWrap/>
            <w:vAlign w:val="center"/>
            <w:hideMark/>
          </w:tcPr>
          <w:p w14:paraId="42E9428D" w14:textId="77777777" w:rsidR="00A63906" w:rsidRPr="0023512E" w:rsidRDefault="00A63906" w:rsidP="00746D27">
            <w:pPr>
              <w:spacing w:after="0" w:line="240" w:lineRule="auto"/>
              <w:jc w:val="left"/>
              <w:rPr>
                <w:rFonts w:ascii="Arial" w:hAnsi="Arial" w:cs="Arial"/>
                <w:color w:val="auto"/>
                <w:sz w:val="16"/>
                <w:szCs w:val="16"/>
              </w:rPr>
            </w:pPr>
            <w:r w:rsidRPr="0023512E">
              <w:rPr>
                <w:rFonts w:ascii="Arial" w:hAnsi="Arial" w:cs="Arial"/>
                <w:color w:val="auto"/>
                <w:sz w:val="16"/>
                <w:szCs w:val="16"/>
              </w:rPr>
              <w:t> </w:t>
            </w:r>
          </w:p>
        </w:tc>
        <w:tc>
          <w:tcPr>
            <w:tcW w:w="408" w:type="pct"/>
            <w:tcBorders>
              <w:top w:val="nil"/>
              <w:left w:val="nil"/>
              <w:bottom w:val="nil"/>
              <w:right w:val="nil"/>
            </w:tcBorders>
            <w:shd w:val="clear" w:color="auto" w:fill="E1E8EB"/>
            <w:noWrap/>
            <w:vAlign w:val="center"/>
            <w:hideMark/>
          </w:tcPr>
          <w:p w14:paraId="09AB064C" w14:textId="77777777" w:rsidR="00A63906" w:rsidRPr="0023512E" w:rsidRDefault="00A63906" w:rsidP="00746D27">
            <w:pPr>
              <w:spacing w:after="0" w:line="240" w:lineRule="auto"/>
              <w:jc w:val="left"/>
              <w:rPr>
                <w:rFonts w:ascii="Arial" w:hAnsi="Arial" w:cs="Arial"/>
                <w:color w:val="auto"/>
                <w:sz w:val="16"/>
                <w:szCs w:val="16"/>
              </w:rPr>
            </w:pPr>
            <w:r w:rsidRPr="0023512E">
              <w:rPr>
                <w:rFonts w:ascii="Arial" w:hAnsi="Arial" w:cs="Arial"/>
                <w:color w:val="auto"/>
                <w:sz w:val="16"/>
                <w:szCs w:val="16"/>
              </w:rPr>
              <w:t> </w:t>
            </w:r>
          </w:p>
        </w:tc>
      </w:tr>
      <w:tr w:rsidR="00A63906" w:rsidRPr="006368C8" w14:paraId="3F0499C7" w14:textId="77777777" w:rsidTr="009955B8">
        <w:trPr>
          <w:trHeight w:val="225"/>
        </w:trPr>
        <w:tc>
          <w:tcPr>
            <w:tcW w:w="1849" w:type="pct"/>
            <w:tcBorders>
              <w:top w:val="nil"/>
              <w:left w:val="nil"/>
              <w:bottom w:val="nil"/>
              <w:right w:val="nil"/>
            </w:tcBorders>
            <w:shd w:val="clear" w:color="000000" w:fill="FFFFFF"/>
            <w:noWrap/>
            <w:vAlign w:val="center"/>
            <w:hideMark/>
          </w:tcPr>
          <w:p w14:paraId="5E2EE94A" w14:textId="704E41BB" w:rsidR="00A63906" w:rsidRPr="006368C8" w:rsidRDefault="003E7C79" w:rsidP="00746D27">
            <w:pPr>
              <w:spacing w:after="0" w:line="240" w:lineRule="auto"/>
              <w:jc w:val="left"/>
              <w:rPr>
                <w:rFonts w:ascii="Arial" w:hAnsi="Arial" w:cs="Arial"/>
                <w:sz w:val="16"/>
                <w:szCs w:val="16"/>
              </w:rPr>
            </w:pPr>
            <w:r>
              <w:rPr>
                <w:rFonts w:ascii="Arial" w:hAnsi="Arial" w:cs="Arial"/>
                <w:sz w:val="16"/>
                <w:szCs w:val="16"/>
              </w:rPr>
              <w:t>–</w:t>
            </w:r>
            <w:r w:rsidR="00A63906" w:rsidRPr="006368C8">
              <w:rPr>
                <w:rFonts w:ascii="Arial" w:hAnsi="Arial" w:cs="Arial"/>
                <w:sz w:val="16"/>
                <w:szCs w:val="16"/>
              </w:rPr>
              <w:t xml:space="preserve"> Vacant commercial property</w:t>
            </w:r>
          </w:p>
        </w:tc>
        <w:tc>
          <w:tcPr>
            <w:tcW w:w="377" w:type="pct"/>
            <w:tcBorders>
              <w:top w:val="nil"/>
              <w:left w:val="nil"/>
              <w:bottom w:val="nil"/>
              <w:right w:val="nil"/>
            </w:tcBorders>
            <w:shd w:val="clear" w:color="000000" w:fill="FFFFFF"/>
            <w:noWrap/>
            <w:vAlign w:val="center"/>
            <w:hideMark/>
          </w:tcPr>
          <w:p w14:paraId="48B8938D" w14:textId="621EB39A" w:rsidR="00A63906" w:rsidRPr="0023512E" w:rsidRDefault="006E15B5" w:rsidP="00746D27">
            <w:pPr>
              <w:spacing w:after="0" w:line="240" w:lineRule="auto"/>
              <w:jc w:val="right"/>
              <w:rPr>
                <w:rFonts w:ascii="Arial" w:hAnsi="Arial" w:cs="Arial"/>
                <w:sz w:val="16"/>
                <w:szCs w:val="16"/>
              </w:rPr>
            </w:pPr>
            <w:r w:rsidRPr="0023512E">
              <w:rPr>
                <w:rFonts w:ascii="Arial" w:hAnsi="Arial" w:cs="Arial"/>
                <w:sz w:val="16"/>
                <w:szCs w:val="16"/>
              </w:rPr>
              <w:t>169</w:t>
            </w:r>
          </w:p>
        </w:tc>
        <w:tc>
          <w:tcPr>
            <w:tcW w:w="412" w:type="pct"/>
            <w:tcBorders>
              <w:top w:val="nil"/>
              <w:left w:val="nil"/>
              <w:bottom w:val="nil"/>
              <w:right w:val="nil"/>
            </w:tcBorders>
            <w:shd w:val="clear" w:color="000000" w:fill="FFFFFF"/>
            <w:noWrap/>
            <w:vAlign w:val="center"/>
            <w:hideMark/>
          </w:tcPr>
          <w:p w14:paraId="6C015B17" w14:textId="4EDCFF33" w:rsidR="00A63906" w:rsidRPr="0023512E" w:rsidRDefault="006E15B5" w:rsidP="00746D27">
            <w:pPr>
              <w:spacing w:after="0" w:line="240" w:lineRule="auto"/>
              <w:jc w:val="right"/>
              <w:rPr>
                <w:rFonts w:ascii="Arial" w:hAnsi="Arial" w:cs="Arial"/>
                <w:sz w:val="16"/>
                <w:szCs w:val="16"/>
              </w:rPr>
            </w:pPr>
            <w:r w:rsidRPr="0023512E">
              <w:rPr>
                <w:rFonts w:ascii="Arial" w:hAnsi="Arial" w:cs="Arial"/>
                <w:sz w:val="16"/>
                <w:szCs w:val="16"/>
              </w:rPr>
              <w:t>6</w:t>
            </w:r>
          </w:p>
        </w:tc>
        <w:tc>
          <w:tcPr>
            <w:tcW w:w="377" w:type="pct"/>
            <w:tcBorders>
              <w:top w:val="nil"/>
              <w:left w:val="nil"/>
              <w:bottom w:val="nil"/>
              <w:right w:val="nil"/>
            </w:tcBorders>
            <w:shd w:val="clear" w:color="000000" w:fill="FFFFFF"/>
            <w:noWrap/>
            <w:vAlign w:val="center"/>
            <w:hideMark/>
          </w:tcPr>
          <w:p w14:paraId="0B107D84" w14:textId="0F3722B8" w:rsidR="00A63906" w:rsidRPr="0023512E" w:rsidRDefault="006E1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228</w:t>
            </w:r>
          </w:p>
        </w:tc>
        <w:tc>
          <w:tcPr>
            <w:tcW w:w="412" w:type="pct"/>
            <w:tcBorders>
              <w:top w:val="nil"/>
              <w:left w:val="nil"/>
              <w:bottom w:val="nil"/>
              <w:right w:val="nil"/>
            </w:tcBorders>
            <w:shd w:val="clear" w:color="000000" w:fill="FFFFFF"/>
            <w:noWrap/>
            <w:vAlign w:val="center"/>
            <w:hideMark/>
          </w:tcPr>
          <w:p w14:paraId="12ABE3AF" w14:textId="513BA27E" w:rsidR="00A63906" w:rsidRPr="0023512E" w:rsidRDefault="00FA0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6.8</w:t>
            </w:r>
          </w:p>
        </w:tc>
        <w:tc>
          <w:tcPr>
            <w:tcW w:w="377" w:type="pct"/>
            <w:tcBorders>
              <w:top w:val="nil"/>
              <w:left w:val="nil"/>
              <w:bottom w:val="nil"/>
              <w:right w:val="nil"/>
            </w:tcBorders>
            <w:shd w:val="clear" w:color="000000" w:fill="FFFFFF"/>
            <w:noWrap/>
            <w:vAlign w:val="center"/>
            <w:hideMark/>
          </w:tcPr>
          <w:p w14:paraId="674A62ED" w14:textId="77D597B5" w:rsidR="00A63906" w:rsidRPr="0023512E" w:rsidRDefault="00FA0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167</w:t>
            </w:r>
          </w:p>
        </w:tc>
        <w:tc>
          <w:tcPr>
            <w:tcW w:w="412" w:type="pct"/>
            <w:tcBorders>
              <w:top w:val="nil"/>
              <w:left w:val="nil"/>
              <w:bottom w:val="nil"/>
              <w:right w:val="nil"/>
            </w:tcBorders>
            <w:shd w:val="clear" w:color="000000" w:fill="FFFFFF"/>
            <w:noWrap/>
            <w:vAlign w:val="center"/>
            <w:hideMark/>
          </w:tcPr>
          <w:p w14:paraId="2BC1FA56" w14:textId="5829F616" w:rsidR="00A63906" w:rsidRPr="0023512E" w:rsidRDefault="00FA0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7.4</w:t>
            </w:r>
          </w:p>
        </w:tc>
        <w:tc>
          <w:tcPr>
            <w:tcW w:w="377" w:type="pct"/>
            <w:tcBorders>
              <w:top w:val="nil"/>
              <w:left w:val="nil"/>
              <w:bottom w:val="nil"/>
              <w:right w:val="nil"/>
            </w:tcBorders>
            <w:shd w:val="clear" w:color="auto" w:fill="E1E8EB"/>
            <w:noWrap/>
            <w:vAlign w:val="center"/>
            <w:hideMark/>
          </w:tcPr>
          <w:p w14:paraId="4BAD7FB8" w14:textId="5CD2833B" w:rsidR="00A63906" w:rsidRPr="0023512E" w:rsidRDefault="00FA0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162</w:t>
            </w:r>
          </w:p>
        </w:tc>
        <w:tc>
          <w:tcPr>
            <w:tcW w:w="408" w:type="pct"/>
            <w:tcBorders>
              <w:top w:val="nil"/>
              <w:left w:val="nil"/>
              <w:bottom w:val="nil"/>
              <w:right w:val="nil"/>
            </w:tcBorders>
            <w:shd w:val="clear" w:color="auto" w:fill="E1E8EB"/>
            <w:noWrap/>
            <w:vAlign w:val="center"/>
            <w:hideMark/>
          </w:tcPr>
          <w:p w14:paraId="5A09A4D0" w14:textId="13015517" w:rsidR="00A63906" w:rsidRPr="0023512E" w:rsidRDefault="00FA0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2.3</w:t>
            </w:r>
          </w:p>
        </w:tc>
      </w:tr>
      <w:tr w:rsidR="00A63906" w:rsidRPr="006368C8" w14:paraId="0D4BB81E" w14:textId="77777777" w:rsidTr="009955B8">
        <w:trPr>
          <w:trHeight w:val="225"/>
        </w:trPr>
        <w:tc>
          <w:tcPr>
            <w:tcW w:w="1849" w:type="pct"/>
            <w:tcBorders>
              <w:top w:val="nil"/>
              <w:left w:val="nil"/>
              <w:bottom w:val="nil"/>
              <w:right w:val="nil"/>
            </w:tcBorders>
            <w:shd w:val="clear" w:color="000000" w:fill="FFFFFF"/>
            <w:vAlign w:val="center"/>
            <w:hideMark/>
          </w:tcPr>
          <w:p w14:paraId="2E8C3572" w14:textId="7FE9E2E0" w:rsidR="00A63906" w:rsidRPr="006368C8" w:rsidRDefault="003E7C79" w:rsidP="00746D27">
            <w:pPr>
              <w:spacing w:after="0" w:line="240" w:lineRule="auto"/>
              <w:jc w:val="left"/>
              <w:rPr>
                <w:rFonts w:ascii="Arial" w:hAnsi="Arial" w:cs="Arial"/>
                <w:sz w:val="16"/>
                <w:szCs w:val="16"/>
              </w:rPr>
            </w:pPr>
            <w:r>
              <w:rPr>
                <w:rFonts w:ascii="Arial" w:hAnsi="Arial" w:cs="Arial"/>
                <w:sz w:val="16"/>
                <w:szCs w:val="16"/>
              </w:rPr>
              <w:t>–</w:t>
            </w:r>
            <w:r w:rsidR="00A63906" w:rsidRPr="006368C8">
              <w:rPr>
                <w:rFonts w:ascii="Arial" w:hAnsi="Arial" w:cs="Arial"/>
                <w:sz w:val="16"/>
                <w:szCs w:val="16"/>
              </w:rPr>
              <w:t xml:space="preserve"> E</w:t>
            </w:r>
            <w:r w:rsidR="00CB1F62">
              <w:rPr>
                <w:rFonts w:ascii="Arial" w:hAnsi="Arial" w:cs="Arial"/>
                <w:sz w:val="16"/>
                <w:szCs w:val="16"/>
              </w:rPr>
              <w:t>Cs</w:t>
            </w:r>
          </w:p>
        </w:tc>
        <w:tc>
          <w:tcPr>
            <w:tcW w:w="377" w:type="pct"/>
            <w:tcBorders>
              <w:top w:val="nil"/>
              <w:left w:val="nil"/>
              <w:bottom w:val="nil"/>
              <w:right w:val="nil"/>
            </w:tcBorders>
            <w:shd w:val="clear" w:color="000000" w:fill="FFFFFF"/>
            <w:noWrap/>
            <w:vAlign w:val="center"/>
            <w:hideMark/>
          </w:tcPr>
          <w:p w14:paraId="53EB1B33" w14:textId="352A00FD" w:rsidR="00A63906" w:rsidRPr="0023512E" w:rsidRDefault="00FA05B5" w:rsidP="00746D27">
            <w:pPr>
              <w:spacing w:after="0" w:line="240" w:lineRule="auto"/>
              <w:jc w:val="right"/>
              <w:rPr>
                <w:rFonts w:ascii="Arial" w:hAnsi="Arial" w:cs="Arial"/>
                <w:sz w:val="16"/>
                <w:szCs w:val="16"/>
              </w:rPr>
            </w:pPr>
            <w:r w:rsidRPr="0023512E">
              <w:rPr>
                <w:rFonts w:ascii="Arial" w:hAnsi="Arial" w:cs="Arial"/>
                <w:sz w:val="16"/>
                <w:szCs w:val="16"/>
              </w:rPr>
              <w:t>32</w:t>
            </w:r>
          </w:p>
        </w:tc>
        <w:tc>
          <w:tcPr>
            <w:tcW w:w="412" w:type="pct"/>
            <w:tcBorders>
              <w:top w:val="nil"/>
              <w:left w:val="nil"/>
              <w:bottom w:val="nil"/>
              <w:right w:val="nil"/>
            </w:tcBorders>
            <w:shd w:val="clear" w:color="000000" w:fill="FFFFFF"/>
            <w:noWrap/>
            <w:vAlign w:val="center"/>
            <w:hideMark/>
          </w:tcPr>
          <w:p w14:paraId="7D7F439F" w14:textId="2774B524" w:rsidR="00A63906" w:rsidRPr="0023512E" w:rsidRDefault="00FA05B5" w:rsidP="00746D27">
            <w:pPr>
              <w:spacing w:after="0" w:line="240" w:lineRule="auto"/>
              <w:jc w:val="right"/>
              <w:rPr>
                <w:rFonts w:ascii="Arial" w:hAnsi="Arial" w:cs="Arial"/>
                <w:sz w:val="16"/>
                <w:szCs w:val="16"/>
              </w:rPr>
            </w:pPr>
            <w:r w:rsidRPr="0023512E">
              <w:rPr>
                <w:rFonts w:ascii="Arial" w:hAnsi="Arial" w:cs="Arial"/>
                <w:sz w:val="16"/>
                <w:szCs w:val="16"/>
              </w:rPr>
              <w:t>8</w:t>
            </w:r>
          </w:p>
        </w:tc>
        <w:tc>
          <w:tcPr>
            <w:tcW w:w="377" w:type="pct"/>
            <w:tcBorders>
              <w:top w:val="nil"/>
              <w:left w:val="nil"/>
              <w:bottom w:val="nil"/>
              <w:right w:val="nil"/>
            </w:tcBorders>
            <w:shd w:val="clear" w:color="000000" w:fill="FFFFFF"/>
            <w:noWrap/>
            <w:vAlign w:val="center"/>
            <w:hideMark/>
          </w:tcPr>
          <w:p w14:paraId="165231A3" w14:textId="4355E7A4" w:rsidR="00A63906" w:rsidRPr="0023512E" w:rsidRDefault="00FA0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38</w:t>
            </w:r>
          </w:p>
        </w:tc>
        <w:tc>
          <w:tcPr>
            <w:tcW w:w="412" w:type="pct"/>
            <w:tcBorders>
              <w:top w:val="nil"/>
              <w:left w:val="nil"/>
              <w:bottom w:val="nil"/>
              <w:right w:val="nil"/>
            </w:tcBorders>
            <w:shd w:val="clear" w:color="000000" w:fill="FFFFFF"/>
            <w:noWrap/>
            <w:vAlign w:val="center"/>
            <w:hideMark/>
          </w:tcPr>
          <w:p w14:paraId="6A46EBE4" w14:textId="51A455F2" w:rsidR="00A63906" w:rsidRPr="0023512E" w:rsidRDefault="00FA0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7.9</w:t>
            </w:r>
          </w:p>
        </w:tc>
        <w:tc>
          <w:tcPr>
            <w:tcW w:w="377" w:type="pct"/>
            <w:tcBorders>
              <w:top w:val="nil"/>
              <w:left w:val="nil"/>
              <w:bottom w:val="nil"/>
              <w:right w:val="nil"/>
            </w:tcBorders>
            <w:shd w:val="clear" w:color="000000" w:fill="FFFFFF"/>
            <w:noWrap/>
            <w:vAlign w:val="center"/>
            <w:hideMark/>
          </w:tcPr>
          <w:p w14:paraId="3DD47414" w14:textId="2881F6D0" w:rsidR="00A63906" w:rsidRPr="0023512E" w:rsidRDefault="00FA0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26</w:t>
            </w:r>
          </w:p>
        </w:tc>
        <w:tc>
          <w:tcPr>
            <w:tcW w:w="412" w:type="pct"/>
            <w:tcBorders>
              <w:top w:val="nil"/>
              <w:left w:val="nil"/>
              <w:bottom w:val="nil"/>
              <w:right w:val="nil"/>
            </w:tcBorders>
            <w:shd w:val="clear" w:color="000000" w:fill="FFFFFF"/>
            <w:noWrap/>
            <w:vAlign w:val="center"/>
            <w:hideMark/>
          </w:tcPr>
          <w:p w14:paraId="1A75EC79" w14:textId="1CE6517F" w:rsidR="00A63906" w:rsidRPr="0023512E" w:rsidRDefault="00FA0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3.2</w:t>
            </w:r>
          </w:p>
        </w:tc>
        <w:tc>
          <w:tcPr>
            <w:tcW w:w="377" w:type="pct"/>
            <w:tcBorders>
              <w:top w:val="nil"/>
              <w:left w:val="nil"/>
              <w:bottom w:val="nil"/>
              <w:right w:val="nil"/>
            </w:tcBorders>
            <w:shd w:val="clear" w:color="auto" w:fill="E1E8EB"/>
            <w:noWrap/>
            <w:vAlign w:val="center"/>
            <w:hideMark/>
          </w:tcPr>
          <w:p w14:paraId="38FDA331" w14:textId="4AD13700" w:rsidR="00A63906" w:rsidRPr="0023512E" w:rsidRDefault="00FA0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43</w:t>
            </w:r>
          </w:p>
        </w:tc>
        <w:tc>
          <w:tcPr>
            <w:tcW w:w="408" w:type="pct"/>
            <w:tcBorders>
              <w:top w:val="nil"/>
              <w:left w:val="nil"/>
              <w:bottom w:val="nil"/>
              <w:right w:val="nil"/>
            </w:tcBorders>
            <w:shd w:val="clear" w:color="auto" w:fill="E1E8EB"/>
            <w:noWrap/>
            <w:vAlign w:val="center"/>
            <w:hideMark/>
          </w:tcPr>
          <w:p w14:paraId="756A6258" w14:textId="5737C7E0" w:rsidR="00A63906" w:rsidRPr="0023512E" w:rsidRDefault="00FA05B5" w:rsidP="00746D27">
            <w:pPr>
              <w:spacing w:after="0" w:line="240" w:lineRule="auto"/>
              <w:jc w:val="right"/>
              <w:rPr>
                <w:rFonts w:ascii="Arial" w:hAnsi="Arial" w:cs="Arial"/>
                <w:color w:val="auto"/>
                <w:sz w:val="16"/>
                <w:szCs w:val="16"/>
              </w:rPr>
            </w:pPr>
            <w:r w:rsidRPr="0023512E">
              <w:rPr>
                <w:rFonts w:ascii="Arial" w:hAnsi="Arial" w:cs="Arial"/>
                <w:color w:val="auto"/>
                <w:sz w:val="16"/>
                <w:szCs w:val="16"/>
              </w:rPr>
              <w:t>9.3</w:t>
            </w:r>
          </w:p>
        </w:tc>
      </w:tr>
      <w:tr w:rsidR="00A63906" w:rsidRPr="006368C8" w14:paraId="2021C95C" w14:textId="77777777" w:rsidTr="009955B8">
        <w:trPr>
          <w:trHeight w:val="225"/>
        </w:trPr>
        <w:tc>
          <w:tcPr>
            <w:tcW w:w="1849" w:type="pct"/>
            <w:tcBorders>
              <w:top w:val="nil"/>
              <w:left w:val="nil"/>
              <w:bottom w:val="nil"/>
              <w:right w:val="nil"/>
            </w:tcBorders>
            <w:shd w:val="clear" w:color="000000" w:fill="FFFFFF"/>
            <w:noWrap/>
            <w:vAlign w:val="center"/>
            <w:hideMark/>
          </w:tcPr>
          <w:p w14:paraId="2CE30AFA" w14:textId="55000C25" w:rsidR="00A63906" w:rsidRPr="006368C8" w:rsidRDefault="00A63906" w:rsidP="00746D27">
            <w:pPr>
              <w:spacing w:after="0" w:line="240" w:lineRule="auto"/>
              <w:jc w:val="left"/>
              <w:rPr>
                <w:rFonts w:ascii="Arial" w:hAnsi="Arial" w:cs="Arial"/>
                <w:i/>
                <w:iCs/>
                <w:sz w:val="16"/>
                <w:szCs w:val="16"/>
              </w:rPr>
            </w:pPr>
            <w:r w:rsidRPr="006368C8">
              <w:rPr>
                <w:rFonts w:ascii="Arial" w:hAnsi="Arial" w:cs="Arial"/>
                <w:i/>
                <w:iCs/>
                <w:sz w:val="16"/>
                <w:szCs w:val="16"/>
              </w:rPr>
              <w:t>Sub</w:t>
            </w:r>
            <w:r w:rsidR="003E7C79">
              <w:rPr>
                <w:rFonts w:ascii="Arial" w:hAnsi="Arial" w:cs="Arial"/>
                <w:i/>
                <w:iCs/>
                <w:sz w:val="16"/>
                <w:szCs w:val="16"/>
              </w:rPr>
              <w:t>–</w:t>
            </w:r>
            <w:r w:rsidRPr="006368C8">
              <w:rPr>
                <w:rFonts w:ascii="Arial" w:hAnsi="Arial" w:cs="Arial"/>
                <w:i/>
                <w:iCs/>
                <w:sz w:val="16"/>
                <w:szCs w:val="16"/>
              </w:rPr>
              <w:t xml:space="preserve">total </w:t>
            </w:r>
            <w:r w:rsidR="00065800">
              <w:rPr>
                <w:rFonts w:ascii="Arial" w:hAnsi="Arial" w:cs="Arial"/>
                <w:i/>
                <w:iCs/>
                <w:sz w:val="16"/>
                <w:szCs w:val="16"/>
              </w:rPr>
              <w:t>‘</w:t>
            </w:r>
            <w:r w:rsidRPr="006368C8">
              <w:rPr>
                <w:rFonts w:ascii="Arial" w:hAnsi="Arial" w:cs="Arial"/>
                <w:i/>
                <w:iCs/>
                <w:sz w:val="16"/>
                <w:szCs w:val="16"/>
              </w:rPr>
              <w:t>For development</w:t>
            </w:r>
            <w:r w:rsidR="00065800">
              <w:rPr>
                <w:rFonts w:ascii="Arial" w:hAnsi="Arial" w:cs="Arial"/>
                <w:i/>
                <w:iCs/>
                <w:sz w:val="16"/>
                <w:szCs w:val="16"/>
              </w:rPr>
              <w:t>’</w:t>
            </w:r>
          </w:p>
        </w:tc>
        <w:tc>
          <w:tcPr>
            <w:tcW w:w="377" w:type="pct"/>
            <w:tcBorders>
              <w:top w:val="single" w:sz="4" w:space="0" w:color="000000"/>
              <w:left w:val="nil"/>
              <w:bottom w:val="single" w:sz="4" w:space="0" w:color="000000"/>
              <w:right w:val="nil"/>
            </w:tcBorders>
            <w:shd w:val="clear" w:color="000000" w:fill="FFFFFF"/>
            <w:noWrap/>
            <w:vAlign w:val="center"/>
            <w:hideMark/>
          </w:tcPr>
          <w:p w14:paraId="1D28D584" w14:textId="11FBC427" w:rsidR="00A63906" w:rsidRPr="0023512E" w:rsidRDefault="00FA05B5" w:rsidP="00746D27">
            <w:pPr>
              <w:spacing w:after="0" w:line="240" w:lineRule="auto"/>
              <w:jc w:val="right"/>
              <w:rPr>
                <w:rFonts w:ascii="Arial" w:hAnsi="Arial" w:cs="Arial"/>
                <w:i/>
                <w:sz w:val="16"/>
                <w:szCs w:val="16"/>
              </w:rPr>
            </w:pPr>
            <w:r w:rsidRPr="0023512E">
              <w:rPr>
                <w:rFonts w:ascii="Arial" w:hAnsi="Arial" w:cs="Arial"/>
                <w:i/>
                <w:sz w:val="16"/>
                <w:szCs w:val="16"/>
              </w:rPr>
              <w:t>200</w:t>
            </w:r>
          </w:p>
        </w:tc>
        <w:tc>
          <w:tcPr>
            <w:tcW w:w="412" w:type="pct"/>
            <w:tcBorders>
              <w:top w:val="single" w:sz="4" w:space="0" w:color="000000"/>
              <w:left w:val="nil"/>
              <w:bottom w:val="single" w:sz="4" w:space="0" w:color="000000"/>
              <w:right w:val="nil"/>
            </w:tcBorders>
            <w:shd w:val="clear" w:color="000000" w:fill="FFFFFF"/>
            <w:noWrap/>
            <w:vAlign w:val="center"/>
            <w:hideMark/>
          </w:tcPr>
          <w:p w14:paraId="4293E160" w14:textId="02A0D59A" w:rsidR="00A63906" w:rsidRPr="0023512E" w:rsidRDefault="00FA05B5" w:rsidP="00746D27">
            <w:pPr>
              <w:spacing w:after="0" w:line="240" w:lineRule="auto"/>
              <w:jc w:val="right"/>
              <w:rPr>
                <w:rFonts w:ascii="Arial" w:hAnsi="Arial" w:cs="Arial"/>
                <w:i/>
                <w:sz w:val="16"/>
                <w:szCs w:val="16"/>
              </w:rPr>
            </w:pPr>
            <w:r w:rsidRPr="0023512E">
              <w:rPr>
                <w:rFonts w:ascii="Arial" w:hAnsi="Arial" w:cs="Arial"/>
                <w:i/>
                <w:sz w:val="16"/>
                <w:szCs w:val="16"/>
              </w:rPr>
              <w:t>14</w:t>
            </w:r>
          </w:p>
        </w:tc>
        <w:tc>
          <w:tcPr>
            <w:tcW w:w="377" w:type="pct"/>
            <w:tcBorders>
              <w:top w:val="single" w:sz="4" w:space="0" w:color="auto"/>
              <w:left w:val="nil"/>
              <w:bottom w:val="single" w:sz="4" w:space="0" w:color="auto"/>
              <w:right w:val="nil"/>
            </w:tcBorders>
            <w:shd w:val="clear" w:color="000000" w:fill="FFFFFF"/>
            <w:noWrap/>
            <w:vAlign w:val="center"/>
            <w:hideMark/>
          </w:tcPr>
          <w:p w14:paraId="3E39F119" w14:textId="6F2F28B8" w:rsidR="00A63906" w:rsidRPr="0023512E" w:rsidRDefault="00FA05B5" w:rsidP="00746D27">
            <w:pPr>
              <w:spacing w:after="0" w:line="240" w:lineRule="auto"/>
              <w:jc w:val="right"/>
              <w:rPr>
                <w:rFonts w:ascii="Arial" w:hAnsi="Arial" w:cs="Arial"/>
                <w:i/>
                <w:color w:val="auto"/>
                <w:sz w:val="16"/>
                <w:szCs w:val="16"/>
              </w:rPr>
            </w:pPr>
            <w:r w:rsidRPr="0023512E">
              <w:rPr>
                <w:rFonts w:ascii="Arial" w:hAnsi="Arial" w:cs="Arial"/>
                <w:i/>
                <w:color w:val="auto"/>
                <w:sz w:val="16"/>
                <w:szCs w:val="16"/>
              </w:rPr>
              <w:t>266</w:t>
            </w:r>
          </w:p>
        </w:tc>
        <w:tc>
          <w:tcPr>
            <w:tcW w:w="412" w:type="pct"/>
            <w:tcBorders>
              <w:top w:val="single" w:sz="4" w:space="0" w:color="auto"/>
              <w:left w:val="nil"/>
              <w:bottom w:val="single" w:sz="4" w:space="0" w:color="auto"/>
              <w:right w:val="nil"/>
            </w:tcBorders>
            <w:shd w:val="clear" w:color="000000" w:fill="FFFFFF"/>
            <w:noWrap/>
            <w:vAlign w:val="center"/>
            <w:hideMark/>
          </w:tcPr>
          <w:p w14:paraId="4FE32206" w14:textId="7F3A0863" w:rsidR="00A63906" w:rsidRPr="0023512E" w:rsidRDefault="00FA05B5" w:rsidP="00746D27">
            <w:pPr>
              <w:spacing w:after="0" w:line="240" w:lineRule="auto"/>
              <w:jc w:val="right"/>
              <w:rPr>
                <w:rFonts w:ascii="Arial" w:hAnsi="Arial" w:cs="Arial"/>
                <w:i/>
                <w:color w:val="auto"/>
                <w:sz w:val="16"/>
                <w:szCs w:val="16"/>
              </w:rPr>
            </w:pPr>
            <w:r w:rsidRPr="0023512E">
              <w:rPr>
                <w:rFonts w:ascii="Arial" w:hAnsi="Arial" w:cs="Arial"/>
                <w:i/>
                <w:color w:val="auto"/>
                <w:sz w:val="16"/>
                <w:szCs w:val="16"/>
              </w:rPr>
              <w:t>14.7</w:t>
            </w:r>
          </w:p>
        </w:tc>
        <w:tc>
          <w:tcPr>
            <w:tcW w:w="377" w:type="pct"/>
            <w:tcBorders>
              <w:top w:val="single" w:sz="4" w:space="0" w:color="auto"/>
              <w:left w:val="nil"/>
              <w:bottom w:val="single" w:sz="4" w:space="0" w:color="auto"/>
              <w:right w:val="nil"/>
            </w:tcBorders>
            <w:shd w:val="clear" w:color="000000" w:fill="FFFFFF"/>
            <w:noWrap/>
            <w:vAlign w:val="center"/>
            <w:hideMark/>
          </w:tcPr>
          <w:p w14:paraId="579D2721" w14:textId="7060C44F" w:rsidR="00A63906" w:rsidRPr="0023512E" w:rsidRDefault="00FA05B5" w:rsidP="00746D27">
            <w:pPr>
              <w:spacing w:after="0" w:line="240" w:lineRule="auto"/>
              <w:jc w:val="right"/>
              <w:rPr>
                <w:rFonts w:ascii="Arial" w:hAnsi="Arial" w:cs="Arial"/>
                <w:i/>
                <w:color w:val="auto"/>
                <w:sz w:val="16"/>
                <w:szCs w:val="16"/>
              </w:rPr>
            </w:pPr>
            <w:r w:rsidRPr="0023512E">
              <w:rPr>
                <w:rFonts w:ascii="Arial" w:hAnsi="Arial" w:cs="Arial"/>
                <w:i/>
                <w:color w:val="auto"/>
                <w:sz w:val="16"/>
                <w:szCs w:val="16"/>
              </w:rPr>
              <w:t>193</w:t>
            </w:r>
          </w:p>
        </w:tc>
        <w:tc>
          <w:tcPr>
            <w:tcW w:w="412" w:type="pct"/>
            <w:tcBorders>
              <w:top w:val="single" w:sz="4" w:space="0" w:color="auto"/>
              <w:left w:val="nil"/>
              <w:bottom w:val="single" w:sz="4" w:space="0" w:color="auto"/>
              <w:right w:val="nil"/>
            </w:tcBorders>
            <w:shd w:val="clear" w:color="000000" w:fill="FFFFFF"/>
            <w:noWrap/>
            <w:vAlign w:val="center"/>
            <w:hideMark/>
          </w:tcPr>
          <w:p w14:paraId="42F30CDB" w14:textId="4B57FEC3" w:rsidR="00A63906" w:rsidRPr="0023512E" w:rsidRDefault="00FA05B5" w:rsidP="00746D27">
            <w:pPr>
              <w:spacing w:after="0" w:line="240" w:lineRule="auto"/>
              <w:jc w:val="right"/>
              <w:rPr>
                <w:rFonts w:ascii="Arial" w:hAnsi="Arial" w:cs="Arial"/>
                <w:i/>
                <w:color w:val="auto"/>
                <w:sz w:val="16"/>
                <w:szCs w:val="16"/>
              </w:rPr>
            </w:pPr>
            <w:r w:rsidRPr="0023512E">
              <w:rPr>
                <w:rFonts w:ascii="Arial" w:hAnsi="Arial" w:cs="Arial"/>
                <w:i/>
                <w:color w:val="auto"/>
                <w:sz w:val="16"/>
                <w:szCs w:val="16"/>
              </w:rPr>
              <w:t>10.6</w:t>
            </w:r>
          </w:p>
        </w:tc>
        <w:tc>
          <w:tcPr>
            <w:tcW w:w="377" w:type="pct"/>
            <w:tcBorders>
              <w:top w:val="single" w:sz="4" w:space="0" w:color="auto"/>
              <w:left w:val="nil"/>
              <w:bottom w:val="single" w:sz="4" w:space="0" w:color="auto"/>
              <w:right w:val="nil"/>
            </w:tcBorders>
            <w:shd w:val="clear" w:color="auto" w:fill="E1E8EB"/>
            <w:noWrap/>
            <w:vAlign w:val="center"/>
            <w:hideMark/>
          </w:tcPr>
          <w:p w14:paraId="01410EAB" w14:textId="09D5669F" w:rsidR="00A63906" w:rsidRPr="0023512E" w:rsidRDefault="00FA05B5" w:rsidP="00746D27">
            <w:pPr>
              <w:spacing w:after="0" w:line="240" w:lineRule="auto"/>
              <w:jc w:val="right"/>
              <w:rPr>
                <w:rFonts w:ascii="Arial" w:hAnsi="Arial" w:cs="Arial"/>
                <w:i/>
                <w:color w:val="auto"/>
                <w:sz w:val="16"/>
                <w:szCs w:val="16"/>
              </w:rPr>
            </w:pPr>
            <w:r w:rsidRPr="0023512E">
              <w:rPr>
                <w:rFonts w:ascii="Arial" w:hAnsi="Arial" w:cs="Arial"/>
                <w:i/>
                <w:color w:val="auto"/>
                <w:sz w:val="16"/>
                <w:szCs w:val="16"/>
              </w:rPr>
              <w:t>205</w:t>
            </w:r>
          </w:p>
        </w:tc>
        <w:tc>
          <w:tcPr>
            <w:tcW w:w="408" w:type="pct"/>
            <w:tcBorders>
              <w:top w:val="single" w:sz="4" w:space="0" w:color="auto"/>
              <w:left w:val="nil"/>
              <w:bottom w:val="single" w:sz="4" w:space="0" w:color="auto"/>
              <w:right w:val="nil"/>
            </w:tcBorders>
            <w:shd w:val="clear" w:color="auto" w:fill="E1E8EB"/>
            <w:noWrap/>
            <w:vAlign w:val="center"/>
            <w:hideMark/>
          </w:tcPr>
          <w:p w14:paraId="37DC792F" w14:textId="3FCA9328" w:rsidR="00A63906" w:rsidRPr="0023512E" w:rsidRDefault="00FA05B5" w:rsidP="00746D27">
            <w:pPr>
              <w:spacing w:after="0" w:line="240" w:lineRule="auto"/>
              <w:jc w:val="right"/>
              <w:rPr>
                <w:rFonts w:ascii="Arial" w:hAnsi="Arial" w:cs="Arial"/>
                <w:i/>
                <w:color w:val="auto"/>
                <w:sz w:val="16"/>
                <w:szCs w:val="16"/>
              </w:rPr>
            </w:pPr>
            <w:r w:rsidRPr="0023512E">
              <w:rPr>
                <w:rFonts w:ascii="Arial" w:hAnsi="Arial" w:cs="Arial"/>
                <w:i/>
                <w:color w:val="auto"/>
                <w:sz w:val="16"/>
                <w:szCs w:val="16"/>
              </w:rPr>
              <w:t>11.6</w:t>
            </w:r>
          </w:p>
        </w:tc>
      </w:tr>
      <w:tr w:rsidR="00A63906" w:rsidRPr="006368C8" w14:paraId="7316F0B1" w14:textId="77777777" w:rsidTr="009955B8">
        <w:trPr>
          <w:trHeight w:val="225"/>
        </w:trPr>
        <w:tc>
          <w:tcPr>
            <w:tcW w:w="1849" w:type="pct"/>
            <w:tcBorders>
              <w:top w:val="nil"/>
              <w:left w:val="nil"/>
              <w:bottom w:val="single" w:sz="4" w:space="0" w:color="auto"/>
              <w:right w:val="nil"/>
            </w:tcBorders>
            <w:shd w:val="clear" w:color="000000" w:fill="FFFFFF"/>
            <w:noWrap/>
            <w:vAlign w:val="center"/>
            <w:hideMark/>
          </w:tcPr>
          <w:p w14:paraId="4B367FB9" w14:textId="77777777" w:rsidR="00A63906" w:rsidRPr="006368C8" w:rsidRDefault="00A63906" w:rsidP="00746D27">
            <w:pPr>
              <w:spacing w:after="0" w:line="240" w:lineRule="auto"/>
              <w:jc w:val="left"/>
              <w:rPr>
                <w:rFonts w:ascii="Arial" w:hAnsi="Arial" w:cs="Arial"/>
                <w:b/>
                <w:bCs/>
                <w:sz w:val="16"/>
                <w:szCs w:val="16"/>
              </w:rPr>
            </w:pPr>
            <w:r w:rsidRPr="006368C8">
              <w:rPr>
                <w:rFonts w:ascii="Arial" w:hAnsi="Arial" w:cs="Arial"/>
                <w:b/>
                <w:bCs/>
                <w:sz w:val="16"/>
                <w:szCs w:val="16"/>
              </w:rPr>
              <w:t>Total commercial</w:t>
            </w:r>
          </w:p>
        </w:tc>
        <w:tc>
          <w:tcPr>
            <w:tcW w:w="377" w:type="pct"/>
            <w:tcBorders>
              <w:top w:val="nil"/>
              <w:left w:val="nil"/>
              <w:bottom w:val="single" w:sz="4" w:space="0" w:color="auto"/>
              <w:right w:val="nil"/>
            </w:tcBorders>
            <w:shd w:val="clear" w:color="000000" w:fill="FFFFFF"/>
            <w:noWrap/>
            <w:vAlign w:val="center"/>
            <w:hideMark/>
          </w:tcPr>
          <w:p w14:paraId="04CEC9FB" w14:textId="597C2CB6" w:rsidR="00A63906" w:rsidRPr="0023512E" w:rsidRDefault="00FA05B5" w:rsidP="00746D27">
            <w:pPr>
              <w:spacing w:after="0" w:line="240" w:lineRule="auto"/>
              <w:jc w:val="right"/>
              <w:rPr>
                <w:rFonts w:ascii="Arial" w:hAnsi="Arial" w:cs="Arial"/>
                <w:b/>
                <w:sz w:val="16"/>
                <w:szCs w:val="16"/>
              </w:rPr>
            </w:pPr>
            <w:r w:rsidRPr="0023512E">
              <w:rPr>
                <w:rFonts w:ascii="Arial" w:hAnsi="Arial" w:cs="Arial"/>
                <w:b/>
                <w:sz w:val="16"/>
                <w:szCs w:val="16"/>
              </w:rPr>
              <w:t>391</w:t>
            </w:r>
          </w:p>
        </w:tc>
        <w:tc>
          <w:tcPr>
            <w:tcW w:w="412" w:type="pct"/>
            <w:tcBorders>
              <w:top w:val="nil"/>
              <w:left w:val="nil"/>
              <w:bottom w:val="single" w:sz="4" w:space="0" w:color="auto"/>
              <w:right w:val="nil"/>
            </w:tcBorders>
            <w:shd w:val="clear" w:color="000000" w:fill="FFFFFF"/>
            <w:noWrap/>
            <w:vAlign w:val="center"/>
            <w:hideMark/>
          </w:tcPr>
          <w:p w14:paraId="0C2759A2" w14:textId="0BCC3164" w:rsidR="00A63906" w:rsidRPr="0023512E" w:rsidRDefault="00FA05B5" w:rsidP="00746D27">
            <w:pPr>
              <w:spacing w:after="0" w:line="240" w:lineRule="auto"/>
              <w:jc w:val="right"/>
              <w:rPr>
                <w:rFonts w:ascii="Arial" w:hAnsi="Arial" w:cs="Arial"/>
                <w:b/>
                <w:sz w:val="16"/>
                <w:szCs w:val="16"/>
              </w:rPr>
            </w:pPr>
            <w:r w:rsidRPr="0023512E">
              <w:rPr>
                <w:rFonts w:ascii="Arial" w:hAnsi="Arial" w:cs="Arial"/>
                <w:b/>
                <w:sz w:val="16"/>
                <w:szCs w:val="16"/>
              </w:rPr>
              <w:t>39.5</w:t>
            </w:r>
          </w:p>
        </w:tc>
        <w:tc>
          <w:tcPr>
            <w:tcW w:w="377" w:type="pct"/>
            <w:tcBorders>
              <w:top w:val="nil"/>
              <w:left w:val="nil"/>
              <w:bottom w:val="single" w:sz="4" w:space="0" w:color="auto"/>
              <w:right w:val="nil"/>
            </w:tcBorders>
            <w:shd w:val="clear" w:color="000000" w:fill="FFFFFF"/>
            <w:noWrap/>
            <w:vAlign w:val="center"/>
            <w:hideMark/>
          </w:tcPr>
          <w:p w14:paraId="5CA65F36" w14:textId="338F72B1" w:rsidR="00A63906" w:rsidRPr="0023512E" w:rsidRDefault="00FA05B5" w:rsidP="00746D27">
            <w:pPr>
              <w:spacing w:after="0" w:line="240" w:lineRule="auto"/>
              <w:jc w:val="right"/>
              <w:rPr>
                <w:rFonts w:ascii="Arial" w:hAnsi="Arial" w:cs="Arial"/>
                <w:b/>
                <w:color w:val="auto"/>
                <w:sz w:val="16"/>
                <w:szCs w:val="16"/>
              </w:rPr>
            </w:pPr>
            <w:r w:rsidRPr="0023512E">
              <w:rPr>
                <w:rFonts w:ascii="Arial" w:hAnsi="Arial" w:cs="Arial"/>
                <w:b/>
                <w:color w:val="auto"/>
                <w:sz w:val="16"/>
                <w:szCs w:val="16"/>
              </w:rPr>
              <w:t>487</w:t>
            </w:r>
          </w:p>
        </w:tc>
        <w:tc>
          <w:tcPr>
            <w:tcW w:w="412" w:type="pct"/>
            <w:tcBorders>
              <w:top w:val="nil"/>
              <w:left w:val="nil"/>
              <w:bottom w:val="single" w:sz="4" w:space="0" w:color="auto"/>
              <w:right w:val="nil"/>
            </w:tcBorders>
            <w:shd w:val="clear" w:color="000000" w:fill="FFFFFF"/>
            <w:noWrap/>
            <w:vAlign w:val="center"/>
            <w:hideMark/>
          </w:tcPr>
          <w:p w14:paraId="759F7FC4" w14:textId="212FADF8" w:rsidR="00A63906" w:rsidRPr="0023512E" w:rsidRDefault="00FA05B5" w:rsidP="00746D27">
            <w:pPr>
              <w:spacing w:after="0" w:line="240" w:lineRule="auto"/>
              <w:jc w:val="right"/>
              <w:rPr>
                <w:rFonts w:ascii="Arial" w:hAnsi="Arial" w:cs="Arial"/>
                <w:b/>
                <w:color w:val="auto"/>
                <w:sz w:val="16"/>
                <w:szCs w:val="16"/>
              </w:rPr>
            </w:pPr>
            <w:r w:rsidRPr="0023512E">
              <w:rPr>
                <w:rFonts w:ascii="Arial" w:hAnsi="Arial" w:cs="Arial"/>
                <w:b/>
                <w:color w:val="auto"/>
                <w:sz w:val="16"/>
                <w:szCs w:val="16"/>
              </w:rPr>
              <w:t>73</w:t>
            </w:r>
          </w:p>
        </w:tc>
        <w:tc>
          <w:tcPr>
            <w:tcW w:w="377" w:type="pct"/>
            <w:tcBorders>
              <w:top w:val="nil"/>
              <w:left w:val="nil"/>
              <w:bottom w:val="single" w:sz="4" w:space="0" w:color="auto"/>
              <w:right w:val="nil"/>
            </w:tcBorders>
            <w:shd w:val="clear" w:color="000000" w:fill="FFFFFF"/>
            <w:noWrap/>
            <w:vAlign w:val="center"/>
            <w:hideMark/>
          </w:tcPr>
          <w:p w14:paraId="02F58AA7" w14:textId="3D31C961" w:rsidR="00A63906" w:rsidRPr="0023512E" w:rsidRDefault="00FA05B5" w:rsidP="00746D27">
            <w:pPr>
              <w:spacing w:after="0" w:line="240" w:lineRule="auto"/>
              <w:jc w:val="right"/>
              <w:rPr>
                <w:rFonts w:ascii="Arial" w:hAnsi="Arial" w:cs="Arial"/>
                <w:b/>
                <w:color w:val="auto"/>
                <w:sz w:val="16"/>
                <w:szCs w:val="16"/>
              </w:rPr>
            </w:pPr>
            <w:r w:rsidRPr="0023512E">
              <w:rPr>
                <w:rFonts w:ascii="Arial" w:hAnsi="Arial" w:cs="Arial"/>
                <w:b/>
                <w:color w:val="auto"/>
                <w:sz w:val="16"/>
                <w:szCs w:val="16"/>
              </w:rPr>
              <w:t>440</w:t>
            </w:r>
          </w:p>
        </w:tc>
        <w:tc>
          <w:tcPr>
            <w:tcW w:w="412" w:type="pct"/>
            <w:tcBorders>
              <w:top w:val="nil"/>
              <w:left w:val="nil"/>
              <w:bottom w:val="single" w:sz="4" w:space="0" w:color="auto"/>
              <w:right w:val="nil"/>
            </w:tcBorders>
            <w:shd w:val="clear" w:color="000000" w:fill="FFFFFF"/>
            <w:noWrap/>
            <w:vAlign w:val="center"/>
            <w:hideMark/>
          </w:tcPr>
          <w:p w14:paraId="20D4D34E" w14:textId="3A075040" w:rsidR="00A63906" w:rsidRPr="0023512E" w:rsidRDefault="00FA05B5" w:rsidP="00746D27">
            <w:pPr>
              <w:spacing w:after="0" w:line="240" w:lineRule="auto"/>
              <w:jc w:val="right"/>
              <w:rPr>
                <w:rFonts w:ascii="Arial" w:hAnsi="Arial" w:cs="Arial"/>
                <w:b/>
                <w:color w:val="auto"/>
                <w:sz w:val="16"/>
                <w:szCs w:val="16"/>
              </w:rPr>
            </w:pPr>
            <w:r w:rsidRPr="0023512E">
              <w:rPr>
                <w:rFonts w:ascii="Arial" w:hAnsi="Arial" w:cs="Arial"/>
                <w:b/>
                <w:color w:val="auto"/>
                <w:sz w:val="16"/>
                <w:szCs w:val="16"/>
              </w:rPr>
              <w:t>38.8</w:t>
            </w:r>
          </w:p>
        </w:tc>
        <w:tc>
          <w:tcPr>
            <w:tcW w:w="377" w:type="pct"/>
            <w:tcBorders>
              <w:top w:val="nil"/>
              <w:left w:val="nil"/>
              <w:bottom w:val="single" w:sz="4" w:space="0" w:color="auto"/>
              <w:right w:val="nil"/>
            </w:tcBorders>
            <w:shd w:val="clear" w:color="auto" w:fill="E1E8EB"/>
            <w:noWrap/>
            <w:vAlign w:val="center"/>
            <w:hideMark/>
          </w:tcPr>
          <w:p w14:paraId="1FBB1861" w14:textId="459E8210" w:rsidR="00A63906" w:rsidRPr="0023512E" w:rsidRDefault="00FA05B5" w:rsidP="00746D27">
            <w:pPr>
              <w:spacing w:after="0" w:line="240" w:lineRule="auto"/>
              <w:jc w:val="right"/>
              <w:rPr>
                <w:rFonts w:ascii="Arial" w:hAnsi="Arial" w:cs="Arial"/>
                <w:b/>
                <w:color w:val="auto"/>
                <w:sz w:val="16"/>
                <w:szCs w:val="16"/>
              </w:rPr>
            </w:pPr>
            <w:r w:rsidRPr="0023512E">
              <w:rPr>
                <w:rFonts w:ascii="Arial" w:hAnsi="Arial" w:cs="Arial"/>
                <w:b/>
                <w:color w:val="auto"/>
                <w:sz w:val="16"/>
                <w:szCs w:val="16"/>
              </w:rPr>
              <w:t>862</w:t>
            </w:r>
          </w:p>
        </w:tc>
        <w:tc>
          <w:tcPr>
            <w:tcW w:w="408" w:type="pct"/>
            <w:tcBorders>
              <w:top w:val="nil"/>
              <w:left w:val="nil"/>
              <w:bottom w:val="single" w:sz="4" w:space="0" w:color="auto"/>
              <w:right w:val="nil"/>
            </w:tcBorders>
            <w:shd w:val="clear" w:color="auto" w:fill="E1E8EB"/>
            <w:noWrap/>
            <w:vAlign w:val="center"/>
            <w:hideMark/>
          </w:tcPr>
          <w:p w14:paraId="67A2FED4" w14:textId="6B852F77" w:rsidR="00A63906" w:rsidRPr="0023512E" w:rsidRDefault="00FA05B5" w:rsidP="00746D27">
            <w:pPr>
              <w:spacing w:after="0" w:line="240" w:lineRule="auto"/>
              <w:jc w:val="right"/>
              <w:rPr>
                <w:rFonts w:ascii="Arial" w:hAnsi="Arial" w:cs="Arial"/>
                <w:b/>
                <w:color w:val="auto"/>
                <w:sz w:val="16"/>
                <w:szCs w:val="16"/>
              </w:rPr>
            </w:pPr>
            <w:r w:rsidRPr="0023512E">
              <w:rPr>
                <w:rFonts w:ascii="Arial" w:hAnsi="Arial" w:cs="Arial"/>
                <w:b/>
                <w:color w:val="auto"/>
                <w:sz w:val="16"/>
                <w:szCs w:val="16"/>
              </w:rPr>
              <w:t>82</w:t>
            </w:r>
            <w:r w:rsidR="00440FE6">
              <w:rPr>
                <w:rFonts w:ascii="Arial" w:hAnsi="Arial" w:cs="Arial"/>
                <w:b/>
                <w:color w:val="auto"/>
                <w:sz w:val="16"/>
                <w:szCs w:val="16"/>
              </w:rPr>
              <w:t>.0</w:t>
            </w:r>
          </w:p>
        </w:tc>
      </w:tr>
    </w:tbl>
    <w:p w14:paraId="06D60DE1" w14:textId="0EB2F415" w:rsidR="00A63906" w:rsidRDefault="00A63906" w:rsidP="00A63906">
      <w:pPr>
        <w:pStyle w:val="ChartandTableFootnoteAlpha"/>
        <w:numPr>
          <w:ilvl w:val="0"/>
          <w:numId w:val="0"/>
        </w:numPr>
      </w:pPr>
      <w:r w:rsidRPr="00BF48CD">
        <w:t xml:space="preserve">Before republishing this data or comparing between years, thoroughly review the methodological and data caveats in Appendix </w:t>
      </w:r>
      <w:r w:rsidRPr="0023512E">
        <w:t>B.</w:t>
      </w:r>
      <w:r w:rsidRPr="00BF48CD">
        <w:t xml:space="preserve"> </w:t>
      </w:r>
    </w:p>
    <w:p w14:paraId="66054BEA" w14:textId="19EAE420" w:rsidR="00A63906" w:rsidRPr="00A63906" w:rsidRDefault="00A63906" w:rsidP="009955B8">
      <w:pPr>
        <w:pStyle w:val="SingleParagraph"/>
      </w:pPr>
    </w:p>
    <w:p w14:paraId="28472045" w14:textId="074DAE2A" w:rsidR="00F07785" w:rsidRPr="009955B8" w:rsidRDefault="00F07785" w:rsidP="009955B8">
      <w:pPr>
        <w:pStyle w:val="TableMainHeading"/>
      </w:pPr>
      <w:bookmarkStart w:id="134" w:name="_Toc89939946"/>
      <w:r w:rsidRPr="009955B8">
        <w:t xml:space="preserve">Table </w:t>
      </w:r>
      <w:fldSimple w:instr=" STYLEREF 1 \s ">
        <w:r w:rsidR="0019342F">
          <w:rPr>
            <w:noProof/>
          </w:rPr>
          <w:t>3</w:t>
        </w:r>
      </w:fldSimple>
      <w:r w:rsidR="009812FE" w:rsidRPr="009955B8">
        <w:t>.</w:t>
      </w:r>
      <w:fldSimple w:instr=" SEQ Table \* ARABIC \s 1 ">
        <w:r w:rsidR="0019342F">
          <w:rPr>
            <w:noProof/>
          </w:rPr>
          <w:t>12</w:t>
        </w:r>
      </w:fldSimple>
      <w:r w:rsidRPr="009955B8">
        <w:t xml:space="preserve">: State and territory distribution of proposed investment in commercial real estate in </w:t>
      </w:r>
      <w:r w:rsidR="00D76ED2">
        <w:t>2020</w:t>
      </w:r>
      <w:r w:rsidR="00D76ED2">
        <w:noBreakHyphen/>
        <w:t>21</w:t>
      </w:r>
      <w:bookmarkEnd w:id="134"/>
    </w:p>
    <w:tbl>
      <w:tblPr>
        <w:tblW w:w="5000" w:type="pct"/>
        <w:tblLook w:val="04A0" w:firstRow="1" w:lastRow="0" w:firstColumn="1" w:lastColumn="0" w:noHBand="0" w:noVBand="1"/>
      </w:tblPr>
      <w:tblGrid>
        <w:gridCol w:w="1442"/>
        <w:gridCol w:w="1056"/>
        <w:gridCol w:w="261"/>
        <w:gridCol w:w="1116"/>
        <w:gridCol w:w="1753"/>
        <w:gridCol w:w="464"/>
        <w:gridCol w:w="1618"/>
      </w:tblGrid>
      <w:tr w:rsidR="00A63906" w:rsidRPr="00A521D5" w14:paraId="6CFBF8A1" w14:textId="77777777" w:rsidTr="00746D27">
        <w:trPr>
          <w:cantSplit/>
          <w:trHeight w:val="225"/>
        </w:trPr>
        <w:tc>
          <w:tcPr>
            <w:tcW w:w="935" w:type="pct"/>
            <w:tcBorders>
              <w:top w:val="single" w:sz="4" w:space="0" w:color="auto"/>
              <w:left w:val="nil"/>
              <w:bottom w:val="nil"/>
              <w:right w:val="nil"/>
            </w:tcBorders>
            <w:shd w:val="clear" w:color="000000" w:fill="FFFFFF"/>
            <w:noWrap/>
            <w:vAlign w:val="center"/>
            <w:hideMark/>
          </w:tcPr>
          <w:p w14:paraId="743E2ECA" w14:textId="77777777" w:rsidR="00A63906" w:rsidRPr="00A521D5" w:rsidRDefault="00A63906" w:rsidP="00746D27">
            <w:pPr>
              <w:keepNext/>
              <w:keepLines/>
              <w:spacing w:after="0" w:line="240" w:lineRule="auto"/>
              <w:jc w:val="left"/>
              <w:rPr>
                <w:rFonts w:ascii="Arial" w:hAnsi="Arial" w:cs="Arial"/>
                <w:sz w:val="16"/>
                <w:szCs w:val="16"/>
              </w:rPr>
            </w:pPr>
            <w:r w:rsidRPr="00A521D5">
              <w:rPr>
                <w:rFonts w:ascii="Arial" w:hAnsi="Arial" w:cs="Arial"/>
                <w:sz w:val="16"/>
                <w:szCs w:val="16"/>
              </w:rPr>
              <w:t> </w:t>
            </w:r>
          </w:p>
        </w:tc>
        <w:tc>
          <w:tcPr>
            <w:tcW w:w="685" w:type="pct"/>
            <w:tcBorders>
              <w:top w:val="single" w:sz="4" w:space="0" w:color="auto"/>
              <w:left w:val="nil"/>
              <w:bottom w:val="nil"/>
              <w:right w:val="nil"/>
            </w:tcBorders>
            <w:shd w:val="clear" w:color="000000" w:fill="FFFFFF"/>
            <w:noWrap/>
            <w:vAlign w:val="center"/>
            <w:hideMark/>
          </w:tcPr>
          <w:p w14:paraId="1095F2F9" w14:textId="77777777" w:rsidR="00A63906" w:rsidRPr="00A521D5" w:rsidRDefault="00A63906" w:rsidP="00746D27">
            <w:pPr>
              <w:keepNext/>
              <w:keepLines/>
              <w:spacing w:after="0" w:line="240" w:lineRule="auto"/>
              <w:jc w:val="left"/>
              <w:rPr>
                <w:rFonts w:ascii="Arial" w:hAnsi="Arial" w:cs="Arial"/>
                <w:sz w:val="16"/>
                <w:szCs w:val="16"/>
              </w:rPr>
            </w:pPr>
            <w:r w:rsidRPr="00A521D5">
              <w:rPr>
                <w:rFonts w:ascii="Arial" w:hAnsi="Arial" w:cs="Arial"/>
                <w:sz w:val="16"/>
                <w:szCs w:val="16"/>
              </w:rPr>
              <w:t> </w:t>
            </w:r>
          </w:p>
        </w:tc>
        <w:tc>
          <w:tcPr>
            <w:tcW w:w="169" w:type="pct"/>
            <w:tcBorders>
              <w:top w:val="single" w:sz="4" w:space="0" w:color="auto"/>
              <w:left w:val="nil"/>
              <w:bottom w:val="nil"/>
              <w:right w:val="nil"/>
            </w:tcBorders>
            <w:shd w:val="clear" w:color="000000" w:fill="FFFFFF"/>
            <w:noWrap/>
            <w:vAlign w:val="center"/>
            <w:hideMark/>
          </w:tcPr>
          <w:p w14:paraId="6396EA09" w14:textId="77777777" w:rsidR="00A63906" w:rsidRPr="00A521D5" w:rsidRDefault="00A63906" w:rsidP="00746D27">
            <w:pPr>
              <w:keepNext/>
              <w:keepLines/>
              <w:spacing w:after="0" w:line="240" w:lineRule="auto"/>
              <w:jc w:val="left"/>
              <w:rPr>
                <w:rFonts w:ascii="Arial" w:hAnsi="Arial" w:cs="Arial"/>
                <w:sz w:val="16"/>
                <w:szCs w:val="16"/>
              </w:rPr>
            </w:pPr>
            <w:r w:rsidRPr="00A521D5">
              <w:rPr>
                <w:rFonts w:ascii="Arial" w:hAnsi="Arial" w:cs="Arial"/>
                <w:sz w:val="16"/>
                <w:szCs w:val="16"/>
              </w:rPr>
              <w:t> </w:t>
            </w:r>
          </w:p>
        </w:tc>
        <w:tc>
          <w:tcPr>
            <w:tcW w:w="1861" w:type="pct"/>
            <w:gridSpan w:val="2"/>
            <w:tcBorders>
              <w:top w:val="single" w:sz="4" w:space="0" w:color="auto"/>
              <w:left w:val="nil"/>
              <w:bottom w:val="nil"/>
              <w:right w:val="nil"/>
            </w:tcBorders>
            <w:shd w:val="clear" w:color="000000" w:fill="FFFFFF"/>
            <w:noWrap/>
            <w:vAlign w:val="center"/>
            <w:hideMark/>
          </w:tcPr>
          <w:p w14:paraId="2F9D4239" w14:textId="77777777" w:rsidR="00A63906" w:rsidRPr="00A521D5" w:rsidRDefault="00A63906" w:rsidP="00746D27">
            <w:pPr>
              <w:keepNext/>
              <w:keepLines/>
              <w:spacing w:after="0" w:line="240" w:lineRule="auto"/>
              <w:jc w:val="center"/>
              <w:rPr>
                <w:rFonts w:ascii="Arial" w:hAnsi="Arial" w:cs="Arial"/>
                <w:sz w:val="16"/>
                <w:szCs w:val="16"/>
              </w:rPr>
            </w:pPr>
            <w:r w:rsidRPr="00A521D5">
              <w:rPr>
                <w:rFonts w:ascii="Arial" w:hAnsi="Arial" w:cs="Arial"/>
                <w:sz w:val="16"/>
                <w:szCs w:val="16"/>
              </w:rPr>
              <w:t>Commercial</w:t>
            </w:r>
          </w:p>
        </w:tc>
        <w:tc>
          <w:tcPr>
            <w:tcW w:w="301" w:type="pct"/>
            <w:tcBorders>
              <w:top w:val="single" w:sz="4" w:space="0" w:color="auto"/>
              <w:left w:val="nil"/>
              <w:bottom w:val="nil"/>
              <w:right w:val="nil"/>
            </w:tcBorders>
            <w:shd w:val="clear" w:color="000000" w:fill="FFFFFF"/>
            <w:noWrap/>
            <w:vAlign w:val="center"/>
            <w:hideMark/>
          </w:tcPr>
          <w:p w14:paraId="3F024E36" w14:textId="77777777" w:rsidR="00A63906" w:rsidRPr="00A521D5" w:rsidRDefault="00A63906" w:rsidP="00746D27">
            <w:pPr>
              <w:keepNext/>
              <w:keepLines/>
              <w:spacing w:after="0" w:line="240" w:lineRule="auto"/>
              <w:jc w:val="center"/>
              <w:rPr>
                <w:rFonts w:ascii="Arial" w:hAnsi="Arial" w:cs="Arial"/>
                <w:sz w:val="16"/>
                <w:szCs w:val="16"/>
              </w:rPr>
            </w:pPr>
            <w:r w:rsidRPr="00A521D5">
              <w:rPr>
                <w:rFonts w:ascii="Arial" w:hAnsi="Arial" w:cs="Arial"/>
                <w:sz w:val="16"/>
                <w:szCs w:val="16"/>
              </w:rPr>
              <w:t> </w:t>
            </w:r>
          </w:p>
        </w:tc>
        <w:tc>
          <w:tcPr>
            <w:tcW w:w="1049" w:type="pct"/>
            <w:tcBorders>
              <w:top w:val="single" w:sz="4" w:space="0" w:color="auto"/>
              <w:left w:val="nil"/>
              <w:bottom w:val="nil"/>
              <w:right w:val="nil"/>
            </w:tcBorders>
            <w:shd w:val="clear" w:color="000000" w:fill="FFFFFF"/>
            <w:noWrap/>
            <w:vAlign w:val="center"/>
            <w:hideMark/>
          </w:tcPr>
          <w:p w14:paraId="567F4EB9" w14:textId="77777777" w:rsidR="00A63906" w:rsidRPr="00A521D5" w:rsidRDefault="00A63906" w:rsidP="00746D27">
            <w:pPr>
              <w:keepNext/>
              <w:keepLines/>
              <w:spacing w:after="0" w:line="240" w:lineRule="auto"/>
              <w:jc w:val="left"/>
              <w:rPr>
                <w:rFonts w:ascii="Arial" w:hAnsi="Arial" w:cs="Arial"/>
                <w:sz w:val="16"/>
                <w:szCs w:val="16"/>
              </w:rPr>
            </w:pPr>
            <w:r w:rsidRPr="00A521D5">
              <w:rPr>
                <w:rFonts w:ascii="Arial" w:hAnsi="Arial" w:cs="Arial"/>
                <w:sz w:val="16"/>
                <w:szCs w:val="16"/>
              </w:rPr>
              <w:t> </w:t>
            </w:r>
          </w:p>
        </w:tc>
      </w:tr>
      <w:tr w:rsidR="00A63906" w:rsidRPr="00A521D5" w14:paraId="3FEAAB3B" w14:textId="77777777" w:rsidTr="00746D27">
        <w:trPr>
          <w:cantSplit/>
          <w:trHeight w:val="225"/>
        </w:trPr>
        <w:tc>
          <w:tcPr>
            <w:tcW w:w="935" w:type="pct"/>
            <w:tcBorders>
              <w:top w:val="nil"/>
              <w:left w:val="nil"/>
              <w:bottom w:val="nil"/>
              <w:right w:val="nil"/>
            </w:tcBorders>
            <w:shd w:val="clear" w:color="000000" w:fill="FFFFFF"/>
            <w:noWrap/>
            <w:vAlign w:val="center"/>
            <w:hideMark/>
          </w:tcPr>
          <w:p w14:paraId="197E2822" w14:textId="77777777" w:rsidR="00A63906" w:rsidRPr="00A521D5" w:rsidRDefault="00A63906" w:rsidP="00746D27">
            <w:pPr>
              <w:keepNext/>
              <w:keepLines/>
              <w:spacing w:after="0" w:line="240" w:lineRule="auto"/>
              <w:jc w:val="left"/>
              <w:rPr>
                <w:rFonts w:ascii="Arial" w:hAnsi="Arial" w:cs="Arial"/>
                <w:sz w:val="16"/>
                <w:szCs w:val="16"/>
              </w:rPr>
            </w:pPr>
            <w:r w:rsidRPr="00A521D5">
              <w:rPr>
                <w:rFonts w:ascii="Arial" w:hAnsi="Arial" w:cs="Arial"/>
                <w:sz w:val="16"/>
                <w:szCs w:val="16"/>
              </w:rPr>
              <w:t> </w:t>
            </w:r>
          </w:p>
        </w:tc>
        <w:tc>
          <w:tcPr>
            <w:tcW w:w="685" w:type="pct"/>
            <w:tcBorders>
              <w:top w:val="nil"/>
              <w:left w:val="nil"/>
              <w:bottom w:val="nil"/>
              <w:right w:val="nil"/>
            </w:tcBorders>
            <w:shd w:val="clear" w:color="000000" w:fill="FFFFFF"/>
            <w:noWrap/>
            <w:vAlign w:val="center"/>
            <w:hideMark/>
          </w:tcPr>
          <w:p w14:paraId="17D66CB5" w14:textId="3A579441" w:rsidR="00A63906" w:rsidRPr="00A521D5" w:rsidRDefault="00A63906" w:rsidP="00746D27">
            <w:pPr>
              <w:keepNext/>
              <w:keepLines/>
              <w:spacing w:after="0" w:line="240" w:lineRule="auto"/>
              <w:jc w:val="right"/>
              <w:rPr>
                <w:rFonts w:ascii="Arial" w:hAnsi="Arial" w:cs="Arial"/>
                <w:sz w:val="16"/>
                <w:szCs w:val="16"/>
              </w:rPr>
            </w:pPr>
            <w:r w:rsidRPr="00A521D5">
              <w:rPr>
                <w:rFonts w:ascii="Arial" w:hAnsi="Arial" w:cs="Arial"/>
                <w:sz w:val="16"/>
                <w:szCs w:val="16"/>
              </w:rPr>
              <w:t>N</w:t>
            </w:r>
            <w:r w:rsidR="00CB755B">
              <w:rPr>
                <w:rFonts w:ascii="Arial" w:hAnsi="Arial" w:cs="Arial"/>
                <w:sz w:val="16"/>
                <w:szCs w:val="16"/>
              </w:rPr>
              <w:t>o.</w:t>
            </w:r>
            <w:r w:rsidRPr="00A521D5">
              <w:rPr>
                <w:rFonts w:ascii="Arial" w:hAnsi="Arial" w:cs="Arial"/>
                <w:sz w:val="16"/>
                <w:szCs w:val="16"/>
              </w:rPr>
              <w:t xml:space="preserve"> of</w:t>
            </w:r>
          </w:p>
        </w:tc>
        <w:tc>
          <w:tcPr>
            <w:tcW w:w="169" w:type="pct"/>
            <w:tcBorders>
              <w:top w:val="nil"/>
              <w:left w:val="nil"/>
              <w:bottom w:val="nil"/>
              <w:right w:val="nil"/>
            </w:tcBorders>
            <w:shd w:val="clear" w:color="000000" w:fill="FFFFFF"/>
            <w:noWrap/>
            <w:vAlign w:val="center"/>
            <w:hideMark/>
          </w:tcPr>
          <w:p w14:paraId="181512C1" w14:textId="77777777" w:rsidR="00A63906" w:rsidRPr="00A521D5" w:rsidRDefault="00A63906" w:rsidP="00746D27">
            <w:pPr>
              <w:keepNext/>
              <w:keepLines/>
              <w:spacing w:after="0" w:line="240" w:lineRule="auto"/>
              <w:jc w:val="left"/>
              <w:rPr>
                <w:rFonts w:ascii="Arial" w:hAnsi="Arial" w:cs="Arial"/>
                <w:sz w:val="16"/>
                <w:szCs w:val="16"/>
              </w:rPr>
            </w:pPr>
            <w:r w:rsidRPr="00A521D5">
              <w:rPr>
                <w:rFonts w:ascii="Arial" w:hAnsi="Arial" w:cs="Arial"/>
                <w:sz w:val="16"/>
                <w:szCs w:val="16"/>
              </w:rPr>
              <w:t> </w:t>
            </w:r>
          </w:p>
        </w:tc>
        <w:tc>
          <w:tcPr>
            <w:tcW w:w="724" w:type="pct"/>
            <w:tcBorders>
              <w:top w:val="nil"/>
              <w:left w:val="nil"/>
              <w:bottom w:val="nil"/>
              <w:right w:val="nil"/>
            </w:tcBorders>
            <w:shd w:val="clear" w:color="000000" w:fill="FFFFFF"/>
            <w:noWrap/>
            <w:vAlign w:val="center"/>
            <w:hideMark/>
          </w:tcPr>
          <w:p w14:paraId="7B7D3606" w14:textId="77777777" w:rsidR="00A63906" w:rsidRPr="00A521D5" w:rsidRDefault="00A63906" w:rsidP="00746D27">
            <w:pPr>
              <w:keepNext/>
              <w:keepLines/>
              <w:spacing w:after="0" w:line="240" w:lineRule="auto"/>
              <w:jc w:val="right"/>
              <w:rPr>
                <w:rFonts w:ascii="Arial" w:hAnsi="Arial" w:cs="Arial"/>
                <w:sz w:val="16"/>
                <w:szCs w:val="16"/>
              </w:rPr>
            </w:pPr>
            <w:r w:rsidRPr="00A521D5">
              <w:rPr>
                <w:rFonts w:ascii="Arial" w:hAnsi="Arial" w:cs="Arial"/>
                <w:sz w:val="16"/>
                <w:szCs w:val="16"/>
              </w:rPr>
              <w:t>Developed</w:t>
            </w:r>
          </w:p>
        </w:tc>
        <w:tc>
          <w:tcPr>
            <w:tcW w:w="1137" w:type="pct"/>
            <w:tcBorders>
              <w:top w:val="nil"/>
              <w:left w:val="nil"/>
              <w:bottom w:val="nil"/>
              <w:right w:val="nil"/>
            </w:tcBorders>
            <w:shd w:val="clear" w:color="000000" w:fill="FFFFFF"/>
            <w:noWrap/>
            <w:vAlign w:val="center"/>
            <w:hideMark/>
          </w:tcPr>
          <w:p w14:paraId="0D8E8210" w14:textId="77777777" w:rsidR="00A63906" w:rsidRPr="00A521D5" w:rsidRDefault="00A63906" w:rsidP="00746D27">
            <w:pPr>
              <w:keepNext/>
              <w:keepLines/>
              <w:spacing w:after="0" w:line="240" w:lineRule="auto"/>
              <w:jc w:val="right"/>
              <w:rPr>
                <w:rFonts w:ascii="Arial" w:hAnsi="Arial" w:cs="Arial"/>
                <w:sz w:val="16"/>
                <w:szCs w:val="16"/>
              </w:rPr>
            </w:pPr>
            <w:r w:rsidRPr="00A521D5">
              <w:rPr>
                <w:rFonts w:ascii="Arial" w:hAnsi="Arial" w:cs="Arial"/>
                <w:sz w:val="16"/>
                <w:szCs w:val="16"/>
              </w:rPr>
              <w:t>For development</w:t>
            </w:r>
          </w:p>
        </w:tc>
        <w:tc>
          <w:tcPr>
            <w:tcW w:w="301" w:type="pct"/>
            <w:tcBorders>
              <w:top w:val="nil"/>
              <w:left w:val="nil"/>
              <w:bottom w:val="nil"/>
              <w:right w:val="nil"/>
            </w:tcBorders>
            <w:shd w:val="clear" w:color="000000" w:fill="FFFFFF"/>
            <w:noWrap/>
            <w:vAlign w:val="center"/>
            <w:hideMark/>
          </w:tcPr>
          <w:p w14:paraId="2F205949" w14:textId="77777777" w:rsidR="00A63906" w:rsidRPr="00A521D5" w:rsidRDefault="00A63906" w:rsidP="00746D27">
            <w:pPr>
              <w:keepNext/>
              <w:keepLines/>
              <w:spacing w:after="0" w:line="240" w:lineRule="auto"/>
              <w:jc w:val="right"/>
              <w:rPr>
                <w:rFonts w:ascii="Arial" w:hAnsi="Arial" w:cs="Arial"/>
                <w:sz w:val="16"/>
                <w:szCs w:val="16"/>
              </w:rPr>
            </w:pPr>
            <w:r w:rsidRPr="00A521D5">
              <w:rPr>
                <w:rFonts w:ascii="Arial" w:hAnsi="Arial" w:cs="Arial"/>
                <w:sz w:val="16"/>
                <w:szCs w:val="16"/>
              </w:rPr>
              <w:t> </w:t>
            </w:r>
          </w:p>
        </w:tc>
        <w:tc>
          <w:tcPr>
            <w:tcW w:w="1049" w:type="pct"/>
            <w:tcBorders>
              <w:top w:val="nil"/>
              <w:left w:val="nil"/>
              <w:bottom w:val="nil"/>
              <w:right w:val="nil"/>
            </w:tcBorders>
            <w:shd w:val="clear" w:color="000000" w:fill="FFFFFF"/>
            <w:noWrap/>
            <w:vAlign w:val="center"/>
            <w:hideMark/>
          </w:tcPr>
          <w:p w14:paraId="070E0536" w14:textId="77777777" w:rsidR="00A63906" w:rsidRPr="00A521D5" w:rsidRDefault="00A63906" w:rsidP="00746D27">
            <w:pPr>
              <w:keepNext/>
              <w:keepLines/>
              <w:spacing w:after="0" w:line="240" w:lineRule="auto"/>
              <w:jc w:val="right"/>
              <w:rPr>
                <w:rFonts w:ascii="Arial" w:hAnsi="Arial" w:cs="Arial"/>
                <w:sz w:val="16"/>
                <w:szCs w:val="16"/>
              </w:rPr>
            </w:pPr>
            <w:r w:rsidRPr="00A521D5">
              <w:rPr>
                <w:rFonts w:ascii="Arial" w:hAnsi="Arial" w:cs="Arial"/>
                <w:sz w:val="16"/>
                <w:szCs w:val="16"/>
              </w:rPr>
              <w:t>Total</w:t>
            </w:r>
          </w:p>
        </w:tc>
      </w:tr>
      <w:tr w:rsidR="00A63906" w:rsidRPr="00A521D5" w14:paraId="79F082AD" w14:textId="77777777" w:rsidTr="00746D27">
        <w:trPr>
          <w:cantSplit/>
          <w:trHeight w:val="225"/>
        </w:trPr>
        <w:tc>
          <w:tcPr>
            <w:tcW w:w="935" w:type="pct"/>
            <w:tcBorders>
              <w:top w:val="nil"/>
              <w:left w:val="nil"/>
              <w:bottom w:val="single" w:sz="4" w:space="0" w:color="auto"/>
              <w:right w:val="nil"/>
            </w:tcBorders>
            <w:shd w:val="clear" w:color="000000" w:fill="FFFFFF"/>
            <w:noWrap/>
            <w:vAlign w:val="center"/>
            <w:hideMark/>
          </w:tcPr>
          <w:p w14:paraId="28B7BC45" w14:textId="77777777" w:rsidR="00A63906" w:rsidRPr="00A521D5" w:rsidRDefault="00A63906" w:rsidP="00746D27">
            <w:pPr>
              <w:keepNext/>
              <w:keepLines/>
              <w:spacing w:after="0" w:line="240" w:lineRule="auto"/>
              <w:jc w:val="left"/>
              <w:rPr>
                <w:rFonts w:ascii="Arial" w:hAnsi="Arial" w:cs="Arial"/>
                <w:sz w:val="16"/>
                <w:szCs w:val="16"/>
              </w:rPr>
            </w:pPr>
            <w:r w:rsidRPr="00A521D5">
              <w:rPr>
                <w:rFonts w:ascii="Arial" w:hAnsi="Arial" w:cs="Arial"/>
                <w:sz w:val="16"/>
                <w:szCs w:val="16"/>
              </w:rPr>
              <w:t>Location</w:t>
            </w:r>
          </w:p>
        </w:tc>
        <w:tc>
          <w:tcPr>
            <w:tcW w:w="685" w:type="pct"/>
            <w:tcBorders>
              <w:top w:val="nil"/>
              <w:left w:val="nil"/>
              <w:bottom w:val="single" w:sz="4" w:space="0" w:color="auto"/>
              <w:right w:val="nil"/>
            </w:tcBorders>
            <w:shd w:val="clear" w:color="000000" w:fill="FFFFFF"/>
            <w:noWrap/>
            <w:vAlign w:val="center"/>
            <w:hideMark/>
          </w:tcPr>
          <w:p w14:paraId="2BBE61A2" w14:textId="77777777" w:rsidR="00A63906" w:rsidRPr="00A521D5" w:rsidRDefault="00A63906" w:rsidP="00746D27">
            <w:pPr>
              <w:keepNext/>
              <w:keepLines/>
              <w:spacing w:after="0" w:line="240" w:lineRule="auto"/>
              <w:jc w:val="right"/>
              <w:rPr>
                <w:rFonts w:ascii="Arial" w:hAnsi="Arial" w:cs="Arial"/>
                <w:sz w:val="16"/>
                <w:szCs w:val="16"/>
              </w:rPr>
            </w:pPr>
            <w:r w:rsidRPr="00A521D5">
              <w:rPr>
                <w:rFonts w:ascii="Arial" w:hAnsi="Arial" w:cs="Arial"/>
                <w:sz w:val="16"/>
                <w:szCs w:val="16"/>
              </w:rPr>
              <w:t>approvals</w:t>
            </w:r>
          </w:p>
        </w:tc>
        <w:tc>
          <w:tcPr>
            <w:tcW w:w="169" w:type="pct"/>
            <w:tcBorders>
              <w:top w:val="nil"/>
              <w:left w:val="nil"/>
              <w:bottom w:val="nil"/>
              <w:right w:val="nil"/>
            </w:tcBorders>
            <w:shd w:val="clear" w:color="000000" w:fill="FFFFFF"/>
            <w:noWrap/>
            <w:vAlign w:val="center"/>
            <w:hideMark/>
          </w:tcPr>
          <w:p w14:paraId="41B45107" w14:textId="77777777" w:rsidR="00A63906" w:rsidRPr="00A521D5" w:rsidRDefault="00A63906" w:rsidP="00746D27">
            <w:pPr>
              <w:keepNext/>
              <w:keepLines/>
              <w:spacing w:after="0" w:line="240" w:lineRule="auto"/>
              <w:jc w:val="left"/>
              <w:rPr>
                <w:rFonts w:ascii="Arial" w:hAnsi="Arial" w:cs="Arial"/>
                <w:sz w:val="16"/>
                <w:szCs w:val="16"/>
              </w:rPr>
            </w:pPr>
            <w:r w:rsidRPr="00A521D5">
              <w:rPr>
                <w:rFonts w:ascii="Arial" w:hAnsi="Arial" w:cs="Arial"/>
                <w:sz w:val="16"/>
                <w:szCs w:val="16"/>
              </w:rPr>
              <w:t> </w:t>
            </w:r>
          </w:p>
        </w:tc>
        <w:tc>
          <w:tcPr>
            <w:tcW w:w="724" w:type="pct"/>
            <w:tcBorders>
              <w:top w:val="nil"/>
              <w:left w:val="nil"/>
              <w:bottom w:val="single" w:sz="4" w:space="0" w:color="auto"/>
              <w:right w:val="nil"/>
            </w:tcBorders>
            <w:shd w:val="clear" w:color="000000" w:fill="FFFFFF"/>
            <w:noWrap/>
            <w:vAlign w:val="center"/>
            <w:hideMark/>
          </w:tcPr>
          <w:p w14:paraId="3D9556D4" w14:textId="77777777" w:rsidR="00A63906" w:rsidRPr="00A521D5" w:rsidRDefault="00A63906" w:rsidP="00746D27">
            <w:pPr>
              <w:keepNext/>
              <w:keepLines/>
              <w:spacing w:after="0" w:line="240" w:lineRule="auto"/>
              <w:jc w:val="right"/>
              <w:rPr>
                <w:rFonts w:ascii="Arial" w:hAnsi="Arial" w:cs="Arial"/>
                <w:sz w:val="16"/>
                <w:szCs w:val="16"/>
              </w:rPr>
            </w:pPr>
            <w:r w:rsidRPr="00A521D5">
              <w:rPr>
                <w:rFonts w:ascii="Arial" w:hAnsi="Arial" w:cs="Arial"/>
                <w:sz w:val="16"/>
                <w:szCs w:val="16"/>
              </w:rPr>
              <w:t xml:space="preserve">$b </w:t>
            </w:r>
          </w:p>
        </w:tc>
        <w:tc>
          <w:tcPr>
            <w:tcW w:w="1137" w:type="pct"/>
            <w:tcBorders>
              <w:top w:val="nil"/>
              <w:left w:val="nil"/>
              <w:bottom w:val="single" w:sz="4" w:space="0" w:color="auto"/>
              <w:right w:val="nil"/>
            </w:tcBorders>
            <w:shd w:val="clear" w:color="000000" w:fill="FFFFFF"/>
            <w:noWrap/>
            <w:vAlign w:val="center"/>
            <w:hideMark/>
          </w:tcPr>
          <w:p w14:paraId="2530E254" w14:textId="77777777" w:rsidR="00A63906" w:rsidRPr="00A521D5" w:rsidRDefault="00A63906" w:rsidP="00746D27">
            <w:pPr>
              <w:keepNext/>
              <w:keepLines/>
              <w:spacing w:after="0" w:line="240" w:lineRule="auto"/>
              <w:jc w:val="right"/>
              <w:rPr>
                <w:rFonts w:ascii="Arial" w:hAnsi="Arial" w:cs="Arial"/>
                <w:sz w:val="16"/>
                <w:szCs w:val="16"/>
              </w:rPr>
            </w:pPr>
            <w:r w:rsidRPr="00A521D5">
              <w:rPr>
                <w:rFonts w:ascii="Arial" w:hAnsi="Arial" w:cs="Arial"/>
                <w:sz w:val="16"/>
                <w:szCs w:val="16"/>
              </w:rPr>
              <w:t xml:space="preserve">$b </w:t>
            </w:r>
          </w:p>
        </w:tc>
        <w:tc>
          <w:tcPr>
            <w:tcW w:w="301" w:type="pct"/>
            <w:tcBorders>
              <w:top w:val="nil"/>
              <w:left w:val="nil"/>
              <w:bottom w:val="nil"/>
              <w:right w:val="nil"/>
            </w:tcBorders>
            <w:shd w:val="clear" w:color="000000" w:fill="FFFFFF"/>
            <w:noWrap/>
            <w:vAlign w:val="center"/>
            <w:hideMark/>
          </w:tcPr>
          <w:p w14:paraId="5F6765CA" w14:textId="77777777" w:rsidR="00A63906" w:rsidRPr="00A521D5" w:rsidRDefault="00A63906" w:rsidP="00746D27">
            <w:pPr>
              <w:keepNext/>
              <w:keepLines/>
              <w:spacing w:after="0" w:line="240" w:lineRule="auto"/>
              <w:jc w:val="right"/>
              <w:rPr>
                <w:rFonts w:ascii="Arial" w:hAnsi="Arial" w:cs="Arial"/>
                <w:sz w:val="16"/>
                <w:szCs w:val="16"/>
              </w:rPr>
            </w:pPr>
            <w:r w:rsidRPr="00A521D5">
              <w:rPr>
                <w:rFonts w:ascii="Arial" w:hAnsi="Arial" w:cs="Arial"/>
                <w:sz w:val="16"/>
                <w:szCs w:val="16"/>
              </w:rPr>
              <w:t> </w:t>
            </w:r>
          </w:p>
        </w:tc>
        <w:tc>
          <w:tcPr>
            <w:tcW w:w="1049" w:type="pct"/>
            <w:tcBorders>
              <w:top w:val="nil"/>
              <w:left w:val="nil"/>
              <w:bottom w:val="single" w:sz="4" w:space="0" w:color="auto"/>
              <w:right w:val="nil"/>
            </w:tcBorders>
            <w:shd w:val="clear" w:color="000000" w:fill="FFFFFF"/>
            <w:noWrap/>
            <w:vAlign w:val="center"/>
            <w:hideMark/>
          </w:tcPr>
          <w:p w14:paraId="1CB8D5D8" w14:textId="77777777" w:rsidR="00A63906" w:rsidRPr="00A521D5" w:rsidRDefault="00A63906" w:rsidP="00746D27">
            <w:pPr>
              <w:keepNext/>
              <w:keepLines/>
              <w:spacing w:after="0" w:line="240" w:lineRule="auto"/>
              <w:jc w:val="right"/>
              <w:rPr>
                <w:rFonts w:ascii="Arial" w:hAnsi="Arial" w:cs="Arial"/>
                <w:sz w:val="16"/>
                <w:szCs w:val="16"/>
              </w:rPr>
            </w:pPr>
            <w:r w:rsidRPr="00A521D5">
              <w:rPr>
                <w:rFonts w:ascii="Arial" w:hAnsi="Arial" w:cs="Arial"/>
                <w:sz w:val="16"/>
                <w:szCs w:val="16"/>
              </w:rPr>
              <w:t xml:space="preserve">$b </w:t>
            </w:r>
          </w:p>
        </w:tc>
      </w:tr>
      <w:tr w:rsidR="00A63906" w:rsidRPr="00A521D5" w14:paraId="3F95C050" w14:textId="77777777" w:rsidTr="00746D27">
        <w:trPr>
          <w:cantSplit/>
          <w:trHeight w:val="225"/>
        </w:trPr>
        <w:tc>
          <w:tcPr>
            <w:tcW w:w="935" w:type="pct"/>
            <w:tcBorders>
              <w:top w:val="nil"/>
              <w:left w:val="nil"/>
              <w:bottom w:val="nil"/>
              <w:right w:val="nil"/>
            </w:tcBorders>
            <w:shd w:val="clear" w:color="000000" w:fill="FFFFFF"/>
            <w:noWrap/>
            <w:vAlign w:val="center"/>
            <w:hideMark/>
          </w:tcPr>
          <w:p w14:paraId="1AD2246E" w14:textId="77777777" w:rsidR="00A63906" w:rsidRPr="00A521D5" w:rsidRDefault="00A63906" w:rsidP="00746D27">
            <w:pPr>
              <w:keepNext/>
              <w:keepLines/>
              <w:spacing w:after="0" w:line="240" w:lineRule="auto"/>
              <w:jc w:val="left"/>
              <w:rPr>
                <w:rFonts w:ascii="Arial" w:hAnsi="Arial" w:cs="Arial"/>
                <w:sz w:val="16"/>
                <w:szCs w:val="16"/>
              </w:rPr>
            </w:pPr>
            <w:r w:rsidRPr="00A521D5">
              <w:rPr>
                <w:rFonts w:ascii="Arial" w:hAnsi="Arial" w:cs="Arial"/>
                <w:sz w:val="16"/>
                <w:szCs w:val="16"/>
              </w:rPr>
              <w:t>ACT</w:t>
            </w:r>
          </w:p>
        </w:tc>
        <w:tc>
          <w:tcPr>
            <w:tcW w:w="685" w:type="pct"/>
            <w:tcBorders>
              <w:top w:val="nil"/>
              <w:left w:val="nil"/>
              <w:bottom w:val="nil"/>
              <w:right w:val="nil"/>
            </w:tcBorders>
            <w:shd w:val="clear" w:color="000000" w:fill="FFFFFF"/>
            <w:noWrap/>
            <w:vAlign w:val="center"/>
            <w:hideMark/>
          </w:tcPr>
          <w:p w14:paraId="0ACC53ED" w14:textId="570BD9E3" w:rsidR="00A63906" w:rsidRPr="0023512E" w:rsidRDefault="003E79B6" w:rsidP="00746D27">
            <w:pPr>
              <w:keepNext/>
              <w:keepLines/>
              <w:spacing w:after="0" w:line="240" w:lineRule="auto"/>
              <w:jc w:val="right"/>
              <w:rPr>
                <w:rFonts w:ascii="Arial" w:hAnsi="Arial" w:cs="Arial"/>
                <w:color w:val="auto"/>
                <w:sz w:val="16"/>
                <w:szCs w:val="16"/>
              </w:rPr>
            </w:pPr>
            <w:r w:rsidRPr="0023512E">
              <w:rPr>
                <w:rFonts w:ascii="Arial" w:hAnsi="Arial" w:cs="Arial"/>
                <w:color w:val="auto"/>
                <w:sz w:val="16"/>
                <w:szCs w:val="16"/>
              </w:rPr>
              <w:t>19</w:t>
            </w:r>
          </w:p>
        </w:tc>
        <w:tc>
          <w:tcPr>
            <w:tcW w:w="169" w:type="pct"/>
            <w:tcBorders>
              <w:top w:val="nil"/>
              <w:left w:val="nil"/>
              <w:bottom w:val="nil"/>
              <w:right w:val="nil"/>
            </w:tcBorders>
            <w:shd w:val="clear" w:color="000000" w:fill="FFFFFF"/>
            <w:noWrap/>
            <w:vAlign w:val="center"/>
            <w:hideMark/>
          </w:tcPr>
          <w:p w14:paraId="5BBC54E8" w14:textId="77777777" w:rsidR="00A63906" w:rsidRPr="00A63906" w:rsidRDefault="00A63906" w:rsidP="00746D27">
            <w:pPr>
              <w:keepNext/>
              <w:keepLines/>
              <w:spacing w:after="0" w:line="240" w:lineRule="auto"/>
              <w:jc w:val="right"/>
              <w:rPr>
                <w:rFonts w:ascii="Arial" w:hAnsi="Arial" w:cs="Arial"/>
                <w:color w:val="auto"/>
                <w:sz w:val="16"/>
                <w:szCs w:val="16"/>
              </w:rPr>
            </w:pPr>
            <w:r w:rsidRPr="00A63906">
              <w:rPr>
                <w:rFonts w:ascii="Arial" w:hAnsi="Arial" w:cs="Arial"/>
                <w:color w:val="auto"/>
                <w:sz w:val="16"/>
                <w:szCs w:val="16"/>
              </w:rPr>
              <w:t> </w:t>
            </w:r>
          </w:p>
        </w:tc>
        <w:tc>
          <w:tcPr>
            <w:tcW w:w="724" w:type="pct"/>
            <w:tcBorders>
              <w:top w:val="nil"/>
              <w:left w:val="nil"/>
              <w:bottom w:val="nil"/>
              <w:right w:val="nil"/>
            </w:tcBorders>
            <w:shd w:val="clear" w:color="000000" w:fill="FFFFFF"/>
            <w:noWrap/>
            <w:vAlign w:val="bottom"/>
            <w:hideMark/>
          </w:tcPr>
          <w:p w14:paraId="63122FC1" w14:textId="7CB2BCD1" w:rsidR="00A63906" w:rsidRPr="0023512E" w:rsidRDefault="003E79B6" w:rsidP="00746D27">
            <w:pPr>
              <w:keepNext/>
              <w:keepLines/>
              <w:spacing w:after="0" w:line="240" w:lineRule="auto"/>
              <w:jc w:val="right"/>
              <w:rPr>
                <w:rFonts w:ascii="Arial" w:hAnsi="Arial" w:cs="Arial"/>
                <w:sz w:val="16"/>
                <w:szCs w:val="16"/>
              </w:rPr>
            </w:pPr>
            <w:r w:rsidRPr="0023512E">
              <w:rPr>
                <w:rFonts w:ascii="Arial" w:hAnsi="Arial" w:cs="Arial"/>
                <w:sz w:val="16"/>
                <w:szCs w:val="16"/>
              </w:rPr>
              <w:t>1.2</w:t>
            </w:r>
          </w:p>
        </w:tc>
        <w:tc>
          <w:tcPr>
            <w:tcW w:w="1137" w:type="pct"/>
            <w:tcBorders>
              <w:top w:val="nil"/>
              <w:left w:val="nil"/>
              <w:bottom w:val="nil"/>
              <w:right w:val="nil"/>
            </w:tcBorders>
            <w:shd w:val="clear" w:color="000000" w:fill="FFFFFF"/>
            <w:noWrap/>
            <w:vAlign w:val="bottom"/>
            <w:hideMark/>
          </w:tcPr>
          <w:p w14:paraId="4BBEF965" w14:textId="77777777" w:rsidR="00A63906" w:rsidRPr="0023512E" w:rsidRDefault="00A63906" w:rsidP="00746D27">
            <w:pPr>
              <w:keepNext/>
              <w:keepLines/>
              <w:spacing w:after="0" w:line="240" w:lineRule="auto"/>
              <w:jc w:val="right"/>
              <w:rPr>
                <w:rFonts w:ascii="Arial" w:hAnsi="Arial" w:cs="Arial"/>
                <w:sz w:val="16"/>
                <w:szCs w:val="16"/>
              </w:rPr>
            </w:pPr>
            <w:r w:rsidRPr="0023512E">
              <w:rPr>
                <w:rFonts w:ascii="Arial" w:hAnsi="Arial" w:cs="Arial"/>
                <w:sz w:val="16"/>
                <w:szCs w:val="16"/>
              </w:rPr>
              <w:t>0.0</w:t>
            </w:r>
          </w:p>
        </w:tc>
        <w:tc>
          <w:tcPr>
            <w:tcW w:w="301" w:type="pct"/>
            <w:tcBorders>
              <w:top w:val="nil"/>
              <w:left w:val="nil"/>
              <w:bottom w:val="nil"/>
              <w:right w:val="nil"/>
            </w:tcBorders>
            <w:shd w:val="clear" w:color="000000" w:fill="FFFFFF"/>
            <w:noWrap/>
            <w:vAlign w:val="center"/>
            <w:hideMark/>
          </w:tcPr>
          <w:p w14:paraId="78728250" w14:textId="77777777" w:rsidR="00A63906" w:rsidRPr="00A63906" w:rsidRDefault="00A63906" w:rsidP="00746D27">
            <w:pPr>
              <w:keepNext/>
              <w:keepLines/>
              <w:spacing w:after="0" w:line="240" w:lineRule="auto"/>
              <w:jc w:val="right"/>
              <w:rPr>
                <w:rFonts w:ascii="Arial" w:hAnsi="Arial" w:cs="Arial"/>
                <w:color w:val="auto"/>
                <w:sz w:val="16"/>
                <w:szCs w:val="16"/>
              </w:rPr>
            </w:pPr>
            <w:r w:rsidRPr="00A63906">
              <w:rPr>
                <w:rFonts w:ascii="Arial" w:hAnsi="Arial" w:cs="Arial"/>
                <w:color w:val="auto"/>
                <w:sz w:val="16"/>
                <w:szCs w:val="16"/>
              </w:rPr>
              <w:t> </w:t>
            </w:r>
          </w:p>
        </w:tc>
        <w:tc>
          <w:tcPr>
            <w:tcW w:w="1049" w:type="pct"/>
            <w:tcBorders>
              <w:top w:val="nil"/>
              <w:left w:val="nil"/>
              <w:bottom w:val="nil"/>
              <w:right w:val="nil"/>
            </w:tcBorders>
            <w:shd w:val="clear" w:color="000000" w:fill="FFFFFF"/>
            <w:noWrap/>
            <w:vAlign w:val="bottom"/>
            <w:hideMark/>
          </w:tcPr>
          <w:p w14:paraId="5BFE231C" w14:textId="70029895" w:rsidR="00A63906" w:rsidRPr="0023512E" w:rsidRDefault="001570F4" w:rsidP="00746D27">
            <w:pPr>
              <w:keepNext/>
              <w:keepLines/>
              <w:spacing w:after="0" w:line="240" w:lineRule="auto"/>
              <w:jc w:val="right"/>
              <w:rPr>
                <w:rFonts w:ascii="Arial" w:hAnsi="Arial" w:cs="Arial"/>
                <w:sz w:val="16"/>
                <w:szCs w:val="16"/>
              </w:rPr>
            </w:pPr>
            <w:r w:rsidRPr="0023512E">
              <w:rPr>
                <w:rFonts w:ascii="Arial" w:hAnsi="Arial" w:cs="Arial"/>
                <w:sz w:val="16"/>
                <w:szCs w:val="16"/>
              </w:rPr>
              <w:t>1.2</w:t>
            </w:r>
          </w:p>
        </w:tc>
      </w:tr>
      <w:tr w:rsidR="00A63906" w:rsidRPr="00A521D5" w14:paraId="4C25E392" w14:textId="77777777" w:rsidTr="00746D27">
        <w:trPr>
          <w:cantSplit/>
          <w:trHeight w:val="225"/>
        </w:trPr>
        <w:tc>
          <w:tcPr>
            <w:tcW w:w="935" w:type="pct"/>
            <w:tcBorders>
              <w:top w:val="nil"/>
              <w:left w:val="nil"/>
              <w:bottom w:val="nil"/>
              <w:right w:val="nil"/>
            </w:tcBorders>
            <w:shd w:val="clear" w:color="000000" w:fill="FFFFFF"/>
            <w:noWrap/>
            <w:vAlign w:val="center"/>
            <w:hideMark/>
          </w:tcPr>
          <w:p w14:paraId="6EFFA06A" w14:textId="77777777" w:rsidR="00A63906" w:rsidRPr="00A521D5" w:rsidRDefault="00A63906" w:rsidP="00746D27">
            <w:pPr>
              <w:keepNext/>
              <w:keepLines/>
              <w:spacing w:after="0" w:line="240" w:lineRule="auto"/>
              <w:jc w:val="left"/>
              <w:rPr>
                <w:rFonts w:ascii="Arial" w:hAnsi="Arial" w:cs="Arial"/>
                <w:sz w:val="16"/>
                <w:szCs w:val="16"/>
              </w:rPr>
            </w:pPr>
            <w:r w:rsidRPr="00A521D5">
              <w:rPr>
                <w:rFonts w:ascii="Arial" w:hAnsi="Arial" w:cs="Arial"/>
                <w:sz w:val="16"/>
                <w:szCs w:val="16"/>
              </w:rPr>
              <w:t>NSW</w:t>
            </w:r>
          </w:p>
        </w:tc>
        <w:tc>
          <w:tcPr>
            <w:tcW w:w="685" w:type="pct"/>
            <w:tcBorders>
              <w:top w:val="nil"/>
              <w:left w:val="nil"/>
              <w:bottom w:val="nil"/>
              <w:right w:val="nil"/>
            </w:tcBorders>
            <w:shd w:val="clear" w:color="000000" w:fill="FFFFFF"/>
            <w:noWrap/>
            <w:vAlign w:val="center"/>
            <w:hideMark/>
          </w:tcPr>
          <w:p w14:paraId="5FB9FD2A" w14:textId="2EA4734E" w:rsidR="00A63906" w:rsidRPr="0023512E" w:rsidRDefault="001570F4" w:rsidP="00746D27">
            <w:pPr>
              <w:keepNext/>
              <w:keepLines/>
              <w:spacing w:after="0" w:line="240" w:lineRule="auto"/>
              <w:jc w:val="right"/>
              <w:rPr>
                <w:rFonts w:ascii="Arial" w:hAnsi="Arial" w:cs="Arial"/>
                <w:color w:val="auto"/>
                <w:sz w:val="16"/>
                <w:szCs w:val="16"/>
              </w:rPr>
            </w:pPr>
            <w:r w:rsidRPr="0023512E">
              <w:rPr>
                <w:rFonts w:ascii="Arial" w:hAnsi="Arial" w:cs="Arial"/>
                <w:color w:val="auto"/>
                <w:sz w:val="16"/>
                <w:szCs w:val="16"/>
              </w:rPr>
              <w:t>242</w:t>
            </w:r>
          </w:p>
        </w:tc>
        <w:tc>
          <w:tcPr>
            <w:tcW w:w="169" w:type="pct"/>
            <w:tcBorders>
              <w:top w:val="nil"/>
              <w:left w:val="nil"/>
              <w:bottom w:val="nil"/>
              <w:right w:val="nil"/>
            </w:tcBorders>
            <w:shd w:val="clear" w:color="000000" w:fill="FFFFFF"/>
            <w:noWrap/>
            <w:vAlign w:val="center"/>
            <w:hideMark/>
          </w:tcPr>
          <w:p w14:paraId="7D321B6E" w14:textId="75E855D1" w:rsidR="00A63906" w:rsidRPr="00A63906" w:rsidRDefault="00A63906" w:rsidP="00682C91">
            <w:pPr>
              <w:keepNext/>
              <w:keepLines/>
              <w:spacing w:after="0" w:line="240" w:lineRule="auto"/>
              <w:jc w:val="center"/>
              <w:rPr>
                <w:rFonts w:ascii="Arial" w:hAnsi="Arial" w:cs="Arial"/>
                <w:color w:val="auto"/>
                <w:sz w:val="16"/>
                <w:szCs w:val="16"/>
              </w:rPr>
            </w:pPr>
          </w:p>
        </w:tc>
        <w:tc>
          <w:tcPr>
            <w:tcW w:w="724" w:type="pct"/>
            <w:tcBorders>
              <w:top w:val="nil"/>
              <w:left w:val="nil"/>
              <w:bottom w:val="nil"/>
              <w:right w:val="nil"/>
            </w:tcBorders>
            <w:shd w:val="clear" w:color="000000" w:fill="FFFFFF"/>
            <w:noWrap/>
            <w:vAlign w:val="bottom"/>
            <w:hideMark/>
          </w:tcPr>
          <w:p w14:paraId="06534FBD" w14:textId="6D313500" w:rsidR="00A63906" w:rsidRPr="0023512E" w:rsidRDefault="001570F4" w:rsidP="00746D27">
            <w:pPr>
              <w:keepNext/>
              <w:keepLines/>
              <w:spacing w:after="0" w:line="240" w:lineRule="auto"/>
              <w:jc w:val="right"/>
              <w:rPr>
                <w:rFonts w:ascii="Arial" w:hAnsi="Arial" w:cs="Arial"/>
                <w:sz w:val="16"/>
                <w:szCs w:val="16"/>
              </w:rPr>
            </w:pPr>
            <w:r w:rsidRPr="0023512E">
              <w:rPr>
                <w:rFonts w:ascii="Arial" w:hAnsi="Arial" w:cs="Arial"/>
                <w:sz w:val="16"/>
                <w:szCs w:val="16"/>
              </w:rPr>
              <w:t>17.4</w:t>
            </w:r>
          </w:p>
        </w:tc>
        <w:tc>
          <w:tcPr>
            <w:tcW w:w="1137" w:type="pct"/>
            <w:tcBorders>
              <w:top w:val="nil"/>
              <w:left w:val="nil"/>
              <w:bottom w:val="nil"/>
              <w:right w:val="nil"/>
            </w:tcBorders>
            <w:shd w:val="clear" w:color="000000" w:fill="FFFFFF"/>
            <w:noWrap/>
            <w:vAlign w:val="bottom"/>
            <w:hideMark/>
          </w:tcPr>
          <w:p w14:paraId="4526B40A" w14:textId="13CB276E" w:rsidR="00A63906" w:rsidRPr="0023512E" w:rsidRDefault="001570F4" w:rsidP="00746D27">
            <w:pPr>
              <w:keepNext/>
              <w:keepLines/>
              <w:spacing w:after="0" w:line="240" w:lineRule="auto"/>
              <w:jc w:val="right"/>
              <w:rPr>
                <w:rFonts w:ascii="Arial" w:hAnsi="Arial" w:cs="Arial"/>
                <w:sz w:val="16"/>
                <w:szCs w:val="16"/>
              </w:rPr>
            </w:pPr>
            <w:r w:rsidRPr="0023512E">
              <w:rPr>
                <w:rFonts w:ascii="Arial" w:hAnsi="Arial" w:cs="Arial"/>
                <w:sz w:val="16"/>
                <w:szCs w:val="16"/>
              </w:rPr>
              <w:t>1.3</w:t>
            </w:r>
          </w:p>
        </w:tc>
        <w:tc>
          <w:tcPr>
            <w:tcW w:w="301" w:type="pct"/>
            <w:tcBorders>
              <w:top w:val="nil"/>
              <w:left w:val="nil"/>
              <w:bottom w:val="nil"/>
              <w:right w:val="nil"/>
            </w:tcBorders>
            <w:shd w:val="clear" w:color="000000" w:fill="FFFFFF"/>
            <w:noWrap/>
            <w:vAlign w:val="center"/>
            <w:hideMark/>
          </w:tcPr>
          <w:p w14:paraId="78D5CE2D" w14:textId="77777777" w:rsidR="00A63906" w:rsidRPr="00A63906" w:rsidRDefault="00A63906" w:rsidP="00746D27">
            <w:pPr>
              <w:keepNext/>
              <w:keepLines/>
              <w:spacing w:after="0" w:line="240" w:lineRule="auto"/>
              <w:jc w:val="right"/>
              <w:rPr>
                <w:rFonts w:ascii="Arial" w:hAnsi="Arial" w:cs="Arial"/>
                <w:color w:val="auto"/>
                <w:sz w:val="16"/>
                <w:szCs w:val="16"/>
              </w:rPr>
            </w:pPr>
            <w:r w:rsidRPr="00A63906">
              <w:rPr>
                <w:rFonts w:ascii="Arial" w:hAnsi="Arial" w:cs="Arial"/>
                <w:color w:val="auto"/>
                <w:sz w:val="16"/>
                <w:szCs w:val="16"/>
              </w:rPr>
              <w:t> </w:t>
            </w:r>
          </w:p>
        </w:tc>
        <w:tc>
          <w:tcPr>
            <w:tcW w:w="1049" w:type="pct"/>
            <w:tcBorders>
              <w:top w:val="nil"/>
              <w:left w:val="nil"/>
              <w:bottom w:val="nil"/>
              <w:right w:val="nil"/>
            </w:tcBorders>
            <w:shd w:val="clear" w:color="000000" w:fill="FFFFFF"/>
            <w:noWrap/>
            <w:vAlign w:val="bottom"/>
            <w:hideMark/>
          </w:tcPr>
          <w:p w14:paraId="3D539FCA" w14:textId="73B4661F" w:rsidR="00A63906" w:rsidRPr="0023512E" w:rsidRDefault="001570F4" w:rsidP="00746D27">
            <w:pPr>
              <w:keepNext/>
              <w:keepLines/>
              <w:spacing w:after="0" w:line="240" w:lineRule="auto"/>
              <w:jc w:val="right"/>
              <w:rPr>
                <w:rFonts w:ascii="Arial" w:hAnsi="Arial" w:cs="Arial"/>
                <w:sz w:val="16"/>
                <w:szCs w:val="16"/>
              </w:rPr>
            </w:pPr>
            <w:r w:rsidRPr="0023512E">
              <w:rPr>
                <w:rFonts w:ascii="Arial" w:hAnsi="Arial" w:cs="Arial"/>
                <w:sz w:val="16"/>
                <w:szCs w:val="16"/>
              </w:rPr>
              <w:t>18.7</w:t>
            </w:r>
          </w:p>
        </w:tc>
      </w:tr>
      <w:tr w:rsidR="00A63906" w:rsidRPr="00A521D5" w14:paraId="0C17562D" w14:textId="77777777" w:rsidTr="00746D27">
        <w:trPr>
          <w:cantSplit/>
          <w:trHeight w:val="225"/>
        </w:trPr>
        <w:tc>
          <w:tcPr>
            <w:tcW w:w="935" w:type="pct"/>
            <w:tcBorders>
              <w:top w:val="nil"/>
              <w:left w:val="nil"/>
              <w:bottom w:val="nil"/>
              <w:right w:val="nil"/>
            </w:tcBorders>
            <w:shd w:val="clear" w:color="000000" w:fill="FFFFFF"/>
            <w:noWrap/>
            <w:vAlign w:val="center"/>
            <w:hideMark/>
          </w:tcPr>
          <w:p w14:paraId="6498340D" w14:textId="77777777" w:rsidR="00A63906" w:rsidRPr="00A521D5" w:rsidRDefault="00A63906" w:rsidP="00746D27">
            <w:pPr>
              <w:keepNext/>
              <w:keepLines/>
              <w:spacing w:after="0" w:line="240" w:lineRule="auto"/>
              <w:jc w:val="left"/>
              <w:rPr>
                <w:rFonts w:ascii="Arial" w:hAnsi="Arial" w:cs="Arial"/>
                <w:sz w:val="16"/>
                <w:szCs w:val="16"/>
              </w:rPr>
            </w:pPr>
            <w:r w:rsidRPr="00A521D5">
              <w:rPr>
                <w:rFonts w:ascii="Arial" w:hAnsi="Arial" w:cs="Arial"/>
                <w:sz w:val="16"/>
                <w:szCs w:val="16"/>
              </w:rPr>
              <w:t>NT</w:t>
            </w:r>
          </w:p>
        </w:tc>
        <w:tc>
          <w:tcPr>
            <w:tcW w:w="685" w:type="pct"/>
            <w:tcBorders>
              <w:top w:val="nil"/>
              <w:left w:val="nil"/>
              <w:bottom w:val="nil"/>
              <w:right w:val="nil"/>
            </w:tcBorders>
            <w:shd w:val="clear" w:color="000000" w:fill="FFFFFF"/>
            <w:noWrap/>
            <w:vAlign w:val="center"/>
            <w:hideMark/>
          </w:tcPr>
          <w:p w14:paraId="3E11B2A9" w14:textId="6ABEB82F" w:rsidR="00A63906" w:rsidRPr="0023512E" w:rsidRDefault="001570F4" w:rsidP="00746D27">
            <w:pPr>
              <w:keepNext/>
              <w:keepLines/>
              <w:spacing w:after="0" w:line="240" w:lineRule="auto"/>
              <w:jc w:val="right"/>
              <w:rPr>
                <w:rFonts w:ascii="Arial" w:hAnsi="Arial" w:cs="Arial"/>
                <w:color w:val="auto"/>
                <w:sz w:val="16"/>
                <w:szCs w:val="16"/>
              </w:rPr>
            </w:pPr>
            <w:r w:rsidRPr="0023512E">
              <w:rPr>
                <w:rFonts w:ascii="Arial" w:hAnsi="Arial" w:cs="Arial"/>
                <w:color w:val="auto"/>
                <w:sz w:val="16"/>
                <w:szCs w:val="16"/>
              </w:rPr>
              <w:t>3</w:t>
            </w:r>
          </w:p>
        </w:tc>
        <w:tc>
          <w:tcPr>
            <w:tcW w:w="169" w:type="pct"/>
            <w:tcBorders>
              <w:top w:val="nil"/>
              <w:left w:val="nil"/>
              <w:bottom w:val="nil"/>
              <w:right w:val="nil"/>
            </w:tcBorders>
            <w:shd w:val="clear" w:color="000000" w:fill="FFFFFF"/>
            <w:noWrap/>
            <w:vAlign w:val="center"/>
            <w:hideMark/>
          </w:tcPr>
          <w:p w14:paraId="47FFD25D" w14:textId="77777777" w:rsidR="00A63906" w:rsidRPr="00A63906" w:rsidRDefault="00A63906" w:rsidP="00746D27">
            <w:pPr>
              <w:keepNext/>
              <w:keepLines/>
              <w:spacing w:after="0" w:line="240" w:lineRule="auto"/>
              <w:jc w:val="right"/>
              <w:rPr>
                <w:rFonts w:ascii="Arial" w:hAnsi="Arial" w:cs="Arial"/>
                <w:color w:val="auto"/>
                <w:sz w:val="16"/>
                <w:szCs w:val="16"/>
              </w:rPr>
            </w:pPr>
            <w:r w:rsidRPr="00A63906">
              <w:rPr>
                <w:rFonts w:ascii="Arial" w:hAnsi="Arial" w:cs="Arial"/>
                <w:color w:val="auto"/>
                <w:sz w:val="16"/>
                <w:szCs w:val="16"/>
              </w:rPr>
              <w:t> </w:t>
            </w:r>
          </w:p>
        </w:tc>
        <w:tc>
          <w:tcPr>
            <w:tcW w:w="724" w:type="pct"/>
            <w:tcBorders>
              <w:top w:val="nil"/>
              <w:left w:val="nil"/>
              <w:bottom w:val="nil"/>
              <w:right w:val="nil"/>
            </w:tcBorders>
            <w:shd w:val="clear" w:color="000000" w:fill="FFFFFF"/>
            <w:noWrap/>
            <w:vAlign w:val="bottom"/>
            <w:hideMark/>
          </w:tcPr>
          <w:p w14:paraId="3C3612E0" w14:textId="77777777" w:rsidR="00A63906" w:rsidRPr="0023512E" w:rsidRDefault="00A63906" w:rsidP="00746D27">
            <w:pPr>
              <w:keepNext/>
              <w:keepLines/>
              <w:spacing w:after="0" w:line="240" w:lineRule="auto"/>
              <w:jc w:val="right"/>
              <w:rPr>
                <w:rFonts w:ascii="Arial" w:hAnsi="Arial" w:cs="Arial"/>
                <w:sz w:val="16"/>
                <w:szCs w:val="16"/>
              </w:rPr>
            </w:pPr>
            <w:r w:rsidRPr="0023512E">
              <w:rPr>
                <w:rFonts w:ascii="Arial" w:hAnsi="Arial" w:cs="Arial"/>
                <w:sz w:val="16"/>
                <w:szCs w:val="16"/>
              </w:rPr>
              <w:t>0.0</w:t>
            </w:r>
          </w:p>
        </w:tc>
        <w:tc>
          <w:tcPr>
            <w:tcW w:w="1137" w:type="pct"/>
            <w:tcBorders>
              <w:top w:val="nil"/>
              <w:left w:val="nil"/>
              <w:bottom w:val="nil"/>
              <w:right w:val="nil"/>
            </w:tcBorders>
            <w:shd w:val="clear" w:color="000000" w:fill="FFFFFF"/>
            <w:noWrap/>
            <w:vAlign w:val="bottom"/>
            <w:hideMark/>
          </w:tcPr>
          <w:p w14:paraId="017EF418" w14:textId="77777777" w:rsidR="00A63906" w:rsidRPr="0023512E" w:rsidRDefault="00A63906" w:rsidP="00746D27">
            <w:pPr>
              <w:keepNext/>
              <w:keepLines/>
              <w:spacing w:after="0" w:line="240" w:lineRule="auto"/>
              <w:jc w:val="right"/>
              <w:rPr>
                <w:rFonts w:ascii="Arial" w:hAnsi="Arial" w:cs="Arial"/>
                <w:sz w:val="16"/>
                <w:szCs w:val="16"/>
              </w:rPr>
            </w:pPr>
            <w:r w:rsidRPr="0023512E">
              <w:rPr>
                <w:rFonts w:ascii="Arial" w:hAnsi="Arial" w:cs="Arial"/>
                <w:sz w:val="16"/>
                <w:szCs w:val="16"/>
              </w:rPr>
              <w:t>0.0</w:t>
            </w:r>
          </w:p>
        </w:tc>
        <w:tc>
          <w:tcPr>
            <w:tcW w:w="301" w:type="pct"/>
            <w:tcBorders>
              <w:top w:val="nil"/>
              <w:left w:val="nil"/>
              <w:bottom w:val="nil"/>
              <w:right w:val="nil"/>
            </w:tcBorders>
            <w:shd w:val="clear" w:color="000000" w:fill="FFFFFF"/>
            <w:noWrap/>
            <w:vAlign w:val="center"/>
            <w:hideMark/>
          </w:tcPr>
          <w:p w14:paraId="7E66F297" w14:textId="77777777" w:rsidR="00A63906" w:rsidRPr="00A63906" w:rsidRDefault="00A63906" w:rsidP="00746D27">
            <w:pPr>
              <w:keepNext/>
              <w:keepLines/>
              <w:spacing w:after="0" w:line="240" w:lineRule="auto"/>
              <w:jc w:val="right"/>
              <w:rPr>
                <w:rFonts w:ascii="Arial" w:hAnsi="Arial" w:cs="Arial"/>
                <w:color w:val="auto"/>
                <w:sz w:val="16"/>
                <w:szCs w:val="16"/>
              </w:rPr>
            </w:pPr>
            <w:r w:rsidRPr="00A63906">
              <w:rPr>
                <w:rFonts w:ascii="Arial" w:hAnsi="Arial" w:cs="Arial"/>
                <w:color w:val="auto"/>
                <w:sz w:val="16"/>
                <w:szCs w:val="16"/>
              </w:rPr>
              <w:t> </w:t>
            </w:r>
          </w:p>
        </w:tc>
        <w:tc>
          <w:tcPr>
            <w:tcW w:w="1049" w:type="pct"/>
            <w:tcBorders>
              <w:top w:val="nil"/>
              <w:left w:val="nil"/>
              <w:bottom w:val="nil"/>
              <w:right w:val="nil"/>
            </w:tcBorders>
            <w:shd w:val="clear" w:color="000000" w:fill="FFFFFF"/>
            <w:noWrap/>
            <w:vAlign w:val="bottom"/>
            <w:hideMark/>
          </w:tcPr>
          <w:p w14:paraId="4E757BB3" w14:textId="31ACC5E8" w:rsidR="00A63906" w:rsidRPr="0023512E" w:rsidRDefault="001570F4" w:rsidP="00746D27">
            <w:pPr>
              <w:keepNext/>
              <w:keepLines/>
              <w:spacing w:after="0" w:line="240" w:lineRule="auto"/>
              <w:jc w:val="right"/>
              <w:rPr>
                <w:rFonts w:ascii="Arial" w:hAnsi="Arial" w:cs="Arial"/>
                <w:sz w:val="16"/>
                <w:szCs w:val="16"/>
              </w:rPr>
            </w:pPr>
            <w:r w:rsidRPr="0023512E">
              <w:rPr>
                <w:rFonts w:ascii="Arial" w:hAnsi="Arial" w:cs="Arial"/>
                <w:sz w:val="16"/>
                <w:szCs w:val="16"/>
              </w:rPr>
              <w:t>0.0</w:t>
            </w:r>
          </w:p>
        </w:tc>
      </w:tr>
      <w:tr w:rsidR="00A63906" w:rsidRPr="00A521D5" w14:paraId="1D44A522" w14:textId="77777777" w:rsidTr="00746D27">
        <w:trPr>
          <w:cantSplit/>
          <w:trHeight w:val="225"/>
        </w:trPr>
        <w:tc>
          <w:tcPr>
            <w:tcW w:w="935" w:type="pct"/>
            <w:tcBorders>
              <w:top w:val="nil"/>
              <w:left w:val="nil"/>
              <w:bottom w:val="nil"/>
              <w:right w:val="nil"/>
            </w:tcBorders>
            <w:shd w:val="clear" w:color="000000" w:fill="FFFFFF"/>
            <w:noWrap/>
            <w:vAlign w:val="center"/>
            <w:hideMark/>
          </w:tcPr>
          <w:p w14:paraId="7651AF25" w14:textId="77777777" w:rsidR="00A63906" w:rsidRPr="00A521D5" w:rsidRDefault="00A63906" w:rsidP="00746D27">
            <w:pPr>
              <w:keepNext/>
              <w:keepLines/>
              <w:spacing w:after="0" w:line="240" w:lineRule="auto"/>
              <w:jc w:val="left"/>
              <w:rPr>
                <w:rFonts w:ascii="Arial" w:hAnsi="Arial" w:cs="Arial"/>
                <w:sz w:val="16"/>
                <w:szCs w:val="16"/>
              </w:rPr>
            </w:pPr>
            <w:r w:rsidRPr="00A521D5">
              <w:rPr>
                <w:rFonts w:ascii="Arial" w:hAnsi="Arial" w:cs="Arial"/>
                <w:sz w:val="16"/>
                <w:szCs w:val="16"/>
              </w:rPr>
              <w:t>Qld</w:t>
            </w:r>
          </w:p>
        </w:tc>
        <w:tc>
          <w:tcPr>
            <w:tcW w:w="685" w:type="pct"/>
            <w:tcBorders>
              <w:top w:val="nil"/>
              <w:left w:val="nil"/>
              <w:bottom w:val="nil"/>
              <w:right w:val="nil"/>
            </w:tcBorders>
            <w:shd w:val="clear" w:color="000000" w:fill="FFFFFF"/>
            <w:noWrap/>
            <w:vAlign w:val="center"/>
            <w:hideMark/>
          </w:tcPr>
          <w:p w14:paraId="36B9247D" w14:textId="4C311F29" w:rsidR="00A63906" w:rsidRPr="0023512E" w:rsidRDefault="001570F4" w:rsidP="00746D27">
            <w:pPr>
              <w:keepNext/>
              <w:keepLines/>
              <w:spacing w:after="0" w:line="240" w:lineRule="auto"/>
              <w:jc w:val="right"/>
              <w:rPr>
                <w:rFonts w:ascii="Arial" w:hAnsi="Arial" w:cs="Arial"/>
                <w:color w:val="auto"/>
                <w:sz w:val="16"/>
                <w:szCs w:val="16"/>
              </w:rPr>
            </w:pPr>
            <w:r w:rsidRPr="0023512E">
              <w:rPr>
                <w:rFonts w:ascii="Arial" w:hAnsi="Arial" w:cs="Arial"/>
                <w:color w:val="auto"/>
                <w:sz w:val="16"/>
                <w:szCs w:val="16"/>
              </w:rPr>
              <w:t>134</w:t>
            </w:r>
          </w:p>
        </w:tc>
        <w:tc>
          <w:tcPr>
            <w:tcW w:w="169" w:type="pct"/>
            <w:tcBorders>
              <w:top w:val="nil"/>
              <w:left w:val="nil"/>
              <w:bottom w:val="nil"/>
              <w:right w:val="nil"/>
            </w:tcBorders>
            <w:shd w:val="clear" w:color="000000" w:fill="FFFFFF"/>
            <w:noWrap/>
            <w:vAlign w:val="center"/>
            <w:hideMark/>
          </w:tcPr>
          <w:p w14:paraId="77B9A799" w14:textId="77777777" w:rsidR="00A63906" w:rsidRPr="00A63906" w:rsidRDefault="00A63906" w:rsidP="00746D27">
            <w:pPr>
              <w:keepNext/>
              <w:keepLines/>
              <w:spacing w:after="0" w:line="240" w:lineRule="auto"/>
              <w:jc w:val="right"/>
              <w:rPr>
                <w:rFonts w:ascii="Arial" w:hAnsi="Arial" w:cs="Arial"/>
                <w:color w:val="auto"/>
                <w:sz w:val="16"/>
                <w:szCs w:val="16"/>
              </w:rPr>
            </w:pPr>
            <w:r w:rsidRPr="00A63906">
              <w:rPr>
                <w:rFonts w:ascii="Arial" w:hAnsi="Arial" w:cs="Arial"/>
                <w:color w:val="auto"/>
                <w:sz w:val="16"/>
                <w:szCs w:val="16"/>
              </w:rPr>
              <w:t> </w:t>
            </w:r>
          </w:p>
        </w:tc>
        <w:tc>
          <w:tcPr>
            <w:tcW w:w="724" w:type="pct"/>
            <w:tcBorders>
              <w:top w:val="nil"/>
              <w:left w:val="nil"/>
              <w:bottom w:val="nil"/>
              <w:right w:val="nil"/>
            </w:tcBorders>
            <w:shd w:val="clear" w:color="000000" w:fill="FFFFFF"/>
            <w:noWrap/>
            <w:vAlign w:val="bottom"/>
            <w:hideMark/>
          </w:tcPr>
          <w:p w14:paraId="285F90C5" w14:textId="1385457C" w:rsidR="00A63906" w:rsidRPr="0023512E" w:rsidRDefault="001570F4" w:rsidP="00746D27">
            <w:pPr>
              <w:keepNext/>
              <w:keepLines/>
              <w:spacing w:after="0" w:line="240" w:lineRule="auto"/>
              <w:jc w:val="right"/>
              <w:rPr>
                <w:rFonts w:ascii="Arial" w:hAnsi="Arial" w:cs="Arial"/>
                <w:sz w:val="16"/>
                <w:szCs w:val="16"/>
              </w:rPr>
            </w:pPr>
            <w:r w:rsidRPr="0023512E">
              <w:rPr>
                <w:rFonts w:ascii="Arial" w:hAnsi="Arial" w:cs="Arial"/>
                <w:sz w:val="16"/>
                <w:szCs w:val="16"/>
              </w:rPr>
              <w:t>2.5</w:t>
            </w:r>
          </w:p>
        </w:tc>
        <w:tc>
          <w:tcPr>
            <w:tcW w:w="1137" w:type="pct"/>
            <w:tcBorders>
              <w:top w:val="nil"/>
              <w:left w:val="nil"/>
              <w:bottom w:val="nil"/>
              <w:right w:val="nil"/>
            </w:tcBorders>
            <w:shd w:val="clear" w:color="000000" w:fill="FFFFFF"/>
            <w:noWrap/>
            <w:vAlign w:val="bottom"/>
            <w:hideMark/>
          </w:tcPr>
          <w:p w14:paraId="75419687" w14:textId="77777777" w:rsidR="00A63906" w:rsidRPr="0023512E" w:rsidRDefault="00A63906" w:rsidP="00746D27">
            <w:pPr>
              <w:keepNext/>
              <w:keepLines/>
              <w:spacing w:after="0" w:line="240" w:lineRule="auto"/>
              <w:jc w:val="right"/>
              <w:rPr>
                <w:rFonts w:ascii="Arial" w:hAnsi="Arial" w:cs="Arial"/>
                <w:sz w:val="16"/>
                <w:szCs w:val="16"/>
              </w:rPr>
            </w:pPr>
            <w:r w:rsidRPr="0023512E">
              <w:rPr>
                <w:rFonts w:ascii="Arial" w:hAnsi="Arial" w:cs="Arial"/>
                <w:sz w:val="16"/>
                <w:szCs w:val="16"/>
              </w:rPr>
              <w:t>0.5</w:t>
            </w:r>
          </w:p>
        </w:tc>
        <w:tc>
          <w:tcPr>
            <w:tcW w:w="301" w:type="pct"/>
            <w:tcBorders>
              <w:top w:val="nil"/>
              <w:left w:val="nil"/>
              <w:bottom w:val="nil"/>
              <w:right w:val="nil"/>
            </w:tcBorders>
            <w:shd w:val="clear" w:color="000000" w:fill="FFFFFF"/>
            <w:noWrap/>
            <w:vAlign w:val="center"/>
            <w:hideMark/>
          </w:tcPr>
          <w:p w14:paraId="7038A563" w14:textId="77777777" w:rsidR="00A63906" w:rsidRPr="00A63906" w:rsidRDefault="00A63906" w:rsidP="00746D27">
            <w:pPr>
              <w:keepNext/>
              <w:keepLines/>
              <w:spacing w:after="0" w:line="240" w:lineRule="auto"/>
              <w:jc w:val="right"/>
              <w:rPr>
                <w:rFonts w:ascii="Arial" w:hAnsi="Arial" w:cs="Arial"/>
                <w:color w:val="auto"/>
                <w:sz w:val="16"/>
                <w:szCs w:val="16"/>
              </w:rPr>
            </w:pPr>
            <w:r w:rsidRPr="00A63906">
              <w:rPr>
                <w:rFonts w:ascii="Arial" w:hAnsi="Arial" w:cs="Arial"/>
                <w:color w:val="auto"/>
                <w:sz w:val="16"/>
                <w:szCs w:val="16"/>
              </w:rPr>
              <w:t> </w:t>
            </w:r>
          </w:p>
        </w:tc>
        <w:tc>
          <w:tcPr>
            <w:tcW w:w="1049" w:type="pct"/>
            <w:tcBorders>
              <w:top w:val="nil"/>
              <w:left w:val="nil"/>
              <w:bottom w:val="nil"/>
              <w:right w:val="nil"/>
            </w:tcBorders>
            <w:shd w:val="clear" w:color="000000" w:fill="FFFFFF"/>
            <w:noWrap/>
            <w:vAlign w:val="bottom"/>
            <w:hideMark/>
          </w:tcPr>
          <w:p w14:paraId="482DB9FB" w14:textId="60263617" w:rsidR="00A63906" w:rsidRPr="0023512E" w:rsidRDefault="002B19D2" w:rsidP="00746D27">
            <w:pPr>
              <w:keepNext/>
              <w:keepLines/>
              <w:spacing w:after="0" w:line="240" w:lineRule="auto"/>
              <w:jc w:val="right"/>
              <w:rPr>
                <w:rFonts w:ascii="Arial" w:hAnsi="Arial" w:cs="Arial"/>
                <w:sz w:val="16"/>
                <w:szCs w:val="16"/>
              </w:rPr>
            </w:pPr>
            <w:r>
              <w:rPr>
                <w:rFonts w:ascii="Arial" w:hAnsi="Arial" w:cs="Arial"/>
                <w:sz w:val="16"/>
                <w:szCs w:val="16"/>
              </w:rPr>
              <w:t>2.9</w:t>
            </w:r>
          </w:p>
        </w:tc>
      </w:tr>
      <w:tr w:rsidR="00A63906" w:rsidRPr="00A521D5" w14:paraId="5679B1B4" w14:textId="77777777" w:rsidTr="00746D27">
        <w:trPr>
          <w:cantSplit/>
          <w:trHeight w:val="225"/>
        </w:trPr>
        <w:tc>
          <w:tcPr>
            <w:tcW w:w="935" w:type="pct"/>
            <w:tcBorders>
              <w:top w:val="nil"/>
              <w:left w:val="nil"/>
              <w:bottom w:val="nil"/>
              <w:right w:val="nil"/>
            </w:tcBorders>
            <w:shd w:val="clear" w:color="000000" w:fill="FFFFFF"/>
            <w:noWrap/>
            <w:vAlign w:val="center"/>
            <w:hideMark/>
          </w:tcPr>
          <w:p w14:paraId="6D7FBFBF" w14:textId="77777777" w:rsidR="00A63906" w:rsidRPr="00A521D5" w:rsidRDefault="00A63906" w:rsidP="00746D27">
            <w:pPr>
              <w:keepNext/>
              <w:keepLines/>
              <w:spacing w:after="0" w:line="240" w:lineRule="auto"/>
              <w:jc w:val="left"/>
              <w:rPr>
                <w:rFonts w:ascii="Arial" w:hAnsi="Arial" w:cs="Arial"/>
                <w:sz w:val="16"/>
                <w:szCs w:val="16"/>
              </w:rPr>
            </w:pPr>
            <w:r w:rsidRPr="00A521D5">
              <w:rPr>
                <w:rFonts w:ascii="Arial" w:hAnsi="Arial" w:cs="Arial"/>
                <w:sz w:val="16"/>
                <w:szCs w:val="16"/>
              </w:rPr>
              <w:t>SA</w:t>
            </w:r>
          </w:p>
        </w:tc>
        <w:tc>
          <w:tcPr>
            <w:tcW w:w="685" w:type="pct"/>
            <w:tcBorders>
              <w:top w:val="nil"/>
              <w:left w:val="nil"/>
              <w:bottom w:val="nil"/>
              <w:right w:val="nil"/>
            </w:tcBorders>
            <w:shd w:val="clear" w:color="000000" w:fill="FFFFFF"/>
            <w:noWrap/>
            <w:vAlign w:val="center"/>
            <w:hideMark/>
          </w:tcPr>
          <w:p w14:paraId="58EBFDA4" w14:textId="4C01A404" w:rsidR="00A63906" w:rsidRPr="0023512E" w:rsidRDefault="001570F4" w:rsidP="00746D27">
            <w:pPr>
              <w:keepNext/>
              <w:keepLines/>
              <w:spacing w:after="0" w:line="240" w:lineRule="auto"/>
              <w:jc w:val="right"/>
              <w:rPr>
                <w:rFonts w:ascii="Arial" w:hAnsi="Arial" w:cs="Arial"/>
                <w:color w:val="auto"/>
                <w:sz w:val="16"/>
                <w:szCs w:val="16"/>
              </w:rPr>
            </w:pPr>
            <w:r w:rsidRPr="0023512E">
              <w:rPr>
                <w:rFonts w:ascii="Arial" w:hAnsi="Arial" w:cs="Arial"/>
                <w:color w:val="auto"/>
                <w:sz w:val="16"/>
                <w:szCs w:val="16"/>
              </w:rPr>
              <w:t>30</w:t>
            </w:r>
          </w:p>
        </w:tc>
        <w:tc>
          <w:tcPr>
            <w:tcW w:w="169" w:type="pct"/>
            <w:tcBorders>
              <w:top w:val="nil"/>
              <w:left w:val="nil"/>
              <w:bottom w:val="nil"/>
              <w:right w:val="nil"/>
            </w:tcBorders>
            <w:shd w:val="clear" w:color="000000" w:fill="FFFFFF"/>
            <w:noWrap/>
            <w:vAlign w:val="center"/>
            <w:hideMark/>
          </w:tcPr>
          <w:p w14:paraId="706E7523" w14:textId="77777777" w:rsidR="00A63906" w:rsidRPr="00A63906" w:rsidRDefault="00A63906" w:rsidP="00746D27">
            <w:pPr>
              <w:keepNext/>
              <w:keepLines/>
              <w:spacing w:after="0" w:line="240" w:lineRule="auto"/>
              <w:jc w:val="right"/>
              <w:rPr>
                <w:rFonts w:ascii="Arial" w:hAnsi="Arial" w:cs="Arial"/>
                <w:color w:val="auto"/>
                <w:sz w:val="16"/>
                <w:szCs w:val="16"/>
              </w:rPr>
            </w:pPr>
            <w:r w:rsidRPr="00A63906">
              <w:rPr>
                <w:rFonts w:ascii="Arial" w:hAnsi="Arial" w:cs="Arial"/>
                <w:color w:val="auto"/>
                <w:sz w:val="16"/>
                <w:szCs w:val="16"/>
              </w:rPr>
              <w:t> </w:t>
            </w:r>
          </w:p>
        </w:tc>
        <w:tc>
          <w:tcPr>
            <w:tcW w:w="724" w:type="pct"/>
            <w:tcBorders>
              <w:top w:val="nil"/>
              <w:left w:val="nil"/>
              <w:bottom w:val="nil"/>
              <w:right w:val="nil"/>
            </w:tcBorders>
            <w:shd w:val="clear" w:color="000000" w:fill="FFFFFF"/>
            <w:noWrap/>
            <w:vAlign w:val="bottom"/>
            <w:hideMark/>
          </w:tcPr>
          <w:p w14:paraId="5890A385" w14:textId="75FE0E7B" w:rsidR="00A63906" w:rsidRPr="0023512E" w:rsidRDefault="001570F4" w:rsidP="00746D27">
            <w:pPr>
              <w:keepNext/>
              <w:keepLines/>
              <w:spacing w:after="0" w:line="240" w:lineRule="auto"/>
              <w:jc w:val="right"/>
              <w:rPr>
                <w:rFonts w:ascii="Arial" w:hAnsi="Arial" w:cs="Arial"/>
                <w:sz w:val="16"/>
                <w:szCs w:val="16"/>
              </w:rPr>
            </w:pPr>
            <w:r w:rsidRPr="0023512E">
              <w:rPr>
                <w:rFonts w:ascii="Arial" w:hAnsi="Arial" w:cs="Arial"/>
                <w:sz w:val="16"/>
                <w:szCs w:val="16"/>
              </w:rPr>
              <w:t>0.3</w:t>
            </w:r>
          </w:p>
        </w:tc>
        <w:tc>
          <w:tcPr>
            <w:tcW w:w="1137" w:type="pct"/>
            <w:tcBorders>
              <w:top w:val="nil"/>
              <w:left w:val="nil"/>
              <w:bottom w:val="nil"/>
              <w:right w:val="nil"/>
            </w:tcBorders>
            <w:shd w:val="clear" w:color="000000" w:fill="FFFFFF"/>
            <w:noWrap/>
            <w:vAlign w:val="bottom"/>
            <w:hideMark/>
          </w:tcPr>
          <w:p w14:paraId="3FDDFD0F" w14:textId="77777777" w:rsidR="00A63906" w:rsidRPr="0023512E" w:rsidRDefault="00A63906" w:rsidP="00746D27">
            <w:pPr>
              <w:keepNext/>
              <w:keepLines/>
              <w:spacing w:after="0" w:line="240" w:lineRule="auto"/>
              <w:jc w:val="right"/>
              <w:rPr>
                <w:rFonts w:ascii="Arial" w:hAnsi="Arial" w:cs="Arial"/>
                <w:sz w:val="16"/>
                <w:szCs w:val="16"/>
              </w:rPr>
            </w:pPr>
            <w:r w:rsidRPr="0023512E">
              <w:rPr>
                <w:rFonts w:ascii="Arial" w:hAnsi="Arial" w:cs="Arial"/>
                <w:sz w:val="16"/>
                <w:szCs w:val="16"/>
              </w:rPr>
              <w:t>0.1</w:t>
            </w:r>
          </w:p>
        </w:tc>
        <w:tc>
          <w:tcPr>
            <w:tcW w:w="301" w:type="pct"/>
            <w:tcBorders>
              <w:top w:val="nil"/>
              <w:left w:val="nil"/>
              <w:bottom w:val="nil"/>
              <w:right w:val="nil"/>
            </w:tcBorders>
            <w:shd w:val="clear" w:color="000000" w:fill="FFFFFF"/>
            <w:noWrap/>
            <w:vAlign w:val="center"/>
            <w:hideMark/>
          </w:tcPr>
          <w:p w14:paraId="4241F6D3" w14:textId="77777777" w:rsidR="00A63906" w:rsidRPr="00A63906" w:rsidRDefault="00A63906" w:rsidP="00746D27">
            <w:pPr>
              <w:keepNext/>
              <w:keepLines/>
              <w:spacing w:after="0" w:line="240" w:lineRule="auto"/>
              <w:jc w:val="right"/>
              <w:rPr>
                <w:rFonts w:ascii="Arial" w:hAnsi="Arial" w:cs="Arial"/>
                <w:color w:val="auto"/>
                <w:sz w:val="16"/>
                <w:szCs w:val="16"/>
              </w:rPr>
            </w:pPr>
            <w:r w:rsidRPr="00A63906">
              <w:rPr>
                <w:rFonts w:ascii="Arial" w:hAnsi="Arial" w:cs="Arial"/>
                <w:color w:val="auto"/>
                <w:sz w:val="16"/>
                <w:szCs w:val="16"/>
              </w:rPr>
              <w:t> </w:t>
            </w:r>
          </w:p>
        </w:tc>
        <w:tc>
          <w:tcPr>
            <w:tcW w:w="1049" w:type="pct"/>
            <w:tcBorders>
              <w:top w:val="nil"/>
              <w:left w:val="nil"/>
              <w:bottom w:val="nil"/>
              <w:right w:val="nil"/>
            </w:tcBorders>
            <w:shd w:val="clear" w:color="000000" w:fill="FFFFFF"/>
            <w:noWrap/>
            <w:vAlign w:val="bottom"/>
            <w:hideMark/>
          </w:tcPr>
          <w:p w14:paraId="77A6D657" w14:textId="34F60445" w:rsidR="00A63906" w:rsidRPr="0023512E" w:rsidRDefault="001570F4" w:rsidP="00746D27">
            <w:pPr>
              <w:keepNext/>
              <w:keepLines/>
              <w:spacing w:after="0" w:line="240" w:lineRule="auto"/>
              <w:jc w:val="right"/>
              <w:rPr>
                <w:rFonts w:ascii="Arial" w:hAnsi="Arial" w:cs="Arial"/>
                <w:sz w:val="16"/>
                <w:szCs w:val="16"/>
              </w:rPr>
            </w:pPr>
            <w:r w:rsidRPr="0023512E">
              <w:rPr>
                <w:rFonts w:ascii="Arial" w:hAnsi="Arial" w:cs="Arial"/>
                <w:sz w:val="16"/>
                <w:szCs w:val="16"/>
              </w:rPr>
              <w:t>0.</w:t>
            </w:r>
            <w:r w:rsidR="002B19D2">
              <w:rPr>
                <w:rFonts w:ascii="Arial" w:hAnsi="Arial" w:cs="Arial"/>
                <w:sz w:val="16"/>
                <w:szCs w:val="16"/>
              </w:rPr>
              <w:t>3</w:t>
            </w:r>
          </w:p>
        </w:tc>
      </w:tr>
      <w:tr w:rsidR="00A63906" w:rsidRPr="00A521D5" w14:paraId="06224754" w14:textId="77777777" w:rsidTr="00746D27">
        <w:trPr>
          <w:cantSplit/>
          <w:trHeight w:val="225"/>
        </w:trPr>
        <w:tc>
          <w:tcPr>
            <w:tcW w:w="935" w:type="pct"/>
            <w:tcBorders>
              <w:top w:val="nil"/>
              <w:left w:val="nil"/>
              <w:bottom w:val="nil"/>
              <w:right w:val="nil"/>
            </w:tcBorders>
            <w:shd w:val="clear" w:color="000000" w:fill="FFFFFF"/>
            <w:noWrap/>
            <w:vAlign w:val="center"/>
            <w:hideMark/>
          </w:tcPr>
          <w:p w14:paraId="15A32806" w14:textId="77777777" w:rsidR="00A63906" w:rsidRPr="00A521D5" w:rsidRDefault="00A63906" w:rsidP="00746D27">
            <w:pPr>
              <w:keepNext/>
              <w:keepLines/>
              <w:spacing w:after="0" w:line="240" w:lineRule="auto"/>
              <w:jc w:val="left"/>
              <w:rPr>
                <w:rFonts w:ascii="Arial" w:hAnsi="Arial" w:cs="Arial"/>
                <w:sz w:val="16"/>
                <w:szCs w:val="16"/>
              </w:rPr>
            </w:pPr>
            <w:r w:rsidRPr="00A521D5">
              <w:rPr>
                <w:rFonts w:ascii="Arial" w:hAnsi="Arial" w:cs="Arial"/>
                <w:sz w:val="16"/>
                <w:szCs w:val="16"/>
              </w:rPr>
              <w:t>Tas.</w:t>
            </w:r>
          </w:p>
        </w:tc>
        <w:tc>
          <w:tcPr>
            <w:tcW w:w="685" w:type="pct"/>
            <w:tcBorders>
              <w:top w:val="nil"/>
              <w:left w:val="nil"/>
              <w:bottom w:val="nil"/>
              <w:right w:val="nil"/>
            </w:tcBorders>
            <w:shd w:val="clear" w:color="000000" w:fill="FFFFFF"/>
            <w:noWrap/>
            <w:vAlign w:val="center"/>
            <w:hideMark/>
          </w:tcPr>
          <w:p w14:paraId="2F433BA8" w14:textId="48075B6A" w:rsidR="00A63906" w:rsidRPr="0023512E" w:rsidRDefault="001570F4" w:rsidP="00746D27">
            <w:pPr>
              <w:keepNext/>
              <w:keepLines/>
              <w:spacing w:after="0" w:line="240" w:lineRule="auto"/>
              <w:jc w:val="right"/>
              <w:rPr>
                <w:rFonts w:ascii="Arial" w:hAnsi="Arial" w:cs="Arial"/>
                <w:color w:val="auto"/>
                <w:sz w:val="16"/>
                <w:szCs w:val="16"/>
              </w:rPr>
            </w:pPr>
            <w:r w:rsidRPr="0023512E">
              <w:rPr>
                <w:rFonts w:ascii="Arial" w:hAnsi="Arial" w:cs="Arial"/>
                <w:color w:val="auto"/>
                <w:sz w:val="16"/>
                <w:szCs w:val="16"/>
              </w:rPr>
              <w:t>6</w:t>
            </w:r>
          </w:p>
        </w:tc>
        <w:tc>
          <w:tcPr>
            <w:tcW w:w="169" w:type="pct"/>
            <w:tcBorders>
              <w:top w:val="nil"/>
              <w:left w:val="nil"/>
              <w:bottom w:val="nil"/>
              <w:right w:val="nil"/>
            </w:tcBorders>
            <w:shd w:val="clear" w:color="000000" w:fill="FFFFFF"/>
            <w:noWrap/>
            <w:vAlign w:val="center"/>
            <w:hideMark/>
          </w:tcPr>
          <w:p w14:paraId="41546ED4" w14:textId="77777777" w:rsidR="00A63906" w:rsidRPr="00A63906" w:rsidRDefault="00A63906" w:rsidP="00746D27">
            <w:pPr>
              <w:keepNext/>
              <w:keepLines/>
              <w:spacing w:after="0" w:line="240" w:lineRule="auto"/>
              <w:jc w:val="right"/>
              <w:rPr>
                <w:rFonts w:ascii="Arial" w:hAnsi="Arial" w:cs="Arial"/>
                <w:color w:val="auto"/>
                <w:sz w:val="16"/>
                <w:szCs w:val="16"/>
              </w:rPr>
            </w:pPr>
            <w:r w:rsidRPr="00A63906">
              <w:rPr>
                <w:rFonts w:ascii="Arial" w:hAnsi="Arial" w:cs="Arial"/>
                <w:color w:val="auto"/>
                <w:sz w:val="16"/>
                <w:szCs w:val="16"/>
              </w:rPr>
              <w:t> </w:t>
            </w:r>
          </w:p>
        </w:tc>
        <w:tc>
          <w:tcPr>
            <w:tcW w:w="724" w:type="pct"/>
            <w:tcBorders>
              <w:top w:val="nil"/>
              <w:left w:val="nil"/>
              <w:bottom w:val="nil"/>
              <w:right w:val="nil"/>
            </w:tcBorders>
            <w:shd w:val="clear" w:color="000000" w:fill="FFFFFF"/>
            <w:noWrap/>
            <w:vAlign w:val="bottom"/>
            <w:hideMark/>
          </w:tcPr>
          <w:p w14:paraId="5F2C89D7" w14:textId="77777777" w:rsidR="00A63906" w:rsidRPr="0023512E" w:rsidRDefault="00A63906" w:rsidP="00746D27">
            <w:pPr>
              <w:keepNext/>
              <w:keepLines/>
              <w:spacing w:after="0" w:line="240" w:lineRule="auto"/>
              <w:jc w:val="right"/>
              <w:rPr>
                <w:rFonts w:ascii="Arial" w:hAnsi="Arial" w:cs="Arial"/>
                <w:sz w:val="16"/>
                <w:szCs w:val="16"/>
              </w:rPr>
            </w:pPr>
            <w:r w:rsidRPr="0023512E">
              <w:rPr>
                <w:rFonts w:ascii="Arial" w:hAnsi="Arial" w:cs="Arial"/>
                <w:sz w:val="16"/>
                <w:szCs w:val="16"/>
              </w:rPr>
              <w:t>0.0</w:t>
            </w:r>
          </w:p>
        </w:tc>
        <w:tc>
          <w:tcPr>
            <w:tcW w:w="1137" w:type="pct"/>
            <w:tcBorders>
              <w:top w:val="nil"/>
              <w:left w:val="nil"/>
              <w:bottom w:val="nil"/>
              <w:right w:val="nil"/>
            </w:tcBorders>
            <w:shd w:val="clear" w:color="000000" w:fill="FFFFFF"/>
            <w:noWrap/>
            <w:vAlign w:val="bottom"/>
            <w:hideMark/>
          </w:tcPr>
          <w:p w14:paraId="4AB0DA3E" w14:textId="77777777" w:rsidR="00A63906" w:rsidRPr="0023512E" w:rsidRDefault="00A63906" w:rsidP="00746D27">
            <w:pPr>
              <w:keepNext/>
              <w:keepLines/>
              <w:spacing w:after="0" w:line="240" w:lineRule="auto"/>
              <w:jc w:val="right"/>
              <w:rPr>
                <w:rFonts w:ascii="Arial" w:hAnsi="Arial" w:cs="Arial"/>
                <w:sz w:val="16"/>
                <w:szCs w:val="16"/>
              </w:rPr>
            </w:pPr>
            <w:r w:rsidRPr="0023512E">
              <w:rPr>
                <w:rFonts w:ascii="Arial" w:hAnsi="Arial" w:cs="Arial"/>
                <w:sz w:val="16"/>
                <w:szCs w:val="16"/>
              </w:rPr>
              <w:t>0.0</w:t>
            </w:r>
          </w:p>
        </w:tc>
        <w:tc>
          <w:tcPr>
            <w:tcW w:w="301" w:type="pct"/>
            <w:tcBorders>
              <w:top w:val="nil"/>
              <w:left w:val="nil"/>
              <w:bottom w:val="nil"/>
              <w:right w:val="nil"/>
            </w:tcBorders>
            <w:shd w:val="clear" w:color="000000" w:fill="FFFFFF"/>
            <w:noWrap/>
            <w:vAlign w:val="center"/>
            <w:hideMark/>
          </w:tcPr>
          <w:p w14:paraId="7DB14DE4" w14:textId="77777777" w:rsidR="00A63906" w:rsidRPr="00A63906" w:rsidRDefault="00A63906" w:rsidP="00746D27">
            <w:pPr>
              <w:keepNext/>
              <w:keepLines/>
              <w:spacing w:after="0" w:line="240" w:lineRule="auto"/>
              <w:jc w:val="right"/>
              <w:rPr>
                <w:rFonts w:ascii="Arial" w:hAnsi="Arial" w:cs="Arial"/>
                <w:color w:val="auto"/>
                <w:sz w:val="16"/>
                <w:szCs w:val="16"/>
              </w:rPr>
            </w:pPr>
            <w:r w:rsidRPr="00A63906">
              <w:rPr>
                <w:rFonts w:ascii="Arial" w:hAnsi="Arial" w:cs="Arial"/>
                <w:color w:val="auto"/>
                <w:sz w:val="16"/>
                <w:szCs w:val="16"/>
              </w:rPr>
              <w:t> </w:t>
            </w:r>
          </w:p>
        </w:tc>
        <w:tc>
          <w:tcPr>
            <w:tcW w:w="1049" w:type="pct"/>
            <w:tcBorders>
              <w:top w:val="nil"/>
              <w:left w:val="nil"/>
              <w:bottom w:val="nil"/>
              <w:right w:val="nil"/>
            </w:tcBorders>
            <w:shd w:val="clear" w:color="000000" w:fill="FFFFFF"/>
            <w:noWrap/>
            <w:vAlign w:val="bottom"/>
            <w:hideMark/>
          </w:tcPr>
          <w:p w14:paraId="16062E13" w14:textId="5D0EA4D4" w:rsidR="00A63906" w:rsidRPr="0023512E" w:rsidRDefault="001570F4" w:rsidP="00746D27">
            <w:pPr>
              <w:keepNext/>
              <w:keepLines/>
              <w:spacing w:after="0" w:line="240" w:lineRule="auto"/>
              <w:jc w:val="right"/>
              <w:rPr>
                <w:rFonts w:ascii="Arial" w:hAnsi="Arial" w:cs="Arial"/>
                <w:sz w:val="16"/>
                <w:szCs w:val="16"/>
              </w:rPr>
            </w:pPr>
            <w:r w:rsidRPr="0023512E">
              <w:rPr>
                <w:rFonts w:ascii="Arial" w:hAnsi="Arial" w:cs="Arial"/>
                <w:sz w:val="16"/>
                <w:szCs w:val="16"/>
              </w:rPr>
              <w:t>0.0</w:t>
            </w:r>
          </w:p>
        </w:tc>
      </w:tr>
      <w:tr w:rsidR="00A63906" w:rsidRPr="00A521D5" w14:paraId="14AADCFF" w14:textId="77777777" w:rsidTr="00746D27">
        <w:trPr>
          <w:cantSplit/>
          <w:trHeight w:val="225"/>
        </w:trPr>
        <w:tc>
          <w:tcPr>
            <w:tcW w:w="935" w:type="pct"/>
            <w:tcBorders>
              <w:top w:val="nil"/>
              <w:left w:val="nil"/>
              <w:bottom w:val="nil"/>
              <w:right w:val="nil"/>
            </w:tcBorders>
            <w:shd w:val="clear" w:color="000000" w:fill="FFFFFF"/>
            <w:noWrap/>
            <w:vAlign w:val="center"/>
            <w:hideMark/>
          </w:tcPr>
          <w:p w14:paraId="6C170C5F" w14:textId="77777777" w:rsidR="00A63906" w:rsidRPr="00A521D5" w:rsidRDefault="00A63906" w:rsidP="00746D27">
            <w:pPr>
              <w:keepNext/>
              <w:keepLines/>
              <w:spacing w:after="0" w:line="240" w:lineRule="auto"/>
              <w:jc w:val="left"/>
              <w:rPr>
                <w:rFonts w:ascii="Arial" w:hAnsi="Arial" w:cs="Arial"/>
                <w:sz w:val="16"/>
                <w:szCs w:val="16"/>
              </w:rPr>
            </w:pPr>
            <w:r w:rsidRPr="00A521D5">
              <w:rPr>
                <w:rFonts w:ascii="Arial" w:hAnsi="Arial" w:cs="Arial"/>
                <w:sz w:val="16"/>
                <w:szCs w:val="16"/>
              </w:rPr>
              <w:t>Vic.</w:t>
            </w:r>
          </w:p>
        </w:tc>
        <w:tc>
          <w:tcPr>
            <w:tcW w:w="685" w:type="pct"/>
            <w:tcBorders>
              <w:top w:val="nil"/>
              <w:left w:val="nil"/>
              <w:bottom w:val="nil"/>
              <w:right w:val="nil"/>
            </w:tcBorders>
            <w:shd w:val="clear" w:color="000000" w:fill="FFFFFF"/>
            <w:noWrap/>
            <w:vAlign w:val="center"/>
            <w:hideMark/>
          </w:tcPr>
          <w:p w14:paraId="4B4294D1" w14:textId="19650723" w:rsidR="00A63906" w:rsidRPr="0023512E" w:rsidRDefault="001570F4" w:rsidP="00746D27">
            <w:pPr>
              <w:keepNext/>
              <w:keepLines/>
              <w:spacing w:after="0" w:line="240" w:lineRule="auto"/>
              <w:jc w:val="right"/>
              <w:rPr>
                <w:rFonts w:ascii="Arial" w:hAnsi="Arial" w:cs="Arial"/>
                <w:color w:val="auto"/>
                <w:sz w:val="16"/>
                <w:szCs w:val="16"/>
              </w:rPr>
            </w:pPr>
            <w:r w:rsidRPr="0023512E">
              <w:rPr>
                <w:rFonts w:ascii="Arial" w:hAnsi="Arial" w:cs="Arial"/>
                <w:color w:val="auto"/>
                <w:sz w:val="16"/>
                <w:szCs w:val="16"/>
              </w:rPr>
              <w:t>213</w:t>
            </w:r>
          </w:p>
        </w:tc>
        <w:tc>
          <w:tcPr>
            <w:tcW w:w="169" w:type="pct"/>
            <w:tcBorders>
              <w:top w:val="nil"/>
              <w:left w:val="nil"/>
              <w:bottom w:val="nil"/>
              <w:right w:val="nil"/>
            </w:tcBorders>
            <w:shd w:val="clear" w:color="000000" w:fill="FFFFFF"/>
            <w:noWrap/>
            <w:vAlign w:val="center"/>
            <w:hideMark/>
          </w:tcPr>
          <w:p w14:paraId="5453FCF4" w14:textId="77777777" w:rsidR="00A63906" w:rsidRPr="00A63906" w:rsidRDefault="00A63906" w:rsidP="00746D27">
            <w:pPr>
              <w:keepNext/>
              <w:keepLines/>
              <w:spacing w:after="0" w:line="240" w:lineRule="auto"/>
              <w:jc w:val="right"/>
              <w:rPr>
                <w:rFonts w:ascii="Arial" w:hAnsi="Arial" w:cs="Arial"/>
                <w:color w:val="auto"/>
                <w:sz w:val="16"/>
                <w:szCs w:val="16"/>
              </w:rPr>
            </w:pPr>
            <w:r w:rsidRPr="00A63906">
              <w:rPr>
                <w:rFonts w:ascii="Arial" w:hAnsi="Arial" w:cs="Arial"/>
                <w:color w:val="auto"/>
                <w:sz w:val="16"/>
                <w:szCs w:val="16"/>
              </w:rPr>
              <w:t> </w:t>
            </w:r>
          </w:p>
        </w:tc>
        <w:tc>
          <w:tcPr>
            <w:tcW w:w="724" w:type="pct"/>
            <w:tcBorders>
              <w:top w:val="nil"/>
              <w:left w:val="nil"/>
              <w:bottom w:val="nil"/>
              <w:right w:val="nil"/>
            </w:tcBorders>
            <w:shd w:val="clear" w:color="000000" w:fill="FFFFFF"/>
            <w:noWrap/>
            <w:vAlign w:val="bottom"/>
            <w:hideMark/>
          </w:tcPr>
          <w:p w14:paraId="351BED1D" w14:textId="53CF80DC" w:rsidR="00A63906" w:rsidRPr="0023512E" w:rsidRDefault="001570F4" w:rsidP="00746D27">
            <w:pPr>
              <w:keepNext/>
              <w:keepLines/>
              <w:spacing w:after="0" w:line="240" w:lineRule="auto"/>
              <w:jc w:val="right"/>
              <w:rPr>
                <w:rFonts w:ascii="Arial" w:hAnsi="Arial" w:cs="Arial"/>
                <w:sz w:val="16"/>
                <w:szCs w:val="16"/>
              </w:rPr>
            </w:pPr>
            <w:r w:rsidRPr="0023512E">
              <w:rPr>
                <w:rFonts w:ascii="Arial" w:hAnsi="Arial" w:cs="Arial"/>
                <w:sz w:val="16"/>
                <w:szCs w:val="16"/>
              </w:rPr>
              <w:t>7.9</w:t>
            </w:r>
          </w:p>
        </w:tc>
        <w:tc>
          <w:tcPr>
            <w:tcW w:w="1137" w:type="pct"/>
            <w:tcBorders>
              <w:top w:val="nil"/>
              <w:left w:val="nil"/>
              <w:bottom w:val="nil"/>
              <w:right w:val="nil"/>
            </w:tcBorders>
            <w:shd w:val="clear" w:color="000000" w:fill="FFFFFF"/>
            <w:noWrap/>
            <w:vAlign w:val="bottom"/>
            <w:hideMark/>
          </w:tcPr>
          <w:p w14:paraId="0B644E86" w14:textId="5A8F6C22" w:rsidR="00A63906" w:rsidRPr="0023512E" w:rsidRDefault="001570F4" w:rsidP="00746D27">
            <w:pPr>
              <w:keepNext/>
              <w:keepLines/>
              <w:spacing w:after="0" w:line="240" w:lineRule="auto"/>
              <w:jc w:val="right"/>
              <w:rPr>
                <w:rFonts w:ascii="Arial" w:hAnsi="Arial" w:cs="Arial"/>
                <w:sz w:val="16"/>
                <w:szCs w:val="16"/>
              </w:rPr>
            </w:pPr>
            <w:r w:rsidRPr="0023512E">
              <w:rPr>
                <w:rFonts w:ascii="Arial" w:hAnsi="Arial" w:cs="Arial"/>
                <w:sz w:val="16"/>
                <w:szCs w:val="16"/>
              </w:rPr>
              <w:t>0.3</w:t>
            </w:r>
          </w:p>
        </w:tc>
        <w:tc>
          <w:tcPr>
            <w:tcW w:w="301" w:type="pct"/>
            <w:tcBorders>
              <w:top w:val="nil"/>
              <w:left w:val="nil"/>
              <w:bottom w:val="nil"/>
              <w:right w:val="nil"/>
            </w:tcBorders>
            <w:shd w:val="clear" w:color="000000" w:fill="FFFFFF"/>
            <w:noWrap/>
            <w:vAlign w:val="center"/>
            <w:hideMark/>
          </w:tcPr>
          <w:p w14:paraId="22252E1E" w14:textId="77777777" w:rsidR="00A63906" w:rsidRPr="00A63906" w:rsidRDefault="00A63906" w:rsidP="00746D27">
            <w:pPr>
              <w:keepNext/>
              <w:keepLines/>
              <w:spacing w:after="0" w:line="240" w:lineRule="auto"/>
              <w:jc w:val="right"/>
              <w:rPr>
                <w:rFonts w:ascii="Arial" w:hAnsi="Arial" w:cs="Arial"/>
                <w:color w:val="auto"/>
                <w:sz w:val="16"/>
                <w:szCs w:val="16"/>
              </w:rPr>
            </w:pPr>
            <w:r w:rsidRPr="00A63906">
              <w:rPr>
                <w:rFonts w:ascii="Arial" w:hAnsi="Arial" w:cs="Arial"/>
                <w:color w:val="auto"/>
                <w:sz w:val="16"/>
                <w:szCs w:val="16"/>
              </w:rPr>
              <w:t> </w:t>
            </w:r>
          </w:p>
        </w:tc>
        <w:tc>
          <w:tcPr>
            <w:tcW w:w="1049" w:type="pct"/>
            <w:tcBorders>
              <w:top w:val="nil"/>
              <w:left w:val="nil"/>
              <w:bottom w:val="nil"/>
              <w:right w:val="nil"/>
            </w:tcBorders>
            <w:shd w:val="clear" w:color="000000" w:fill="FFFFFF"/>
            <w:noWrap/>
            <w:vAlign w:val="bottom"/>
            <w:hideMark/>
          </w:tcPr>
          <w:p w14:paraId="0766FAA9" w14:textId="15D64A16" w:rsidR="00A63906" w:rsidRPr="0023512E" w:rsidRDefault="001570F4" w:rsidP="00746D27">
            <w:pPr>
              <w:keepNext/>
              <w:keepLines/>
              <w:spacing w:after="0" w:line="240" w:lineRule="auto"/>
              <w:jc w:val="right"/>
              <w:rPr>
                <w:rFonts w:ascii="Arial" w:hAnsi="Arial" w:cs="Arial"/>
                <w:sz w:val="16"/>
                <w:szCs w:val="16"/>
              </w:rPr>
            </w:pPr>
            <w:r w:rsidRPr="0023512E">
              <w:rPr>
                <w:rFonts w:ascii="Arial" w:hAnsi="Arial" w:cs="Arial"/>
                <w:sz w:val="16"/>
                <w:szCs w:val="16"/>
              </w:rPr>
              <w:t>8.</w:t>
            </w:r>
            <w:r w:rsidR="002B19D2">
              <w:rPr>
                <w:rFonts w:ascii="Arial" w:hAnsi="Arial" w:cs="Arial"/>
                <w:sz w:val="16"/>
                <w:szCs w:val="16"/>
              </w:rPr>
              <w:t>3</w:t>
            </w:r>
          </w:p>
        </w:tc>
      </w:tr>
      <w:tr w:rsidR="00A63906" w:rsidRPr="00A521D5" w14:paraId="36F5AF8D" w14:textId="77777777" w:rsidTr="00746D27">
        <w:trPr>
          <w:cantSplit/>
          <w:trHeight w:val="225"/>
        </w:trPr>
        <w:tc>
          <w:tcPr>
            <w:tcW w:w="935" w:type="pct"/>
            <w:tcBorders>
              <w:top w:val="nil"/>
              <w:left w:val="nil"/>
              <w:bottom w:val="nil"/>
              <w:right w:val="nil"/>
            </w:tcBorders>
            <w:shd w:val="clear" w:color="000000" w:fill="FFFFFF"/>
            <w:noWrap/>
            <w:vAlign w:val="center"/>
            <w:hideMark/>
          </w:tcPr>
          <w:p w14:paraId="79ECCD91" w14:textId="77777777" w:rsidR="00A63906" w:rsidRPr="00A521D5" w:rsidRDefault="00A63906" w:rsidP="00746D27">
            <w:pPr>
              <w:keepNext/>
              <w:keepLines/>
              <w:spacing w:after="0" w:line="240" w:lineRule="auto"/>
              <w:jc w:val="left"/>
              <w:rPr>
                <w:rFonts w:ascii="Arial" w:hAnsi="Arial" w:cs="Arial"/>
                <w:sz w:val="16"/>
                <w:szCs w:val="16"/>
              </w:rPr>
            </w:pPr>
            <w:r w:rsidRPr="00A521D5">
              <w:rPr>
                <w:rFonts w:ascii="Arial" w:hAnsi="Arial" w:cs="Arial"/>
                <w:sz w:val="16"/>
                <w:szCs w:val="16"/>
              </w:rPr>
              <w:t>WA</w:t>
            </w:r>
          </w:p>
        </w:tc>
        <w:tc>
          <w:tcPr>
            <w:tcW w:w="685" w:type="pct"/>
            <w:tcBorders>
              <w:top w:val="nil"/>
              <w:left w:val="nil"/>
              <w:bottom w:val="nil"/>
              <w:right w:val="nil"/>
            </w:tcBorders>
            <w:shd w:val="clear" w:color="000000" w:fill="FFFFFF"/>
            <w:noWrap/>
            <w:vAlign w:val="center"/>
            <w:hideMark/>
          </w:tcPr>
          <w:p w14:paraId="0C9736F4" w14:textId="30074F7E" w:rsidR="00A63906" w:rsidRPr="0023512E" w:rsidRDefault="001570F4" w:rsidP="00746D27">
            <w:pPr>
              <w:keepNext/>
              <w:keepLines/>
              <w:spacing w:after="0" w:line="240" w:lineRule="auto"/>
              <w:jc w:val="right"/>
              <w:rPr>
                <w:rFonts w:ascii="Arial" w:hAnsi="Arial" w:cs="Arial"/>
                <w:color w:val="auto"/>
                <w:sz w:val="16"/>
                <w:szCs w:val="16"/>
              </w:rPr>
            </w:pPr>
            <w:r w:rsidRPr="0023512E">
              <w:rPr>
                <w:rFonts w:ascii="Arial" w:hAnsi="Arial" w:cs="Arial"/>
                <w:color w:val="auto"/>
                <w:sz w:val="16"/>
                <w:szCs w:val="16"/>
              </w:rPr>
              <w:t>75</w:t>
            </w:r>
          </w:p>
        </w:tc>
        <w:tc>
          <w:tcPr>
            <w:tcW w:w="169" w:type="pct"/>
            <w:tcBorders>
              <w:top w:val="nil"/>
              <w:left w:val="nil"/>
              <w:bottom w:val="nil"/>
              <w:right w:val="nil"/>
            </w:tcBorders>
            <w:shd w:val="clear" w:color="000000" w:fill="FFFFFF"/>
            <w:noWrap/>
            <w:vAlign w:val="center"/>
            <w:hideMark/>
          </w:tcPr>
          <w:p w14:paraId="2023EB1C" w14:textId="238173C9" w:rsidR="00A63906" w:rsidRPr="00A63906" w:rsidRDefault="00A63906" w:rsidP="00682C91">
            <w:pPr>
              <w:keepNext/>
              <w:keepLines/>
              <w:spacing w:after="0" w:line="240" w:lineRule="auto"/>
              <w:jc w:val="center"/>
              <w:rPr>
                <w:rFonts w:ascii="Arial" w:hAnsi="Arial" w:cs="Arial"/>
                <w:color w:val="auto"/>
                <w:sz w:val="16"/>
                <w:szCs w:val="16"/>
              </w:rPr>
            </w:pPr>
          </w:p>
        </w:tc>
        <w:tc>
          <w:tcPr>
            <w:tcW w:w="724" w:type="pct"/>
            <w:tcBorders>
              <w:top w:val="nil"/>
              <w:left w:val="nil"/>
              <w:bottom w:val="nil"/>
              <w:right w:val="nil"/>
            </w:tcBorders>
            <w:shd w:val="clear" w:color="000000" w:fill="FFFFFF"/>
            <w:noWrap/>
            <w:vAlign w:val="bottom"/>
            <w:hideMark/>
          </w:tcPr>
          <w:p w14:paraId="1CFF5B0E" w14:textId="3843A5C9" w:rsidR="00A63906" w:rsidRPr="0023512E" w:rsidRDefault="001570F4" w:rsidP="00746D27">
            <w:pPr>
              <w:keepNext/>
              <w:keepLines/>
              <w:spacing w:after="0" w:line="240" w:lineRule="auto"/>
              <w:jc w:val="right"/>
              <w:rPr>
                <w:rFonts w:ascii="Arial" w:hAnsi="Arial" w:cs="Arial"/>
                <w:sz w:val="16"/>
                <w:szCs w:val="16"/>
              </w:rPr>
            </w:pPr>
            <w:r w:rsidRPr="0023512E">
              <w:rPr>
                <w:rFonts w:ascii="Arial" w:hAnsi="Arial" w:cs="Arial"/>
                <w:sz w:val="16"/>
                <w:szCs w:val="16"/>
              </w:rPr>
              <w:t>1.2</w:t>
            </w:r>
          </w:p>
        </w:tc>
        <w:tc>
          <w:tcPr>
            <w:tcW w:w="1137" w:type="pct"/>
            <w:tcBorders>
              <w:top w:val="nil"/>
              <w:left w:val="nil"/>
              <w:bottom w:val="nil"/>
              <w:right w:val="nil"/>
            </w:tcBorders>
            <w:shd w:val="clear" w:color="000000" w:fill="FFFFFF"/>
            <w:noWrap/>
            <w:vAlign w:val="bottom"/>
            <w:hideMark/>
          </w:tcPr>
          <w:p w14:paraId="0B54DF50" w14:textId="163BD99A" w:rsidR="00A63906" w:rsidRPr="0023512E" w:rsidRDefault="001570F4" w:rsidP="00746D27">
            <w:pPr>
              <w:keepNext/>
              <w:keepLines/>
              <w:spacing w:after="0" w:line="240" w:lineRule="auto"/>
              <w:jc w:val="right"/>
              <w:rPr>
                <w:rFonts w:ascii="Arial" w:hAnsi="Arial" w:cs="Arial"/>
                <w:sz w:val="16"/>
                <w:szCs w:val="16"/>
              </w:rPr>
            </w:pPr>
            <w:r w:rsidRPr="0023512E">
              <w:rPr>
                <w:rFonts w:ascii="Arial" w:hAnsi="Arial" w:cs="Arial"/>
                <w:sz w:val="16"/>
                <w:szCs w:val="16"/>
              </w:rPr>
              <w:t>0.1</w:t>
            </w:r>
          </w:p>
        </w:tc>
        <w:tc>
          <w:tcPr>
            <w:tcW w:w="301" w:type="pct"/>
            <w:tcBorders>
              <w:top w:val="nil"/>
              <w:left w:val="nil"/>
              <w:bottom w:val="nil"/>
              <w:right w:val="nil"/>
            </w:tcBorders>
            <w:shd w:val="clear" w:color="000000" w:fill="FFFFFF"/>
            <w:noWrap/>
            <w:vAlign w:val="center"/>
            <w:hideMark/>
          </w:tcPr>
          <w:p w14:paraId="5207AE84" w14:textId="77777777" w:rsidR="00A63906" w:rsidRPr="00A63906" w:rsidRDefault="00A63906" w:rsidP="00746D27">
            <w:pPr>
              <w:keepNext/>
              <w:keepLines/>
              <w:spacing w:after="0" w:line="240" w:lineRule="auto"/>
              <w:jc w:val="right"/>
              <w:rPr>
                <w:rFonts w:ascii="Arial" w:hAnsi="Arial" w:cs="Arial"/>
                <w:color w:val="auto"/>
                <w:sz w:val="16"/>
                <w:szCs w:val="16"/>
              </w:rPr>
            </w:pPr>
            <w:r w:rsidRPr="00A63906">
              <w:rPr>
                <w:rFonts w:ascii="Arial" w:hAnsi="Arial" w:cs="Arial"/>
                <w:color w:val="auto"/>
                <w:sz w:val="16"/>
                <w:szCs w:val="16"/>
              </w:rPr>
              <w:t> </w:t>
            </w:r>
          </w:p>
        </w:tc>
        <w:tc>
          <w:tcPr>
            <w:tcW w:w="1049" w:type="pct"/>
            <w:tcBorders>
              <w:top w:val="nil"/>
              <w:left w:val="nil"/>
              <w:bottom w:val="nil"/>
              <w:right w:val="nil"/>
            </w:tcBorders>
            <w:shd w:val="clear" w:color="000000" w:fill="FFFFFF"/>
            <w:noWrap/>
            <w:vAlign w:val="bottom"/>
            <w:hideMark/>
          </w:tcPr>
          <w:p w14:paraId="0BBEEF79" w14:textId="1117AAA9" w:rsidR="00A63906" w:rsidRPr="0023512E" w:rsidRDefault="001570F4" w:rsidP="00746D27">
            <w:pPr>
              <w:keepNext/>
              <w:keepLines/>
              <w:spacing w:after="0" w:line="240" w:lineRule="auto"/>
              <w:jc w:val="right"/>
              <w:rPr>
                <w:rFonts w:ascii="Arial" w:hAnsi="Arial" w:cs="Arial"/>
                <w:sz w:val="16"/>
                <w:szCs w:val="16"/>
              </w:rPr>
            </w:pPr>
            <w:r w:rsidRPr="0023512E">
              <w:rPr>
                <w:rFonts w:ascii="Arial" w:hAnsi="Arial" w:cs="Arial"/>
                <w:sz w:val="16"/>
                <w:szCs w:val="16"/>
              </w:rPr>
              <w:t>1.3</w:t>
            </w:r>
          </w:p>
        </w:tc>
      </w:tr>
      <w:tr w:rsidR="00A63906" w:rsidRPr="00A521D5" w14:paraId="3CFE0AEB" w14:textId="77777777" w:rsidTr="00746D27">
        <w:trPr>
          <w:cantSplit/>
          <w:trHeight w:val="225"/>
        </w:trPr>
        <w:tc>
          <w:tcPr>
            <w:tcW w:w="935" w:type="pct"/>
            <w:tcBorders>
              <w:top w:val="nil"/>
              <w:left w:val="nil"/>
              <w:bottom w:val="single" w:sz="4" w:space="0" w:color="auto"/>
              <w:right w:val="nil"/>
            </w:tcBorders>
            <w:shd w:val="clear" w:color="000000" w:fill="FFFFFF"/>
            <w:noWrap/>
            <w:vAlign w:val="center"/>
            <w:hideMark/>
          </w:tcPr>
          <w:p w14:paraId="0A5C8FB7" w14:textId="77777777" w:rsidR="00A63906" w:rsidRPr="00A521D5" w:rsidRDefault="00A63906" w:rsidP="00746D27">
            <w:pPr>
              <w:keepNext/>
              <w:keepLines/>
              <w:spacing w:after="0" w:line="240" w:lineRule="auto"/>
              <w:jc w:val="left"/>
              <w:rPr>
                <w:rFonts w:ascii="Arial" w:hAnsi="Arial" w:cs="Arial"/>
                <w:sz w:val="16"/>
                <w:szCs w:val="16"/>
              </w:rPr>
            </w:pPr>
            <w:r w:rsidRPr="00A521D5">
              <w:rPr>
                <w:rFonts w:ascii="Arial" w:hAnsi="Arial" w:cs="Arial"/>
                <w:sz w:val="16"/>
                <w:szCs w:val="16"/>
              </w:rPr>
              <w:t>Various</w:t>
            </w:r>
          </w:p>
        </w:tc>
        <w:tc>
          <w:tcPr>
            <w:tcW w:w="685" w:type="pct"/>
            <w:tcBorders>
              <w:top w:val="nil"/>
              <w:left w:val="nil"/>
              <w:bottom w:val="single" w:sz="4" w:space="0" w:color="auto"/>
              <w:right w:val="nil"/>
            </w:tcBorders>
            <w:shd w:val="clear" w:color="000000" w:fill="FFFFFF"/>
            <w:noWrap/>
            <w:vAlign w:val="center"/>
            <w:hideMark/>
          </w:tcPr>
          <w:p w14:paraId="1C020AA4" w14:textId="33F846DA" w:rsidR="00A63906" w:rsidRPr="0023512E" w:rsidRDefault="001570F4" w:rsidP="00746D27">
            <w:pPr>
              <w:keepNext/>
              <w:keepLines/>
              <w:spacing w:after="0" w:line="240" w:lineRule="auto"/>
              <w:jc w:val="right"/>
              <w:rPr>
                <w:rFonts w:ascii="Arial" w:hAnsi="Arial" w:cs="Arial"/>
                <w:color w:val="auto"/>
                <w:sz w:val="16"/>
                <w:szCs w:val="16"/>
              </w:rPr>
            </w:pPr>
            <w:r w:rsidRPr="0023512E">
              <w:rPr>
                <w:rFonts w:ascii="Arial" w:hAnsi="Arial" w:cs="Arial"/>
                <w:color w:val="auto"/>
                <w:sz w:val="16"/>
                <w:szCs w:val="16"/>
              </w:rPr>
              <w:t>14</w:t>
            </w:r>
            <w:r w:rsidR="00682C91" w:rsidRPr="0023512E">
              <w:rPr>
                <w:rFonts w:ascii="Arial" w:hAnsi="Arial" w:cs="Arial"/>
                <w:color w:val="auto"/>
                <w:sz w:val="16"/>
                <w:szCs w:val="16"/>
              </w:rPr>
              <w:t>0</w:t>
            </w:r>
          </w:p>
        </w:tc>
        <w:tc>
          <w:tcPr>
            <w:tcW w:w="169" w:type="pct"/>
            <w:tcBorders>
              <w:top w:val="nil"/>
              <w:left w:val="nil"/>
              <w:right w:val="nil"/>
            </w:tcBorders>
            <w:shd w:val="clear" w:color="000000" w:fill="FFFFFF"/>
            <w:noWrap/>
            <w:vAlign w:val="center"/>
            <w:hideMark/>
          </w:tcPr>
          <w:p w14:paraId="155F0109" w14:textId="77777777" w:rsidR="00A63906" w:rsidRPr="00A63906" w:rsidRDefault="00A63906" w:rsidP="00746D27">
            <w:pPr>
              <w:keepNext/>
              <w:keepLines/>
              <w:spacing w:after="0" w:line="240" w:lineRule="auto"/>
              <w:jc w:val="right"/>
              <w:rPr>
                <w:rFonts w:ascii="Arial" w:hAnsi="Arial" w:cs="Arial"/>
                <w:color w:val="auto"/>
                <w:sz w:val="16"/>
                <w:szCs w:val="16"/>
              </w:rPr>
            </w:pPr>
            <w:r w:rsidRPr="00A63906">
              <w:rPr>
                <w:rFonts w:ascii="Arial" w:hAnsi="Arial" w:cs="Arial"/>
                <w:color w:val="auto"/>
                <w:sz w:val="16"/>
                <w:szCs w:val="16"/>
              </w:rPr>
              <w:t> </w:t>
            </w:r>
          </w:p>
        </w:tc>
        <w:tc>
          <w:tcPr>
            <w:tcW w:w="724" w:type="pct"/>
            <w:tcBorders>
              <w:top w:val="nil"/>
              <w:left w:val="nil"/>
              <w:bottom w:val="single" w:sz="4" w:space="0" w:color="auto"/>
              <w:right w:val="nil"/>
            </w:tcBorders>
            <w:shd w:val="clear" w:color="000000" w:fill="FFFFFF"/>
            <w:noWrap/>
            <w:vAlign w:val="bottom"/>
            <w:hideMark/>
          </w:tcPr>
          <w:p w14:paraId="78B7665F" w14:textId="58B0B0E5" w:rsidR="00A63906" w:rsidRPr="0023512E" w:rsidRDefault="001570F4" w:rsidP="00746D27">
            <w:pPr>
              <w:keepNext/>
              <w:keepLines/>
              <w:spacing w:after="0" w:line="240" w:lineRule="auto"/>
              <w:jc w:val="right"/>
              <w:rPr>
                <w:rFonts w:ascii="Arial" w:hAnsi="Arial" w:cs="Arial"/>
                <w:sz w:val="16"/>
                <w:szCs w:val="16"/>
              </w:rPr>
            </w:pPr>
            <w:r w:rsidRPr="0023512E">
              <w:rPr>
                <w:rFonts w:ascii="Arial" w:hAnsi="Arial" w:cs="Arial"/>
                <w:sz w:val="16"/>
                <w:szCs w:val="16"/>
              </w:rPr>
              <w:t>39.8</w:t>
            </w:r>
          </w:p>
        </w:tc>
        <w:tc>
          <w:tcPr>
            <w:tcW w:w="1137" w:type="pct"/>
            <w:tcBorders>
              <w:top w:val="nil"/>
              <w:left w:val="nil"/>
              <w:bottom w:val="single" w:sz="4" w:space="0" w:color="auto"/>
              <w:right w:val="nil"/>
            </w:tcBorders>
            <w:shd w:val="clear" w:color="000000" w:fill="FFFFFF"/>
            <w:noWrap/>
            <w:vAlign w:val="bottom"/>
            <w:hideMark/>
          </w:tcPr>
          <w:p w14:paraId="2EDF3BE1" w14:textId="0D7F303D" w:rsidR="00A63906" w:rsidRPr="0023512E" w:rsidRDefault="001570F4" w:rsidP="00746D27">
            <w:pPr>
              <w:keepNext/>
              <w:keepLines/>
              <w:spacing w:after="0" w:line="240" w:lineRule="auto"/>
              <w:jc w:val="right"/>
              <w:rPr>
                <w:rFonts w:ascii="Arial" w:hAnsi="Arial" w:cs="Arial"/>
                <w:sz w:val="16"/>
                <w:szCs w:val="16"/>
              </w:rPr>
            </w:pPr>
            <w:r w:rsidRPr="0023512E">
              <w:rPr>
                <w:rFonts w:ascii="Arial" w:hAnsi="Arial" w:cs="Arial"/>
                <w:sz w:val="16"/>
                <w:szCs w:val="16"/>
              </w:rPr>
              <w:t>9.3</w:t>
            </w:r>
          </w:p>
        </w:tc>
        <w:tc>
          <w:tcPr>
            <w:tcW w:w="301" w:type="pct"/>
            <w:tcBorders>
              <w:top w:val="nil"/>
              <w:left w:val="nil"/>
              <w:bottom w:val="nil"/>
              <w:right w:val="nil"/>
            </w:tcBorders>
            <w:shd w:val="clear" w:color="000000" w:fill="FFFFFF"/>
            <w:noWrap/>
            <w:vAlign w:val="center"/>
            <w:hideMark/>
          </w:tcPr>
          <w:p w14:paraId="4508F9D5" w14:textId="77777777" w:rsidR="00A63906" w:rsidRPr="00A63906" w:rsidRDefault="00A63906" w:rsidP="00746D27">
            <w:pPr>
              <w:keepNext/>
              <w:keepLines/>
              <w:spacing w:after="0" w:line="240" w:lineRule="auto"/>
              <w:jc w:val="right"/>
              <w:rPr>
                <w:rFonts w:ascii="Arial" w:hAnsi="Arial" w:cs="Arial"/>
                <w:color w:val="auto"/>
                <w:sz w:val="16"/>
                <w:szCs w:val="16"/>
              </w:rPr>
            </w:pPr>
            <w:r w:rsidRPr="00A63906">
              <w:rPr>
                <w:rFonts w:ascii="Arial" w:hAnsi="Arial" w:cs="Arial"/>
                <w:color w:val="auto"/>
                <w:sz w:val="16"/>
                <w:szCs w:val="16"/>
              </w:rPr>
              <w:t> </w:t>
            </w:r>
          </w:p>
        </w:tc>
        <w:tc>
          <w:tcPr>
            <w:tcW w:w="1049" w:type="pct"/>
            <w:tcBorders>
              <w:top w:val="nil"/>
              <w:left w:val="nil"/>
              <w:bottom w:val="single" w:sz="4" w:space="0" w:color="auto"/>
              <w:right w:val="nil"/>
            </w:tcBorders>
            <w:shd w:val="clear" w:color="000000" w:fill="FFFFFF"/>
            <w:noWrap/>
            <w:vAlign w:val="bottom"/>
            <w:hideMark/>
          </w:tcPr>
          <w:p w14:paraId="04654B15" w14:textId="7CDDB2ED" w:rsidR="00A63906" w:rsidRPr="0023512E" w:rsidRDefault="001570F4" w:rsidP="00746D27">
            <w:pPr>
              <w:keepNext/>
              <w:keepLines/>
              <w:spacing w:after="0" w:line="240" w:lineRule="auto"/>
              <w:jc w:val="right"/>
              <w:rPr>
                <w:rFonts w:ascii="Arial" w:hAnsi="Arial" w:cs="Arial"/>
                <w:sz w:val="16"/>
                <w:szCs w:val="16"/>
              </w:rPr>
            </w:pPr>
            <w:r w:rsidRPr="0023512E">
              <w:rPr>
                <w:rFonts w:ascii="Arial" w:hAnsi="Arial" w:cs="Arial"/>
                <w:sz w:val="16"/>
                <w:szCs w:val="16"/>
              </w:rPr>
              <w:t>49.</w:t>
            </w:r>
            <w:r w:rsidR="002B19D2">
              <w:rPr>
                <w:rFonts w:ascii="Arial" w:hAnsi="Arial" w:cs="Arial"/>
                <w:sz w:val="16"/>
                <w:szCs w:val="16"/>
              </w:rPr>
              <w:t>2</w:t>
            </w:r>
          </w:p>
        </w:tc>
      </w:tr>
      <w:tr w:rsidR="00A63906" w:rsidRPr="00A521D5" w14:paraId="5D19FBE5" w14:textId="77777777" w:rsidTr="00746D27">
        <w:trPr>
          <w:cantSplit/>
          <w:trHeight w:val="225"/>
        </w:trPr>
        <w:tc>
          <w:tcPr>
            <w:tcW w:w="935" w:type="pct"/>
            <w:tcBorders>
              <w:top w:val="single" w:sz="4" w:space="0" w:color="auto"/>
              <w:left w:val="nil"/>
              <w:bottom w:val="single" w:sz="4" w:space="0" w:color="auto"/>
              <w:right w:val="nil"/>
            </w:tcBorders>
            <w:shd w:val="clear" w:color="000000" w:fill="FFFFFF"/>
            <w:noWrap/>
            <w:vAlign w:val="center"/>
            <w:hideMark/>
          </w:tcPr>
          <w:p w14:paraId="78F5AC3D" w14:textId="77777777" w:rsidR="00A63906" w:rsidRPr="00A521D5" w:rsidRDefault="00A63906" w:rsidP="00746D27">
            <w:pPr>
              <w:keepNext/>
              <w:keepLines/>
              <w:spacing w:after="0" w:line="240" w:lineRule="auto"/>
              <w:jc w:val="left"/>
              <w:rPr>
                <w:rFonts w:ascii="Arial" w:hAnsi="Arial" w:cs="Arial"/>
                <w:b/>
                <w:bCs/>
                <w:sz w:val="16"/>
                <w:szCs w:val="16"/>
              </w:rPr>
            </w:pPr>
            <w:r w:rsidRPr="00A521D5">
              <w:rPr>
                <w:rFonts w:ascii="Arial" w:hAnsi="Arial" w:cs="Arial"/>
                <w:b/>
                <w:bCs/>
                <w:sz w:val="16"/>
                <w:szCs w:val="16"/>
              </w:rPr>
              <w:t>Total</w:t>
            </w:r>
          </w:p>
        </w:tc>
        <w:tc>
          <w:tcPr>
            <w:tcW w:w="685" w:type="pct"/>
            <w:tcBorders>
              <w:top w:val="single" w:sz="4" w:space="0" w:color="auto"/>
              <w:left w:val="nil"/>
              <w:bottom w:val="single" w:sz="4" w:space="0" w:color="auto"/>
              <w:right w:val="nil"/>
            </w:tcBorders>
            <w:shd w:val="clear" w:color="000000" w:fill="FFFFFF"/>
            <w:noWrap/>
            <w:vAlign w:val="center"/>
            <w:hideMark/>
          </w:tcPr>
          <w:p w14:paraId="03DD9C52" w14:textId="0064BD38" w:rsidR="00A63906" w:rsidRPr="00CB755B" w:rsidRDefault="001570F4" w:rsidP="00746D27">
            <w:pPr>
              <w:keepNext/>
              <w:keepLines/>
              <w:spacing w:after="0" w:line="240" w:lineRule="auto"/>
              <w:jc w:val="right"/>
              <w:rPr>
                <w:rFonts w:ascii="Arial" w:hAnsi="Arial" w:cs="Arial"/>
                <w:b/>
                <w:color w:val="auto"/>
                <w:sz w:val="16"/>
                <w:szCs w:val="16"/>
              </w:rPr>
            </w:pPr>
            <w:r w:rsidRPr="00CB755B">
              <w:rPr>
                <w:rFonts w:ascii="Arial" w:hAnsi="Arial" w:cs="Arial"/>
                <w:b/>
                <w:color w:val="auto"/>
                <w:sz w:val="16"/>
                <w:szCs w:val="16"/>
              </w:rPr>
              <w:t>86</w:t>
            </w:r>
            <w:r w:rsidR="00AF3257" w:rsidRPr="00CB755B">
              <w:rPr>
                <w:rFonts w:ascii="Arial" w:hAnsi="Arial" w:cs="Arial"/>
                <w:b/>
                <w:color w:val="auto"/>
                <w:sz w:val="16"/>
                <w:szCs w:val="16"/>
              </w:rPr>
              <w:t>2</w:t>
            </w:r>
          </w:p>
        </w:tc>
        <w:tc>
          <w:tcPr>
            <w:tcW w:w="169" w:type="pct"/>
            <w:tcBorders>
              <w:top w:val="nil"/>
              <w:left w:val="nil"/>
              <w:right w:val="nil"/>
            </w:tcBorders>
            <w:shd w:val="clear" w:color="000000" w:fill="FFFFFF"/>
            <w:noWrap/>
            <w:vAlign w:val="center"/>
            <w:hideMark/>
          </w:tcPr>
          <w:p w14:paraId="67C2A883" w14:textId="77777777" w:rsidR="00A63906" w:rsidRPr="00A63906" w:rsidRDefault="00A63906" w:rsidP="00746D27">
            <w:pPr>
              <w:keepNext/>
              <w:keepLines/>
              <w:spacing w:after="0" w:line="240" w:lineRule="auto"/>
              <w:jc w:val="right"/>
              <w:rPr>
                <w:rFonts w:ascii="Arial" w:hAnsi="Arial" w:cs="Arial"/>
                <w:b/>
                <w:bCs/>
                <w:color w:val="auto"/>
                <w:sz w:val="16"/>
                <w:szCs w:val="16"/>
              </w:rPr>
            </w:pPr>
            <w:r w:rsidRPr="00A63906">
              <w:rPr>
                <w:rFonts w:ascii="Arial" w:hAnsi="Arial" w:cs="Arial"/>
                <w:b/>
                <w:bCs/>
                <w:color w:val="auto"/>
                <w:sz w:val="16"/>
                <w:szCs w:val="16"/>
              </w:rPr>
              <w:t> </w:t>
            </w:r>
          </w:p>
        </w:tc>
        <w:tc>
          <w:tcPr>
            <w:tcW w:w="724" w:type="pct"/>
            <w:tcBorders>
              <w:top w:val="single" w:sz="4" w:space="0" w:color="auto"/>
              <w:left w:val="nil"/>
              <w:bottom w:val="single" w:sz="4" w:space="0" w:color="auto"/>
              <w:right w:val="nil"/>
            </w:tcBorders>
            <w:shd w:val="clear" w:color="000000" w:fill="FFFFFF"/>
            <w:noWrap/>
            <w:vAlign w:val="bottom"/>
            <w:hideMark/>
          </w:tcPr>
          <w:p w14:paraId="31C7A8AB" w14:textId="33BBAC24" w:rsidR="00A63906" w:rsidRPr="00CB755B" w:rsidRDefault="001570F4" w:rsidP="00746D27">
            <w:pPr>
              <w:keepNext/>
              <w:keepLines/>
              <w:spacing w:after="0" w:line="240" w:lineRule="auto"/>
              <w:jc w:val="right"/>
              <w:rPr>
                <w:rFonts w:ascii="Arial" w:hAnsi="Arial" w:cs="Arial"/>
                <w:b/>
                <w:sz w:val="16"/>
                <w:szCs w:val="16"/>
              </w:rPr>
            </w:pPr>
            <w:r w:rsidRPr="00CB755B">
              <w:rPr>
                <w:rFonts w:ascii="Arial" w:hAnsi="Arial" w:cs="Arial"/>
                <w:b/>
                <w:sz w:val="16"/>
                <w:szCs w:val="16"/>
              </w:rPr>
              <w:t>70.4</w:t>
            </w:r>
          </w:p>
        </w:tc>
        <w:tc>
          <w:tcPr>
            <w:tcW w:w="1137" w:type="pct"/>
            <w:tcBorders>
              <w:top w:val="single" w:sz="4" w:space="0" w:color="auto"/>
              <w:left w:val="nil"/>
              <w:bottom w:val="single" w:sz="4" w:space="0" w:color="auto"/>
              <w:right w:val="nil"/>
            </w:tcBorders>
            <w:shd w:val="clear" w:color="000000" w:fill="FFFFFF"/>
            <w:noWrap/>
            <w:vAlign w:val="bottom"/>
            <w:hideMark/>
          </w:tcPr>
          <w:p w14:paraId="539E845B" w14:textId="41C7ADA8" w:rsidR="00A63906" w:rsidRPr="00CB755B" w:rsidRDefault="001570F4" w:rsidP="00746D27">
            <w:pPr>
              <w:keepNext/>
              <w:keepLines/>
              <w:spacing w:after="0" w:line="240" w:lineRule="auto"/>
              <w:jc w:val="right"/>
              <w:rPr>
                <w:rFonts w:ascii="Arial" w:hAnsi="Arial" w:cs="Arial"/>
                <w:b/>
                <w:sz w:val="16"/>
                <w:szCs w:val="16"/>
              </w:rPr>
            </w:pPr>
            <w:r w:rsidRPr="00CB755B">
              <w:rPr>
                <w:rFonts w:ascii="Arial" w:hAnsi="Arial" w:cs="Arial"/>
                <w:b/>
                <w:sz w:val="16"/>
                <w:szCs w:val="16"/>
              </w:rPr>
              <w:t>11.6</w:t>
            </w:r>
          </w:p>
        </w:tc>
        <w:tc>
          <w:tcPr>
            <w:tcW w:w="301" w:type="pct"/>
            <w:tcBorders>
              <w:top w:val="nil"/>
              <w:left w:val="nil"/>
              <w:bottom w:val="nil"/>
              <w:right w:val="nil"/>
            </w:tcBorders>
            <w:shd w:val="clear" w:color="000000" w:fill="FFFFFF"/>
            <w:noWrap/>
            <w:vAlign w:val="center"/>
            <w:hideMark/>
          </w:tcPr>
          <w:p w14:paraId="034887E8" w14:textId="77777777" w:rsidR="00A63906" w:rsidRPr="00CB755B" w:rsidRDefault="00A63906" w:rsidP="00746D27">
            <w:pPr>
              <w:keepNext/>
              <w:keepLines/>
              <w:spacing w:after="0" w:line="240" w:lineRule="auto"/>
              <w:jc w:val="right"/>
              <w:rPr>
                <w:rFonts w:ascii="Arial" w:hAnsi="Arial" w:cs="Arial"/>
                <w:b/>
                <w:color w:val="auto"/>
                <w:sz w:val="16"/>
                <w:szCs w:val="16"/>
              </w:rPr>
            </w:pPr>
            <w:r w:rsidRPr="00CB755B">
              <w:rPr>
                <w:rFonts w:ascii="Arial" w:hAnsi="Arial" w:cs="Arial"/>
                <w:b/>
                <w:color w:val="auto"/>
                <w:sz w:val="16"/>
                <w:szCs w:val="16"/>
              </w:rPr>
              <w:t> </w:t>
            </w:r>
          </w:p>
        </w:tc>
        <w:tc>
          <w:tcPr>
            <w:tcW w:w="1049" w:type="pct"/>
            <w:tcBorders>
              <w:top w:val="single" w:sz="4" w:space="0" w:color="auto"/>
              <w:left w:val="nil"/>
              <w:bottom w:val="single" w:sz="4" w:space="0" w:color="auto"/>
              <w:right w:val="nil"/>
            </w:tcBorders>
            <w:shd w:val="clear" w:color="000000" w:fill="FFFFFF"/>
            <w:noWrap/>
            <w:vAlign w:val="bottom"/>
            <w:hideMark/>
          </w:tcPr>
          <w:p w14:paraId="10927187" w14:textId="245DE052" w:rsidR="00A63906" w:rsidRPr="00CB755B" w:rsidRDefault="001570F4" w:rsidP="00746D27">
            <w:pPr>
              <w:keepNext/>
              <w:keepLines/>
              <w:spacing w:after="0" w:line="240" w:lineRule="auto"/>
              <w:jc w:val="right"/>
              <w:rPr>
                <w:rFonts w:ascii="Arial" w:hAnsi="Arial" w:cs="Arial"/>
                <w:b/>
                <w:sz w:val="16"/>
                <w:szCs w:val="16"/>
              </w:rPr>
            </w:pPr>
            <w:r w:rsidRPr="00CB755B">
              <w:rPr>
                <w:rFonts w:ascii="Arial" w:hAnsi="Arial" w:cs="Arial"/>
                <w:b/>
                <w:sz w:val="16"/>
                <w:szCs w:val="16"/>
              </w:rPr>
              <w:t>82.0</w:t>
            </w:r>
          </w:p>
        </w:tc>
      </w:tr>
    </w:tbl>
    <w:p w14:paraId="05BB31AC" w14:textId="1BB5F424" w:rsidR="00A63906" w:rsidRDefault="00A63906" w:rsidP="00A63906">
      <w:pPr>
        <w:pStyle w:val="ChartandTableFootnoteAlpha"/>
        <w:numPr>
          <w:ilvl w:val="0"/>
          <w:numId w:val="0"/>
        </w:numPr>
      </w:pPr>
      <w:r w:rsidRPr="00BF48CD">
        <w:t xml:space="preserve">Before republishing this data or comparing between years, thoroughly review the methodological and data caveats in Appendix </w:t>
      </w:r>
      <w:r w:rsidRPr="0023512E">
        <w:t>B.</w:t>
      </w:r>
      <w:r w:rsidRPr="00BF48CD">
        <w:t xml:space="preserve"> </w:t>
      </w:r>
    </w:p>
    <w:p w14:paraId="630673A8" w14:textId="77777777" w:rsidR="00F57FD7" w:rsidRDefault="00F57FD7" w:rsidP="009955B8">
      <w:pPr>
        <w:pStyle w:val="SingleParagraph"/>
      </w:pPr>
    </w:p>
    <w:p w14:paraId="09F9C30E" w14:textId="045089DB" w:rsidR="00A63906" w:rsidRPr="00820C89" w:rsidRDefault="00A63906" w:rsidP="00655CC7">
      <w:pPr>
        <w:pStyle w:val="Heading3noTOC"/>
      </w:pPr>
      <w:bookmarkStart w:id="135" w:name="_Toc80368788"/>
      <w:bookmarkStart w:id="136" w:name="_Toc87014322"/>
      <w:r w:rsidRPr="00820C89">
        <w:t>Residential real estate</w:t>
      </w:r>
      <w:bookmarkEnd w:id="135"/>
      <w:bookmarkEnd w:id="136"/>
    </w:p>
    <w:p w14:paraId="4DBC9AA5" w14:textId="343135B6" w:rsidR="00A63906" w:rsidRPr="004D16AA" w:rsidRDefault="00A63906" w:rsidP="00A63906">
      <w:r w:rsidRPr="00820C89">
        <w:t xml:space="preserve">In </w:t>
      </w:r>
      <w:r w:rsidR="00D76ED2">
        <w:t>2020</w:t>
      </w:r>
      <w:r w:rsidR="00D76ED2">
        <w:noBreakHyphen/>
        <w:t>21</w:t>
      </w:r>
      <w:r w:rsidRPr="00820C89">
        <w:t xml:space="preserve">, a total </w:t>
      </w:r>
      <w:r w:rsidRPr="004D16AA">
        <w:t xml:space="preserve">of </w:t>
      </w:r>
      <w:r w:rsidR="0035209A" w:rsidRPr="004D16AA">
        <w:t>4,3</w:t>
      </w:r>
      <w:r w:rsidR="00B6278A" w:rsidRPr="004D16AA">
        <w:t>84</w:t>
      </w:r>
      <w:r w:rsidRPr="004D16AA">
        <w:t xml:space="preserve"> residential real estate </w:t>
      </w:r>
      <w:r w:rsidR="003C063E">
        <w:t>proposals</w:t>
      </w:r>
      <w:r w:rsidRPr="004D16AA">
        <w:t xml:space="preserve"> </w:t>
      </w:r>
      <w:r w:rsidR="00B6278A" w:rsidRPr="004D16AA">
        <w:t xml:space="preserve">worth </w:t>
      </w:r>
      <w:r w:rsidRPr="004D16AA">
        <w:t>$</w:t>
      </w:r>
      <w:r w:rsidR="00B6278A" w:rsidRPr="004D16AA">
        <w:t>10</w:t>
      </w:r>
      <w:r w:rsidR="0035209A" w:rsidRPr="004D16AA">
        <w:t>.</w:t>
      </w:r>
      <w:r w:rsidR="00B6278A" w:rsidRPr="004D16AA">
        <w:t>4</w:t>
      </w:r>
      <w:r w:rsidRPr="004D16AA">
        <w:t xml:space="preserve"> billion were approved for proposed investment. This represents a </w:t>
      </w:r>
      <w:r w:rsidR="001B1447" w:rsidRPr="004D16AA">
        <w:t>37.8</w:t>
      </w:r>
      <w:r w:rsidR="00A44160">
        <w:t> </w:t>
      </w:r>
      <w:r w:rsidR="001B1447" w:rsidRPr="004D16AA">
        <w:t>per</w:t>
      </w:r>
      <w:r w:rsidR="00A44160">
        <w:t> </w:t>
      </w:r>
      <w:r w:rsidR="001B1447" w:rsidRPr="004D16AA">
        <w:t xml:space="preserve">cent </w:t>
      </w:r>
      <w:r w:rsidRPr="004D16AA">
        <w:t xml:space="preserve">decrease in the number of approvals from </w:t>
      </w:r>
      <w:r w:rsidR="00D76ED2">
        <w:t>2019</w:t>
      </w:r>
      <w:r w:rsidR="00D76ED2">
        <w:noBreakHyphen/>
        <w:t>20</w:t>
      </w:r>
      <w:r w:rsidRPr="004D16AA">
        <w:t xml:space="preserve"> and continues a trend seen since </w:t>
      </w:r>
      <w:r w:rsidR="00C17F09">
        <w:t>2015</w:t>
      </w:r>
      <w:r w:rsidR="00C17F09">
        <w:noBreakHyphen/>
        <w:t>16</w:t>
      </w:r>
      <w:r w:rsidRPr="004D16AA">
        <w:t xml:space="preserve">. </w:t>
      </w:r>
      <w:r w:rsidR="00B6278A" w:rsidRPr="004D16AA">
        <w:t>T</w:t>
      </w:r>
      <w:r w:rsidRPr="004D16AA">
        <w:t xml:space="preserve">he value of proposed investment in residential real estate in </w:t>
      </w:r>
      <w:r w:rsidR="00D76ED2">
        <w:t>2020</w:t>
      </w:r>
      <w:r w:rsidR="00D76ED2">
        <w:noBreakHyphen/>
        <w:t>21</w:t>
      </w:r>
      <w:r w:rsidRPr="004D16AA">
        <w:t xml:space="preserve"> </w:t>
      </w:r>
      <w:r w:rsidR="001B1447" w:rsidRPr="004D16AA">
        <w:t xml:space="preserve">also </w:t>
      </w:r>
      <w:r w:rsidR="00B6278A" w:rsidRPr="004D16AA">
        <w:t>decreased</w:t>
      </w:r>
      <w:r w:rsidRPr="004D16AA">
        <w:t xml:space="preserve"> by $</w:t>
      </w:r>
      <w:r w:rsidR="00B6278A" w:rsidRPr="004D16AA">
        <w:t>6</w:t>
      </w:r>
      <w:r w:rsidRPr="004D16AA">
        <w:t>.</w:t>
      </w:r>
      <w:r w:rsidR="003C2E22" w:rsidRPr="004D16AA">
        <w:t>7</w:t>
      </w:r>
      <w:r w:rsidRPr="004D16AA">
        <w:t xml:space="preserve"> billion compared to </w:t>
      </w:r>
      <w:r w:rsidR="00D76ED2">
        <w:t>2019</w:t>
      </w:r>
      <w:r w:rsidR="00D76ED2">
        <w:noBreakHyphen/>
        <w:t>20</w:t>
      </w:r>
      <w:r w:rsidR="0052710D" w:rsidRPr="004D16AA">
        <w:t xml:space="preserve"> (See Table 3.13)</w:t>
      </w:r>
      <w:r w:rsidRPr="004D16AA">
        <w:t>.</w:t>
      </w:r>
    </w:p>
    <w:p w14:paraId="57858C5F" w14:textId="42BB9B5F" w:rsidR="00A63906" w:rsidRPr="00820C89" w:rsidRDefault="00A63906" w:rsidP="00A63906">
      <w:pPr>
        <w:keepNext/>
      </w:pPr>
      <w:r w:rsidRPr="004D16AA">
        <w:lastRenderedPageBreak/>
        <w:t xml:space="preserve">Since </w:t>
      </w:r>
      <w:r w:rsidR="00C17F09">
        <w:t>2015</w:t>
      </w:r>
      <w:r w:rsidR="00C17F09">
        <w:noBreakHyphen/>
        <w:t>16</w:t>
      </w:r>
      <w:r w:rsidRPr="004D16AA">
        <w:t>, foreign demand for residential real estate in Australia has declined. Factors that may explain the fall in the number of residential real estate approvals include:</w:t>
      </w:r>
    </w:p>
    <w:p w14:paraId="39670FF3" w14:textId="7BAC15A0" w:rsidR="00A63906" w:rsidRPr="00D92BBB" w:rsidRDefault="00A63906" w:rsidP="00D92BBB">
      <w:pPr>
        <w:pStyle w:val="Bullet"/>
      </w:pPr>
      <w:r w:rsidRPr="00034B5E">
        <w:t xml:space="preserve">a </w:t>
      </w:r>
      <w:r w:rsidRPr="00D92BBB">
        <w:t>tightening of domestic credit and increased restrictions on capital transfers in home countries</w:t>
      </w:r>
    </w:p>
    <w:p w14:paraId="41DBA549" w14:textId="331791B5" w:rsidR="00A63906" w:rsidRPr="00D92BBB" w:rsidRDefault="00A63906" w:rsidP="00D92BBB">
      <w:pPr>
        <w:pStyle w:val="Bullet"/>
      </w:pPr>
      <w:r w:rsidRPr="00D92BBB">
        <w:t>state taxes and foreign resident stamp duty increases</w:t>
      </w:r>
    </w:p>
    <w:p w14:paraId="2260AA5A" w14:textId="5969393D" w:rsidR="00A63906" w:rsidRPr="00D92BBB" w:rsidRDefault="00A63906" w:rsidP="00D92BBB">
      <w:pPr>
        <w:pStyle w:val="Bullet"/>
      </w:pPr>
      <w:r w:rsidRPr="00D92BBB">
        <w:t xml:space="preserve">the introduction of an </w:t>
      </w:r>
      <w:r w:rsidR="00CB1F62" w:rsidRPr="00D92BBB">
        <w:t xml:space="preserve">EC </w:t>
      </w:r>
      <w:r w:rsidRPr="00D92BBB">
        <w:t>so that only one approval is required for individuals considering a number of residential properties with the intention to purchase only one property</w:t>
      </w:r>
      <w:r w:rsidR="000072E4" w:rsidRPr="00D92BBB">
        <w:t>,</w:t>
      </w:r>
      <w:r w:rsidRPr="00D92BBB">
        <w:t xml:space="preserve"> and </w:t>
      </w:r>
    </w:p>
    <w:p w14:paraId="71740773" w14:textId="77777777" w:rsidR="00A63906" w:rsidRPr="00D92BBB" w:rsidRDefault="00A63906" w:rsidP="00D92BBB">
      <w:pPr>
        <w:pStyle w:val="Bullet"/>
      </w:pPr>
      <w:r w:rsidRPr="00D92BBB">
        <w:t>foreign investment application fees.</w:t>
      </w:r>
    </w:p>
    <w:p w14:paraId="56D9D6DF" w14:textId="51A5C289" w:rsidR="00F57FD7" w:rsidRDefault="00A63906" w:rsidP="00F07785">
      <w:r w:rsidRPr="008D7F08">
        <w:t xml:space="preserve">In </w:t>
      </w:r>
      <w:r w:rsidR="00D76ED2">
        <w:t>2020</w:t>
      </w:r>
      <w:r w:rsidR="00D76ED2">
        <w:noBreakHyphen/>
        <w:t>21</w:t>
      </w:r>
      <w:r w:rsidRPr="008D7F08">
        <w:t xml:space="preserve">, </w:t>
      </w:r>
      <w:r w:rsidR="00AA55E0">
        <w:t>Victoria and Queensland received 58</w:t>
      </w:r>
      <w:r w:rsidR="00A44160">
        <w:t> </w:t>
      </w:r>
      <w:r w:rsidR="00AA55E0">
        <w:t>per</w:t>
      </w:r>
      <w:r w:rsidR="00A44160">
        <w:t> </w:t>
      </w:r>
      <w:r w:rsidR="00AA55E0">
        <w:t>cent</w:t>
      </w:r>
      <w:r w:rsidRPr="008D7F08">
        <w:t xml:space="preserve"> of residential real estate approvals </w:t>
      </w:r>
      <w:r w:rsidR="00873486">
        <w:t xml:space="preserve">(both developed and for development) </w:t>
      </w:r>
      <w:r w:rsidRPr="008D7F08">
        <w:t xml:space="preserve">for proposed </w:t>
      </w:r>
      <w:r w:rsidR="003C063E">
        <w:t>investment (see Chart 3.3). This presents a shift in the majority share of approvals</w:t>
      </w:r>
      <w:r w:rsidR="00AA55E0">
        <w:t xml:space="preserve"> compared to </w:t>
      </w:r>
      <w:r w:rsidR="00D76ED2">
        <w:t>2019</w:t>
      </w:r>
      <w:r w:rsidR="00D76ED2">
        <w:noBreakHyphen/>
        <w:t>20</w:t>
      </w:r>
      <w:r w:rsidR="00AA55E0">
        <w:t xml:space="preserve"> where 62</w:t>
      </w:r>
      <w:r w:rsidR="00A44160">
        <w:t> </w:t>
      </w:r>
      <w:r w:rsidR="00AA55E0">
        <w:t>per</w:t>
      </w:r>
      <w:r w:rsidR="00A44160">
        <w:t> </w:t>
      </w:r>
      <w:r w:rsidR="00AA55E0">
        <w:t>cent of approvals were received by Victoria and New</w:t>
      </w:r>
      <w:r w:rsidR="00A44160">
        <w:t> </w:t>
      </w:r>
      <w:r w:rsidR="00AA55E0">
        <w:t>South</w:t>
      </w:r>
      <w:r w:rsidR="00A44160">
        <w:t> </w:t>
      </w:r>
      <w:r w:rsidR="00AA55E0">
        <w:t>Wales.</w:t>
      </w:r>
      <w:r w:rsidRPr="008D7F08">
        <w:t xml:space="preserve"> </w:t>
      </w:r>
      <w:r w:rsidR="0050733F">
        <w:t xml:space="preserve">In the period, </w:t>
      </w:r>
      <w:r w:rsidR="002A110A">
        <w:t xml:space="preserve">the value of real estate approvals in </w:t>
      </w:r>
      <w:r w:rsidR="0050733F">
        <w:t>Victoria ($2.6</w:t>
      </w:r>
      <w:r w:rsidR="00A44160">
        <w:t> </w:t>
      </w:r>
      <w:r w:rsidR="0050733F">
        <w:t xml:space="preserve">billion) </w:t>
      </w:r>
      <w:r w:rsidR="002A110A">
        <w:t>decreased by 25.7</w:t>
      </w:r>
      <w:r w:rsidR="00A44160">
        <w:t> </w:t>
      </w:r>
      <w:r w:rsidR="002A110A">
        <w:t>per</w:t>
      </w:r>
      <w:r w:rsidR="00A44160">
        <w:t> </w:t>
      </w:r>
      <w:r w:rsidR="002A110A">
        <w:t xml:space="preserve">cent </w:t>
      </w:r>
      <w:r w:rsidR="00873486">
        <w:t xml:space="preserve">compared to </w:t>
      </w:r>
      <w:r w:rsidR="00D76ED2">
        <w:t>2019</w:t>
      </w:r>
      <w:r w:rsidR="00D76ED2">
        <w:noBreakHyphen/>
        <w:t>20</w:t>
      </w:r>
      <w:r w:rsidR="00873486">
        <w:t>. Although the number of approvals decreased in New</w:t>
      </w:r>
      <w:r w:rsidR="00A44160">
        <w:t> </w:t>
      </w:r>
      <w:r w:rsidR="00873486">
        <w:t>South</w:t>
      </w:r>
      <w:r w:rsidR="00A44160">
        <w:t> </w:t>
      </w:r>
      <w:r w:rsidR="00873486">
        <w:t xml:space="preserve">Wales, the value of investment approvals remained steady compared to </w:t>
      </w:r>
      <w:r w:rsidR="00D76ED2">
        <w:t>2019</w:t>
      </w:r>
      <w:r w:rsidR="00D76ED2">
        <w:noBreakHyphen/>
        <w:t>20</w:t>
      </w:r>
      <w:r w:rsidR="007B1E6D">
        <w:t xml:space="preserve"> (see</w:t>
      </w:r>
      <w:r w:rsidR="00A44160">
        <w:t> </w:t>
      </w:r>
      <w:r w:rsidR="007B1E6D">
        <w:t>Table</w:t>
      </w:r>
      <w:r w:rsidR="00A44160">
        <w:t> </w:t>
      </w:r>
      <w:r w:rsidR="007B1E6D">
        <w:t>3.14)</w:t>
      </w:r>
      <w:r w:rsidR="00873486">
        <w:t xml:space="preserve">. </w:t>
      </w:r>
    </w:p>
    <w:p w14:paraId="5EA23FC1" w14:textId="79DF2E3B" w:rsidR="00F07785" w:rsidRDefault="00F07785" w:rsidP="00F40B56">
      <w:pPr>
        <w:pStyle w:val="ChartMainHeading"/>
      </w:pPr>
      <w:bookmarkStart w:id="137" w:name="_Toc100146844"/>
      <w:r w:rsidRPr="00F40B56">
        <w:t xml:space="preserve">Chart </w:t>
      </w:r>
      <w:fldSimple w:instr=" STYLEREF 1 \s ">
        <w:r w:rsidR="0019342F">
          <w:rPr>
            <w:noProof/>
          </w:rPr>
          <w:t>3</w:t>
        </w:r>
      </w:fldSimple>
      <w:r w:rsidR="00C02F7D" w:rsidRPr="00F40B56">
        <w:t>.</w:t>
      </w:r>
      <w:fldSimple w:instr=" SEQ Chart \* ARABIC \s 1 ">
        <w:r w:rsidR="0019342F">
          <w:rPr>
            <w:noProof/>
          </w:rPr>
          <w:t>3</w:t>
        </w:r>
      </w:fldSimple>
      <w:r w:rsidRPr="00F40B56">
        <w:t>: Share of residential real estate approvals by state and territory in 2020</w:t>
      </w:r>
      <w:r w:rsidR="00065800" w:rsidRPr="00F40B56">
        <w:noBreakHyphen/>
      </w:r>
      <w:r w:rsidRPr="00F40B56">
        <w:t>21</w:t>
      </w:r>
      <w:bookmarkEnd w:id="137"/>
    </w:p>
    <w:p w14:paraId="4927ACD8" w14:textId="67FEA303" w:rsidR="00AC6677" w:rsidRPr="00AC6677" w:rsidRDefault="00C17F09" w:rsidP="00C17F09">
      <w:pPr>
        <w:pStyle w:val="ChartGraphic"/>
      </w:pPr>
      <w:r>
        <w:rPr>
          <w:noProof/>
        </w:rPr>
        <w:drawing>
          <wp:inline distT="0" distB="0" distL="0" distR="0" wp14:anchorId="280B23AE" wp14:editId="3FAC40D6">
            <wp:extent cx="4565495" cy="2743200"/>
            <wp:effectExtent l="0" t="0" r="0" b="0"/>
            <wp:docPr id="23" name="Chart 23">
              <a:extLst xmlns:a="http://schemas.openxmlformats.org/drawingml/2006/main">
                <a:ext uri="{FF2B5EF4-FFF2-40B4-BE49-F238E27FC236}">
                  <a16:creationId xmlns:a16="http://schemas.microsoft.com/office/drawing/2014/main" id="{88C193A8-85FE-4411-A1FB-116BE8278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954162F" w14:textId="373AE3A0" w:rsidR="00A63906" w:rsidRDefault="00A63906" w:rsidP="00A63906">
      <w:pPr>
        <w:pStyle w:val="ChartandTableFootnoteAlpha"/>
        <w:numPr>
          <w:ilvl w:val="0"/>
          <w:numId w:val="0"/>
        </w:numPr>
      </w:pPr>
      <w:r w:rsidRPr="00BF48CD">
        <w:t>Before republishi</w:t>
      </w:r>
      <w:r w:rsidRPr="009F1AF7">
        <w:t>ng this data or comparing between years, thoroughly review the methodological and data caveats in Appendix B</w:t>
      </w:r>
      <w:r w:rsidRPr="00BF48CD">
        <w:t xml:space="preserve"> </w:t>
      </w:r>
    </w:p>
    <w:p w14:paraId="74F359BB" w14:textId="77777777" w:rsidR="001637FA" w:rsidRPr="00FD4AF4" w:rsidRDefault="001637FA" w:rsidP="001637FA">
      <w:pPr>
        <w:pStyle w:val="ChartorTableNote"/>
        <w:rPr>
          <w:color w:val="auto"/>
          <w:sz w:val="18"/>
          <w:szCs w:val="18"/>
        </w:rPr>
      </w:pPr>
      <w:r w:rsidRPr="00FD4AF4">
        <w:t xml:space="preserve">This Chart excludes approvals that apply to more than one state or territory. </w:t>
      </w:r>
    </w:p>
    <w:p w14:paraId="2712AE80" w14:textId="0BABB174" w:rsidR="00F40B56" w:rsidRDefault="00F40B56">
      <w:pPr>
        <w:spacing w:after="0" w:line="240" w:lineRule="auto"/>
        <w:jc w:val="left"/>
      </w:pPr>
      <w:r>
        <w:br w:type="page"/>
      </w:r>
    </w:p>
    <w:p w14:paraId="349F7A51" w14:textId="7C7C1A07" w:rsidR="00F57FD7" w:rsidRPr="00655CC7" w:rsidRDefault="00D00D74" w:rsidP="00F40B56">
      <w:pPr>
        <w:pStyle w:val="Heading4"/>
      </w:pPr>
      <w:r w:rsidRPr="00655CC7">
        <w:lastRenderedPageBreak/>
        <w:t>E</w:t>
      </w:r>
      <w:r>
        <w:t>xisting</w:t>
      </w:r>
      <w:r w:rsidR="00F57FD7" w:rsidRPr="00655CC7">
        <w:t xml:space="preserve"> </w:t>
      </w:r>
      <w:r w:rsidR="00F57FD7" w:rsidRPr="00F40B56">
        <w:t>residential</w:t>
      </w:r>
      <w:r w:rsidR="00F57FD7" w:rsidRPr="00655CC7">
        <w:t xml:space="preserve"> </w:t>
      </w:r>
      <w:r w:rsidR="00EE604B">
        <w:t>property</w:t>
      </w:r>
    </w:p>
    <w:p w14:paraId="652440CD" w14:textId="6A902E10" w:rsidR="00F57FD7" w:rsidRPr="00820C89" w:rsidRDefault="00F57FD7" w:rsidP="00F57FD7">
      <w:pPr>
        <w:rPr>
          <w:color w:val="auto"/>
        </w:rPr>
      </w:pPr>
      <w:r w:rsidRPr="00820C89">
        <w:t xml:space="preserve">In </w:t>
      </w:r>
      <w:r w:rsidR="00D76ED2">
        <w:t>2020</w:t>
      </w:r>
      <w:r w:rsidR="00D76ED2">
        <w:noBreakHyphen/>
        <w:t>21</w:t>
      </w:r>
      <w:r w:rsidRPr="00820C89">
        <w:t xml:space="preserve">, there were </w:t>
      </w:r>
      <w:r w:rsidR="009D4022" w:rsidRPr="004D16AA">
        <w:t>661</w:t>
      </w:r>
      <w:r w:rsidRPr="004D16AA">
        <w:t> a</w:t>
      </w:r>
      <w:r w:rsidRPr="00820C89">
        <w:t>pprovals for e</w:t>
      </w:r>
      <w:r w:rsidR="00D00D74">
        <w:t>xisting</w:t>
      </w:r>
      <w:r w:rsidRPr="00820C89">
        <w:t xml:space="preserve"> residential </w:t>
      </w:r>
      <w:r w:rsidR="00EE604B">
        <w:t>property</w:t>
      </w:r>
      <w:r>
        <w:t xml:space="preserve"> (see</w:t>
      </w:r>
      <w:r w:rsidR="00A44160">
        <w:t> </w:t>
      </w:r>
      <w:r>
        <w:t>Table</w:t>
      </w:r>
      <w:r w:rsidR="00A44160">
        <w:t> </w:t>
      </w:r>
      <w:r w:rsidRPr="006C1644">
        <w:t>3.13</w:t>
      </w:r>
      <w:r>
        <w:t>)</w:t>
      </w:r>
      <w:r w:rsidRPr="00820C89">
        <w:t>. E</w:t>
      </w:r>
      <w:r w:rsidR="00D00D74">
        <w:t>xisting residential</w:t>
      </w:r>
      <w:r w:rsidRPr="00820C89">
        <w:t xml:space="preserve"> </w:t>
      </w:r>
      <w:r w:rsidR="00EE604B">
        <w:t>property</w:t>
      </w:r>
      <w:r w:rsidRPr="00820C89">
        <w:t xml:space="preserve"> (or developed residential premises) can generally only be purchased by temporary residents for use as their home while </w:t>
      </w:r>
      <w:r w:rsidRPr="00820C89">
        <w:rPr>
          <w:color w:val="auto"/>
        </w:rPr>
        <w:t>they remain in Australia. A small number of approvals are given for foreign persons that operate a substantial Australian business to acquire an e</w:t>
      </w:r>
      <w:r w:rsidR="00EE604B">
        <w:rPr>
          <w:color w:val="auto"/>
        </w:rPr>
        <w:t>xisting residential property</w:t>
      </w:r>
      <w:r w:rsidRPr="00820C89">
        <w:rPr>
          <w:color w:val="auto"/>
        </w:rPr>
        <w:t xml:space="preserve"> to house Australian based staff or for rede</w:t>
      </w:r>
      <w:r>
        <w:rPr>
          <w:color w:val="auto"/>
        </w:rPr>
        <w:t xml:space="preserve">velopment to add to the housing </w:t>
      </w:r>
      <w:r w:rsidRPr="00820C89">
        <w:rPr>
          <w:color w:val="auto"/>
        </w:rPr>
        <w:t xml:space="preserve">stock. </w:t>
      </w:r>
    </w:p>
    <w:p w14:paraId="6282285D" w14:textId="26A06663" w:rsidR="00F57FD7" w:rsidRPr="00820C89" w:rsidRDefault="00F57FD7" w:rsidP="00A44160">
      <w:r w:rsidRPr="00820C89">
        <w:t xml:space="preserve">In </w:t>
      </w:r>
      <w:r w:rsidR="00D76ED2">
        <w:t>2020</w:t>
      </w:r>
      <w:r w:rsidR="00D76ED2">
        <w:noBreakHyphen/>
        <w:t>21</w:t>
      </w:r>
      <w:r w:rsidRPr="00F43AE3">
        <w:t xml:space="preserve">, there was </w:t>
      </w:r>
      <w:r w:rsidR="00EE604B" w:rsidRPr="00F43AE3">
        <w:t>a 5.1</w:t>
      </w:r>
      <w:r w:rsidR="00A44160">
        <w:t> </w:t>
      </w:r>
      <w:r w:rsidR="00EE604B" w:rsidRPr="00F43AE3">
        <w:t>per</w:t>
      </w:r>
      <w:r w:rsidR="00A44160">
        <w:t> </w:t>
      </w:r>
      <w:r w:rsidR="00EE604B" w:rsidRPr="00F43AE3">
        <w:t>cent decrease</w:t>
      </w:r>
      <w:r w:rsidRPr="00F43AE3">
        <w:t xml:space="preserve"> in the proportion of e</w:t>
      </w:r>
      <w:r w:rsidR="00EE604B" w:rsidRPr="00F43AE3">
        <w:t>xisting</w:t>
      </w:r>
      <w:r w:rsidRPr="00F43AE3">
        <w:t xml:space="preserve"> </w:t>
      </w:r>
      <w:r w:rsidR="00EE604B" w:rsidRPr="00F43AE3">
        <w:t>residential property</w:t>
      </w:r>
      <w:r w:rsidRPr="00F43AE3">
        <w:t xml:space="preserve"> single purchase </w:t>
      </w:r>
      <w:r w:rsidR="00CB1F62" w:rsidRPr="00F43AE3">
        <w:t xml:space="preserve">ECs </w:t>
      </w:r>
      <w:r w:rsidRPr="00F43AE3">
        <w:t>(</w:t>
      </w:r>
      <w:r w:rsidR="00EE604B" w:rsidRPr="00F43AE3">
        <w:t>296</w:t>
      </w:r>
      <w:r w:rsidRPr="00F43AE3">
        <w:t>) that made</w:t>
      </w:r>
      <w:r w:rsidRPr="00820C89">
        <w:t xml:space="preserve"> up all </w:t>
      </w:r>
      <w:r w:rsidR="00EE604B">
        <w:t xml:space="preserve">existing residential property </w:t>
      </w:r>
      <w:r w:rsidRPr="00820C89">
        <w:t>approvals</w:t>
      </w:r>
      <w:r w:rsidR="00EE604B">
        <w:t xml:space="preserve">. </w:t>
      </w:r>
      <w:r w:rsidRPr="00820C89">
        <w:t>These certificates enable foreign persons to receive pre</w:t>
      </w:r>
      <w:r w:rsidR="003E7C79">
        <w:t>–</w:t>
      </w:r>
      <w:r w:rsidRPr="00820C89">
        <w:t xml:space="preserve">approval to purchase a single established dwelling and notify the details of the property once purchased, rather than requiring the person to seek individual approvals for each dwelling they may be considering purchasing. </w:t>
      </w:r>
    </w:p>
    <w:p w14:paraId="365370CC" w14:textId="77777777" w:rsidR="00F57FD7" w:rsidRPr="00820C89" w:rsidRDefault="00F57FD7" w:rsidP="00F40B56">
      <w:pPr>
        <w:pStyle w:val="Heading4"/>
      </w:pPr>
      <w:r w:rsidRPr="00655CC7">
        <w:t>For</w:t>
      </w:r>
      <w:r w:rsidRPr="00820C89">
        <w:t xml:space="preserve"> </w:t>
      </w:r>
      <w:r w:rsidRPr="00655CC7">
        <w:t>development</w:t>
      </w:r>
    </w:p>
    <w:p w14:paraId="20752814" w14:textId="6783EFC0" w:rsidR="00F40B56" w:rsidRDefault="00F57FD7" w:rsidP="00153CD8">
      <w:pPr>
        <w:rPr>
          <w:color w:val="auto"/>
        </w:rPr>
      </w:pPr>
      <w:r w:rsidRPr="00820C89">
        <w:t>Australia</w:t>
      </w:r>
      <w:r w:rsidR="00065800">
        <w:t>’</w:t>
      </w:r>
      <w:r w:rsidRPr="00820C89">
        <w:t xml:space="preserve">s foreign investment policy encourages investment in the residential real estate sector, which is expected to </w:t>
      </w:r>
      <w:r w:rsidRPr="00820C89">
        <w:rPr>
          <w:color w:val="auto"/>
        </w:rPr>
        <w:t>help build</w:t>
      </w:r>
      <w:r>
        <w:rPr>
          <w:color w:val="auto"/>
        </w:rPr>
        <w:t xml:space="preserve"> a</w:t>
      </w:r>
      <w:r w:rsidRPr="00820C89">
        <w:rPr>
          <w:color w:val="auto"/>
        </w:rPr>
        <w:t xml:space="preserve"> new supply</w:t>
      </w:r>
      <w:r>
        <w:rPr>
          <w:color w:val="auto"/>
        </w:rPr>
        <w:t xml:space="preserve"> of houses</w:t>
      </w:r>
      <w:r w:rsidRPr="00820C89">
        <w:rPr>
          <w:color w:val="auto"/>
        </w:rPr>
        <w:t xml:space="preserve">. In </w:t>
      </w:r>
      <w:r w:rsidR="00D76ED2">
        <w:rPr>
          <w:color w:val="auto"/>
        </w:rPr>
        <w:t>2020</w:t>
      </w:r>
      <w:r w:rsidR="00D76ED2">
        <w:rPr>
          <w:color w:val="auto"/>
        </w:rPr>
        <w:noBreakHyphen/>
        <w:t>21</w:t>
      </w:r>
      <w:r w:rsidRPr="00B93C80">
        <w:rPr>
          <w:color w:val="auto"/>
        </w:rPr>
        <w:t xml:space="preserve">, </w:t>
      </w:r>
      <w:r w:rsidR="009C5142" w:rsidRPr="00B93C80">
        <w:rPr>
          <w:color w:val="auto"/>
        </w:rPr>
        <w:t>3,026</w:t>
      </w:r>
      <w:r w:rsidRPr="00B93C80">
        <w:rPr>
          <w:color w:val="auto"/>
        </w:rPr>
        <w:t> approvals</w:t>
      </w:r>
      <w:r w:rsidRPr="00820C89">
        <w:rPr>
          <w:color w:val="auto"/>
        </w:rPr>
        <w:t xml:space="preserve"> for development were given including combination </w:t>
      </w:r>
      <w:r w:rsidR="006E5FC3">
        <w:rPr>
          <w:color w:val="auto"/>
        </w:rPr>
        <w:t xml:space="preserve">ECs </w:t>
      </w:r>
      <w:r w:rsidRPr="00820C89">
        <w:rPr>
          <w:color w:val="auto"/>
        </w:rPr>
        <w:t>for new dwellings, vacant land and</w:t>
      </w:r>
      <w:r>
        <w:rPr>
          <w:color w:val="auto"/>
        </w:rPr>
        <w:t xml:space="preserve"> other residential property for </w:t>
      </w:r>
      <w:r w:rsidRPr="00820C89">
        <w:rPr>
          <w:color w:val="auto"/>
        </w:rPr>
        <w:t>development</w:t>
      </w:r>
      <w:r>
        <w:rPr>
          <w:color w:val="auto"/>
        </w:rPr>
        <w:t xml:space="preserve"> (see</w:t>
      </w:r>
      <w:r w:rsidR="00E850DC">
        <w:rPr>
          <w:color w:val="auto"/>
        </w:rPr>
        <w:t> </w:t>
      </w:r>
      <w:r>
        <w:rPr>
          <w:color w:val="auto"/>
        </w:rPr>
        <w:t>Table</w:t>
      </w:r>
      <w:r w:rsidR="00E850DC">
        <w:rPr>
          <w:color w:val="auto"/>
        </w:rPr>
        <w:t> </w:t>
      </w:r>
      <w:r>
        <w:rPr>
          <w:color w:val="auto"/>
        </w:rPr>
        <w:t>3.13)</w:t>
      </w:r>
      <w:r w:rsidRPr="00820C89">
        <w:rPr>
          <w:color w:val="auto"/>
        </w:rPr>
        <w:t>.</w:t>
      </w:r>
    </w:p>
    <w:p w14:paraId="6075586E" w14:textId="77777777" w:rsidR="00F40B56" w:rsidRDefault="00F40B56">
      <w:pPr>
        <w:spacing w:after="0" w:line="240" w:lineRule="auto"/>
        <w:jc w:val="left"/>
        <w:rPr>
          <w:color w:val="auto"/>
        </w:rPr>
      </w:pPr>
      <w:r>
        <w:rPr>
          <w:color w:val="auto"/>
        </w:rPr>
        <w:br w:type="page"/>
      </w:r>
    </w:p>
    <w:p w14:paraId="281F8270" w14:textId="556C33AF" w:rsidR="00F07785" w:rsidRPr="00F40B56" w:rsidRDefault="00F07785" w:rsidP="00F40B56">
      <w:pPr>
        <w:pStyle w:val="TableMainHeading"/>
      </w:pPr>
      <w:bookmarkStart w:id="138" w:name="_Toc89939947"/>
      <w:r w:rsidRPr="00F40B56">
        <w:lastRenderedPageBreak/>
        <w:t xml:space="preserve">Table </w:t>
      </w:r>
      <w:fldSimple w:instr=" STYLEREF 1 \s ">
        <w:r w:rsidR="0019342F">
          <w:rPr>
            <w:noProof/>
          </w:rPr>
          <w:t>3</w:t>
        </w:r>
      </w:fldSimple>
      <w:r w:rsidR="009812FE" w:rsidRPr="00F40B56">
        <w:t>.</w:t>
      </w:r>
      <w:fldSimple w:instr=" SEQ Table \* ARABIC \s 1 ">
        <w:r w:rsidR="0019342F">
          <w:rPr>
            <w:noProof/>
          </w:rPr>
          <w:t>13</w:t>
        </w:r>
      </w:fldSimple>
      <w:r w:rsidRPr="00F40B56">
        <w:t xml:space="preserve">: Residential real estate approvals, by type, </w:t>
      </w:r>
      <w:r w:rsidR="00DC1928">
        <w:t>2017</w:t>
      </w:r>
      <w:r w:rsidR="00DC1928">
        <w:noBreakHyphen/>
        <w:t>18</w:t>
      </w:r>
      <w:r w:rsidRPr="00F40B56">
        <w:t xml:space="preserve"> to </w:t>
      </w:r>
      <w:r w:rsidR="00D76ED2">
        <w:t>2020</w:t>
      </w:r>
      <w:r w:rsidR="00D76ED2">
        <w:noBreakHyphen/>
        <w:t>21</w:t>
      </w:r>
      <w:bookmarkEnd w:id="138"/>
    </w:p>
    <w:tbl>
      <w:tblPr>
        <w:tblW w:w="5000" w:type="pct"/>
        <w:tblLayout w:type="fixed"/>
        <w:tblCellMar>
          <w:left w:w="28" w:type="dxa"/>
        </w:tblCellMar>
        <w:tblLook w:val="04A0" w:firstRow="1" w:lastRow="0" w:firstColumn="1" w:lastColumn="0" w:noHBand="0" w:noVBand="1"/>
      </w:tblPr>
      <w:tblGrid>
        <w:gridCol w:w="2888"/>
        <w:gridCol w:w="668"/>
        <w:gridCol w:w="569"/>
        <w:gridCol w:w="638"/>
        <w:gridCol w:w="598"/>
        <w:gridCol w:w="737"/>
        <w:gridCol w:w="480"/>
        <w:gridCol w:w="635"/>
        <w:gridCol w:w="497"/>
      </w:tblGrid>
      <w:tr w:rsidR="00181D7A" w:rsidRPr="007D0FE9" w14:paraId="1954826B" w14:textId="77777777" w:rsidTr="00405179">
        <w:trPr>
          <w:trHeight w:val="301"/>
        </w:trPr>
        <w:tc>
          <w:tcPr>
            <w:tcW w:w="1872" w:type="pct"/>
            <w:tcBorders>
              <w:top w:val="single" w:sz="4" w:space="0" w:color="auto"/>
              <w:left w:val="nil"/>
              <w:right w:val="nil"/>
            </w:tcBorders>
            <w:shd w:val="clear" w:color="auto" w:fill="auto"/>
            <w:noWrap/>
            <w:vAlign w:val="bottom"/>
          </w:tcPr>
          <w:p w14:paraId="226ECE0C" w14:textId="77777777" w:rsidR="00181D7A" w:rsidRPr="008F6203" w:rsidRDefault="00181D7A" w:rsidP="00746D27">
            <w:pPr>
              <w:spacing w:after="0" w:line="240" w:lineRule="auto"/>
              <w:jc w:val="left"/>
              <w:rPr>
                <w:rFonts w:ascii="Arial" w:hAnsi="Arial" w:cs="Arial"/>
                <w:color w:val="auto"/>
                <w:sz w:val="16"/>
                <w:szCs w:val="16"/>
              </w:rPr>
            </w:pPr>
          </w:p>
        </w:tc>
        <w:tc>
          <w:tcPr>
            <w:tcW w:w="802" w:type="pct"/>
            <w:gridSpan w:val="2"/>
            <w:tcBorders>
              <w:top w:val="single" w:sz="4" w:space="0" w:color="auto"/>
              <w:left w:val="nil"/>
              <w:bottom w:val="single" w:sz="4" w:space="0" w:color="auto"/>
              <w:right w:val="nil"/>
            </w:tcBorders>
            <w:shd w:val="clear" w:color="auto" w:fill="auto"/>
            <w:noWrap/>
            <w:vAlign w:val="bottom"/>
          </w:tcPr>
          <w:p w14:paraId="2E676556" w14:textId="562C20C0" w:rsidR="00181D7A" w:rsidRPr="008F6203" w:rsidRDefault="00DC1928" w:rsidP="00AE235A">
            <w:pPr>
              <w:spacing w:after="0" w:line="240" w:lineRule="auto"/>
              <w:jc w:val="center"/>
              <w:rPr>
                <w:rFonts w:ascii="Arial" w:hAnsi="Arial" w:cs="Arial"/>
                <w:color w:val="auto"/>
                <w:sz w:val="16"/>
                <w:szCs w:val="16"/>
              </w:rPr>
            </w:pPr>
            <w:r>
              <w:rPr>
                <w:rFonts w:ascii="Arial" w:hAnsi="Arial" w:cs="Arial"/>
                <w:color w:val="auto"/>
                <w:sz w:val="16"/>
                <w:szCs w:val="16"/>
              </w:rPr>
              <w:t>2017</w:t>
            </w:r>
            <w:r>
              <w:rPr>
                <w:rFonts w:ascii="Arial" w:hAnsi="Arial" w:cs="Arial"/>
                <w:color w:val="auto"/>
                <w:sz w:val="16"/>
                <w:szCs w:val="16"/>
              </w:rPr>
              <w:noBreakHyphen/>
              <w:t>18</w:t>
            </w:r>
          </w:p>
        </w:tc>
        <w:tc>
          <w:tcPr>
            <w:tcW w:w="802" w:type="pct"/>
            <w:gridSpan w:val="2"/>
            <w:tcBorders>
              <w:top w:val="single" w:sz="4" w:space="0" w:color="auto"/>
              <w:left w:val="nil"/>
              <w:bottom w:val="single" w:sz="4" w:space="0" w:color="auto"/>
              <w:right w:val="nil"/>
            </w:tcBorders>
            <w:shd w:val="clear" w:color="auto" w:fill="auto"/>
            <w:noWrap/>
            <w:vAlign w:val="bottom"/>
          </w:tcPr>
          <w:p w14:paraId="614E9A4E" w14:textId="167FA53D" w:rsidR="00181D7A" w:rsidRPr="008F6203" w:rsidRDefault="00C17F09" w:rsidP="00AE235A">
            <w:pPr>
              <w:spacing w:after="0" w:line="240" w:lineRule="auto"/>
              <w:jc w:val="center"/>
              <w:rPr>
                <w:rFonts w:ascii="Arial" w:hAnsi="Arial" w:cs="Arial"/>
                <w:color w:val="auto"/>
                <w:sz w:val="16"/>
                <w:szCs w:val="16"/>
              </w:rPr>
            </w:pPr>
            <w:r>
              <w:rPr>
                <w:rFonts w:ascii="Arial" w:hAnsi="Arial" w:cs="Arial"/>
                <w:color w:val="auto"/>
                <w:sz w:val="16"/>
                <w:szCs w:val="16"/>
              </w:rPr>
              <w:t>2018</w:t>
            </w:r>
            <w:r>
              <w:rPr>
                <w:rFonts w:ascii="Arial" w:hAnsi="Arial" w:cs="Arial"/>
                <w:color w:val="auto"/>
                <w:sz w:val="16"/>
                <w:szCs w:val="16"/>
              </w:rPr>
              <w:noBreakHyphen/>
              <w:t>19</w:t>
            </w:r>
          </w:p>
        </w:tc>
        <w:tc>
          <w:tcPr>
            <w:tcW w:w="789" w:type="pct"/>
            <w:gridSpan w:val="2"/>
            <w:tcBorders>
              <w:top w:val="single" w:sz="4" w:space="0" w:color="auto"/>
              <w:left w:val="nil"/>
              <w:bottom w:val="single" w:sz="4" w:space="0" w:color="auto"/>
              <w:right w:val="nil"/>
            </w:tcBorders>
            <w:shd w:val="clear" w:color="auto" w:fill="auto"/>
            <w:noWrap/>
            <w:vAlign w:val="bottom"/>
          </w:tcPr>
          <w:p w14:paraId="6E04C372" w14:textId="27BB76CC" w:rsidR="00181D7A" w:rsidRPr="008F6203" w:rsidRDefault="00D76ED2" w:rsidP="00AE235A">
            <w:pPr>
              <w:spacing w:after="0" w:line="240" w:lineRule="auto"/>
              <w:jc w:val="center"/>
              <w:rPr>
                <w:rFonts w:ascii="Arial" w:hAnsi="Arial" w:cs="Arial"/>
                <w:color w:val="auto"/>
                <w:sz w:val="16"/>
                <w:szCs w:val="16"/>
              </w:rPr>
            </w:pPr>
            <w:r>
              <w:rPr>
                <w:rFonts w:ascii="Arial" w:hAnsi="Arial" w:cs="Arial"/>
                <w:color w:val="auto"/>
                <w:sz w:val="16"/>
                <w:szCs w:val="16"/>
              </w:rPr>
              <w:t>2019</w:t>
            </w:r>
            <w:r>
              <w:rPr>
                <w:rFonts w:ascii="Arial" w:hAnsi="Arial" w:cs="Arial"/>
                <w:color w:val="auto"/>
                <w:sz w:val="16"/>
                <w:szCs w:val="16"/>
              </w:rPr>
              <w:noBreakHyphen/>
              <w:t>20</w:t>
            </w:r>
          </w:p>
        </w:tc>
        <w:tc>
          <w:tcPr>
            <w:tcW w:w="734" w:type="pct"/>
            <w:gridSpan w:val="2"/>
            <w:tcBorders>
              <w:top w:val="single" w:sz="4" w:space="0" w:color="auto"/>
              <w:left w:val="nil"/>
              <w:bottom w:val="single" w:sz="4" w:space="0" w:color="auto"/>
              <w:right w:val="nil"/>
            </w:tcBorders>
            <w:shd w:val="clear" w:color="auto" w:fill="E1E8EB"/>
            <w:noWrap/>
            <w:vAlign w:val="bottom"/>
          </w:tcPr>
          <w:p w14:paraId="4C775714" w14:textId="0F8AA137" w:rsidR="00181D7A" w:rsidRPr="008F6203" w:rsidRDefault="00D76ED2" w:rsidP="00AE235A">
            <w:pPr>
              <w:spacing w:after="0" w:line="240" w:lineRule="auto"/>
              <w:jc w:val="center"/>
              <w:rPr>
                <w:rFonts w:ascii="Arial" w:hAnsi="Arial" w:cs="Arial"/>
                <w:color w:val="auto"/>
                <w:sz w:val="16"/>
                <w:szCs w:val="16"/>
              </w:rPr>
            </w:pPr>
            <w:r>
              <w:rPr>
                <w:rFonts w:ascii="Arial" w:hAnsi="Arial" w:cs="Arial"/>
                <w:color w:val="auto"/>
                <w:sz w:val="16"/>
                <w:szCs w:val="16"/>
              </w:rPr>
              <w:t>2020</w:t>
            </w:r>
            <w:r>
              <w:rPr>
                <w:rFonts w:ascii="Arial" w:hAnsi="Arial" w:cs="Arial"/>
                <w:color w:val="auto"/>
                <w:sz w:val="16"/>
                <w:szCs w:val="16"/>
              </w:rPr>
              <w:noBreakHyphen/>
              <w:t>21</w:t>
            </w:r>
          </w:p>
        </w:tc>
      </w:tr>
      <w:tr w:rsidR="00181D7A" w:rsidRPr="007D0FE9" w14:paraId="1891169B" w14:textId="77777777" w:rsidTr="00405179">
        <w:trPr>
          <w:trHeight w:val="301"/>
        </w:trPr>
        <w:tc>
          <w:tcPr>
            <w:tcW w:w="1872" w:type="pct"/>
            <w:tcBorders>
              <w:top w:val="nil"/>
              <w:left w:val="nil"/>
              <w:bottom w:val="single" w:sz="4" w:space="0" w:color="auto"/>
              <w:right w:val="nil"/>
            </w:tcBorders>
            <w:shd w:val="clear" w:color="auto" w:fill="auto"/>
            <w:noWrap/>
            <w:vAlign w:val="bottom"/>
            <w:hideMark/>
          </w:tcPr>
          <w:p w14:paraId="2EC60007" w14:textId="44B79CB6" w:rsidR="00181D7A" w:rsidRPr="008F6203" w:rsidRDefault="00181D7A" w:rsidP="00746D27">
            <w:pPr>
              <w:spacing w:after="0" w:line="240" w:lineRule="auto"/>
              <w:jc w:val="left"/>
              <w:rPr>
                <w:rFonts w:ascii="Arial" w:hAnsi="Arial" w:cs="Arial"/>
                <w:color w:val="auto"/>
                <w:sz w:val="16"/>
                <w:szCs w:val="16"/>
              </w:rPr>
            </w:pPr>
            <w:r w:rsidRPr="008F6203">
              <w:rPr>
                <w:rFonts w:ascii="Arial" w:hAnsi="Arial" w:cs="Arial"/>
                <w:color w:val="auto"/>
                <w:sz w:val="16"/>
                <w:szCs w:val="16"/>
              </w:rPr>
              <w:t> </w:t>
            </w:r>
            <w:r>
              <w:rPr>
                <w:rFonts w:ascii="Arial" w:hAnsi="Arial" w:cs="Arial"/>
                <w:color w:val="auto"/>
                <w:sz w:val="16"/>
                <w:szCs w:val="16"/>
              </w:rPr>
              <w:t>Residential</w:t>
            </w:r>
          </w:p>
        </w:tc>
        <w:tc>
          <w:tcPr>
            <w:tcW w:w="433" w:type="pct"/>
            <w:tcBorders>
              <w:top w:val="nil"/>
              <w:left w:val="nil"/>
              <w:bottom w:val="single" w:sz="4" w:space="0" w:color="auto"/>
              <w:right w:val="nil"/>
            </w:tcBorders>
            <w:shd w:val="clear" w:color="auto" w:fill="auto"/>
            <w:noWrap/>
            <w:vAlign w:val="bottom"/>
            <w:hideMark/>
          </w:tcPr>
          <w:p w14:paraId="62164512" w14:textId="77777777" w:rsidR="00181D7A" w:rsidRPr="008F6203" w:rsidRDefault="00181D7A" w:rsidP="00746D27">
            <w:pPr>
              <w:spacing w:after="0" w:line="240" w:lineRule="auto"/>
              <w:jc w:val="right"/>
              <w:rPr>
                <w:rFonts w:ascii="Arial" w:hAnsi="Arial" w:cs="Arial"/>
                <w:color w:val="auto"/>
                <w:sz w:val="16"/>
                <w:szCs w:val="16"/>
              </w:rPr>
            </w:pPr>
            <w:r w:rsidRPr="008F6203">
              <w:rPr>
                <w:rFonts w:ascii="Arial" w:hAnsi="Arial" w:cs="Arial"/>
                <w:color w:val="auto"/>
                <w:sz w:val="16"/>
                <w:szCs w:val="16"/>
              </w:rPr>
              <w:t>No.</w:t>
            </w:r>
          </w:p>
        </w:tc>
        <w:tc>
          <w:tcPr>
            <w:tcW w:w="369" w:type="pct"/>
            <w:tcBorders>
              <w:top w:val="nil"/>
              <w:left w:val="nil"/>
              <w:bottom w:val="single" w:sz="4" w:space="0" w:color="auto"/>
              <w:right w:val="nil"/>
            </w:tcBorders>
            <w:shd w:val="clear" w:color="auto" w:fill="auto"/>
            <w:noWrap/>
            <w:vAlign w:val="bottom"/>
            <w:hideMark/>
          </w:tcPr>
          <w:p w14:paraId="0B64B775" w14:textId="77777777" w:rsidR="00181D7A" w:rsidRPr="008F6203" w:rsidRDefault="00181D7A" w:rsidP="00746D27">
            <w:pPr>
              <w:spacing w:after="0" w:line="240" w:lineRule="auto"/>
              <w:jc w:val="right"/>
              <w:rPr>
                <w:rFonts w:ascii="Arial" w:hAnsi="Arial" w:cs="Arial"/>
                <w:color w:val="auto"/>
                <w:sz w:val="16"/>
                <w:szCs w:val="16"/>
              </w:rPr>
            </w:pPr>
            <w:r w:rsidRPr="008F6203">
              <w:rPr>
                <w:rFonts w:ascii="Arial" w:hAnsi="Arial" w:cs="Arial"/>
                <w:color w:val="auto"/>
                <w:sz w:val="16"/>
                <w:szCs w:val="16"/>
              </w:rPr>
              <w:t>$b</w:t>
            </w:r>
          </w:p>
        </w:tc>
        <w:tc>
          <w:tcPr>
            <w:tcW w:w="414" w:type="pct"/>
            <w:tcBorders>
              <w:top w:val="nil"/>
              <w:left w:val="nil"/>
              <w:bottom w:val="single" w:sz="4" w:space="0" w:color="auto"/>
              <w:right w:val="nil"/>
            </w:tcBorders>
            <w:shd w:val="clear" w:color="auto" w:fill="auto"/>
            <w:noWrap/>
            <w:vAlign w:val="bottom"/>
            <w:hideMark/>
          </w:tcPr>
          <w:p w14:paraId="31DEB6E8" w14:textId="44A119BA" w:rsidR="00181D7A" w:rsidRPr="008F6203" w:rsidRDefault="00181D7A" w:rsidP="00746D27">
            <w:pPr>
              <w:spacing w:after="0" w:line="240" w:lineRule="auto"/>
              <w:jc w:val="right"/>
              <w:rPr>
                <w:rFonts w:ascii="Arial" w:hAnsi="Arial" w:cs="Arial"/>
                <w:color w:val="auto"/>
                <w:sz w:val="16"/>
                <w:szCs w:val="16"/>
              </w:rPr>
            </w:pPr>
            <w:r w:rsidRPr="008F6203">
              <w:rPr>
                <w:rFonts w:ascii="Arial" w:hAnsi="Arial" w:cs="Arial"/>
                <w:color w:val="auto"/>
                <w:sz w:val="16"/>
                <w:szCs w:val="16"/>
              </w:rPr>
              <w:t>No.</w:t>
            </w:r>
          </w:p>
        </w:tc>
        <w:tc>
          <w:tcPr>
            <w:tcW w:w="388" w:type="pct"/>
            <w:tcBorders>
              <w:top w:val="nil"/>
              <w:left w:val="nil"/>
              <w:bottom w:val="single" w:sz="4" w:space="0" w:color="auto"/>
              <w:right w:val="nil"/>
            </w:tcBorders>
            <w:shd w:val="clear" w:color="auto" w:fill="auto"/>
            <w:noWrap/>
            <w:vAlign w:val="bottom"/>
            <w:hideMark/>
          </w:tcPr>
          <w:p w14:paraId="481BACFC" w14:textId="77777777" w:rsidR="00181D7A" w:rsidRPr="008F6203" w:rsidRDefault="00181D7A" w:rsidP="00746D27">
            <w:pPr>
              <w:spacing w:after="0" w:line="240" w:lineRule="auto"/>
              <w:jc w:val="right"/>
              <w:rPr>
                <w:rFonts w:ascii="Arial" w:hAnsi="Arial" w:cs="Arial"/>
                <w:color w:val="auto"/>
                <w:sz w:val="16"/>
                <w:szCs w:val="16"/>
              </w:rPr>
            </w:pPr>
            <w:r w:rsidRPr="008F6203">
              <w:rPr>
                <w:rFonts w:ascii="Arial" w:hAnsi="Arial" w:cs="Arial"/>
                <w:color w:val="auto"/>
                <w:sz w:val="16"/>
                <w:szCs w:val="16"/>
              </w:rPr>
              <w:t>$b</w:t>
            </w:r>
          </w:p>
        </w:tc>
        <w:tc>
          <w:tcPr>
            <w:tcW w:w="478" w:type="pct"/>
            <w:tcBorders>
              <w:top w:val="nil"/>
              <w:left w:val="nil"/>
              <w:bottom w:val="single" w:sz="4" w:space="0" w:color="auto"/>
              <w:right w:val="nil"/>
            </w:tcBorders>
            <w:shd w:val="clear" w:color="auto" w:fill="auto"/>
            <w:noWrap/>
            <w:vAlign w:val="bottom"/>
            <w:hideMark/>
          </w:tcPr>
          <w:p w14:paraId="68C81D0E" w14:textId="77777777" w:rsidR="00181D7A" w:rsidRPr="008F6203" w:rsidRDefault="00181D7A" w:rsidP="00746D27">
            <w:pPr>
              <w:spacing w:after="0" w:line="240" w:lineRule="auto"/>
              <w:jc w:val="right"/>
              <w:rPr>
                <w:rFonts w:ascii="Arial" w:hAnsi="Arial" w:cs="Arial"/>
                <w:color w:val="auto"/>
                <w:sz w:val="16"/>
                <w:szCs w:val="16"/>
              </w:rPr>
            </w:pPr>
            <w:r w:rsidRPr="008F6203">
              <w:rPr>
                <w:rFonts w:ascii="Arial" w:hAnsi="Arial" w:cs="Arial"/>
                <w:color w:val="auto"/>
                <w:sz w:val="16"/>
                <w:szCs w:val="16"/>
              </w:rPr>
              <w:t>No.</w:t>
            </w:r>
          </w:p>
        </w:tc>
        <w:tc>
          <w:tcPr>
            <w:tcW w:w="311" w:type="pct"/>
            <w:tcBorders>
              <w:top w:val="nil"/>
              <w:left w:val="nil"/>
              <w:bottom w:val="single" w:sz="4" w:space="0" w:color="auto"/>
              <w:right w:val="nil"/>
            </w:tcBorders>
            <w:shd w:val="clear" w:color="auto" w:fill="auto"/>
            <w:noWrap/>
            <w:vAlign w:val="bottom"/>
            <w:hideMark/>
          </w:tcPr>
          <w:p w14:paraId="600F964C" w14:textId="77777777" w:rsidR="00181D7A" w:rsidRPr="008F6203" w:rsidRDefault="00181D7A" w:rsidP="00746D27">
            <w:pPr>
              <w:spacing w:after="0" w:line="240" w:lineRule="auto"/>
              <w:jc w:val="right"/>
              <w:rPr>
                <w:rFonts w:ascii="Arial" w:hAnsi="Arial" w:cs="Arial"/>
                <w:color w:val="auto"/>
                <w:sz w:val="16"/>
                <w:szCs w:val="16"/>
              </w:rPr>
            </w:pPr>
            <w:r w:rsidRPr="008F6203">
              <w:rPr>
                <w:rFonts w:ascii="Arial" w:hAnsi="Arial" w:cs="Arial"/>
                <w:color w:val="auto"/>
                <w:sz w:val="16"/>
                <w:szCs w:val="16"/>
              </w:rPr>
              <w:t>$b</w:t>
            </w:r>
          </w:p>
        </w:tc>
        <w:tc>
          <w:tcPr>
            <w:tcW w:w="412" w:type="pct"/>
            <w:tcBorders>
              <w:top w:val="nil"/>
              <w:left w:val="nil"/>
              <w:bottom w:val="single" w:sz="4" w:space="0" w:color="auto"/>
              <w:right w:val="nil"/>
            </w:tcBorders>
            <w:shd w:val="clear" w:color="auto" w:fill="E1E8EB"/>
            <w:noWrap/>
            <w:vAlign w:val="bottom"/>
            <w:hideMark/>
          </w:tcPr>
          <w:p w14:paraId="5105D73F" w14:textId="77777777" w:rsidR="00181D7A" w:rsidRPr="008F6203" w:rsidRDefault="00181D7A" w:rsidP="00746D27">
            <w:pPr>
              <w:spacing w:after="0" w:line="240" w:lineRule="auto"/>
              <w:jc w:val="right"/>
              <w:rPr>
                <w:rFonts w:ascii="Arial" w:hAnsi="Arial" w:cs="Arial"/>
                <w:color w:val="auto"/>
                <w:sz w:val="16"/>
                <w:szCs w:val="16"/>
              </w:rPr>
            </w:pPr>
            <w:r w:rsidRPr="008F6203">
              <w:rPr>
                <w:rFonts w:ascii="Arial" w:hAnsi="Arial" w:cs="Arial"/>
                <w:color w:val="auto"/>
                <w:sz w:val="16"/>
                <w:szCs w:val="16"/>
              </w:rPr>
              <w:t>No.</w:t>
            </w:r>
          </w:p>
        </w:tc>
        <w:tc>
          <w:tcPr>
            <w:tcW w:w="322" w:type="pct"/>
            <w:tcBorders>
              <w:top w:val="nil"/>
              <w:left w:val="nil"/>
              <w:bottom w:val="single" w:sz="4" w:space="0" w:color="auto"/>
              <w:right w:val="nil"/>
            </w:tcBorders>
            <w:shd w:val="clear" w:color="auto" w:fill="E1E8EB"/>
            <w:noWrap/>
            <w:vAlign w:val="bottom"/>
            <w:hideMark/>
          </w:tcPr>
          <w:p w14:paraId="681F6C78" w14:textId="77777777" w:rsidR="00181D7A" w:rsidRPr="008F6203" w:rsidRDefault="00181D7A" w:rsidP="00746D27">
            <w:pPr>
              <w:spacing w:after="0" w:line="240" w:lineRule="auto"/>
              <w:jc w:val="right"/>
              <w:rPr>
                <w:rFonts w:ascii="Arial" w:hAnsi="Arial" w:cs="Arial"/>
                <w:color w:val="auto"/>
                <w:sz w:val="16"/>
                <w:szCs w:val="16"/>
              </w:rPr>
            </w:pPr>
            <w:r w:rsidRPr="008F6203">
              <w:rPr>
                <w:rFonts w:ascii="Arial" w:hAnsi="Arial" w:cs="Arial"/>
                <w:color w:val="auto"/>
                <w:sz w:val="16"/>
                <w:szCs w:val="16"/>
              </w:rPr>
              <w:t>$b</w:t>
            </w:r>
          </w:p>
        </w:tc>
      </w:tr>
      <w:tr w:rsidR="00181D7A" w:rsidRPr="007D0FE9" w14:paraId="162CC7BC" w14:textId="77777777" w:rsidTr="00405179">
        <w:trPr>
          <w:trHeight w:val="301"/>
        </w:trPr>
        <w:tc>
          <w:tcPr>
            <w:tcW w:w="1872" w:type="pct"/>
            <w:tcBorders>
              <w:top w:val="single" w:sz="4" w:space="0" w:color="auto"/>
              <w:left w:val="nil"/>
              <w:bottom w:val="nil"/>
              <w:right w:val="nil"/>
            </w:tcBorders>
            <w:shd w:val="clear" w:color="auto" w:fill="auto"/>
            <w:noWrap/>
            <w:vAlign w:val="bottom"/>
            <w:hideMark/>
          </w:tcPr>
          <w:p w14:paraId="551F5A6F" w14:textId="77777777" w:rsidR="00181D7A" w:rsidRPr="00944CAF" w:rsidRDefault="00181D7A" w:rsidP="00746D27">
            <w:pPr>
              <w:spacing w:after="0" w:line="240" w:lineRule="auto"/>
              <w:jc w:val="left"/>
              <w:rPr>
                <w:rFonts w:ascii="Arial" w:hAnsi="Arial" w:cs="Arial"/>
                <w:color w:val="auto"/>
                <w:sz w:val="16"/>
                <w:szCs w:val="16"/>
                <w:u w:val="single"/>
              </w:rPr>
            </w:pPr>
            <w:r w:rsidRPr="00944CAF">
              <w:rPr>
                <w:rFonts w:ascii="Arial" w:hAnsi="Arial" w:cs="Arial"/>
                <w:color w:val="auto"/>
                <w:sz w:val="16"/>
                <w:szCs w:val="16"/>
                <w:u w:val="single"/>
              </w:rPr>
              <w:t>Developed</w:t>
            </w:r>
          </w:p>
        </w:tc>
        <w:tc>
          <w:tcPr>
            <w:tcW w:w="433" w:type="pct"/>
            <w:tcBorders>
              <w:top w:val="single" w:sz="4" w:space="0" w:color="auto"/>
              <w:left w:val="nil"/>
              <w:bottom w:val="nil"/>
              <w:right w:val="nil"/>
            </w:tcBorders>
            <w:shd w:val="clear" w:color="auto" w:fill="auto"/>
            <w:noWrap/>
            <w:vAlign w:val="bottom"/>
            <w:hideMark/>
          </w:tcPr>
          <w:p w14:paraId="7612D4FF" w14:textId="77777777" w:rsidR="00181D7A" w:rsidRPr="008F6203" w:rsidRDefault="00181D7A" w:rsidP="00746D27">
            <w:pPr>
              <w:spacing w:after="0" w:line="240" w:lineRule="auto"/>
              <w:jc w:val="right"/>
              <w:rPr>
                <w:rFonts w:ascii="Times New Roman" w:hAnsi="Times New Roman"/>
                <w:color w:val="auto"/>
              </w:rPr>
            </w:pPr>
          </w:p>
        </w:tc>
        <w:tc>
          <w:tcPr>
            <w:tcW w:w="369" w:type="pct"/>
            <w:tcBorders>
              <w:top w:val="nil"/>
              <w:left w:val="nil"/>
              <w:bottom w:val="nil"/>
              <w:right w:val="nil"/>
            </w:tcBorders>
            <w:shd w:val="clear" w:color="auto" w:fill="auto"/>
            <w:noWrap/>
            <w:vAlign w:val="bottom"/>
            <w:hideMark/>
          </w:tcPr>
          <w:p w14:paraId="4B822F99" w14:textId="77777777" w:rsidR="00181D7A" w:rsidRPr="008F6203" w:rsidRDefault="00181D7A" w:rsidP="00746D27">
            <w:pPr>
              <w:spacing w:after="0" w:line="240" w:lineRule="auto"/>
              <w:jc w:val="right"/>
              <w:rPr>
                <w:rFonts w:ascii="Times New Roman" w:hAnsi="Times New Roman"/>
                <w:color w:val="auto"/>
              </w:rPr>
            </w:pPr>
          </w:p>
        </w:tc>
        <w:tc>
          <w:tcPr>
            <w:tcW w:w="414" w:type="pct"/>
            <w:tcBorders>
              <w:top w:val="nil"/>
              <w:left w:val="nil"/>
              <w:bottom w:val="nil"/>
              <w:right w:val="nil"/>
            </w:tcBorders>
            <w:shd w:val="clear" w:color="auto" w:fill="auto"/>
            <w:noWrap/>
            <w:vAlign w:val="bottom"/>
            <w:hideMark/>
          </w:tcPr>
          <w:p w14:paraId="5C68EF40" w14:textId="670E62A9" w:rsidR="00181D7A" w:rsidRPr="008F6203" w:rsidRDefault="00181D7A" w:rsidP="00746D27">
            <w:pPr>
              <w:spacing w:after="0" w:line="240" w:lineRule="auto"/>
              <w:jc w:val="right"/>
              <w:rPr>
                <w:rFonts w:ascii="Times New Roman" w:hAnsi="Times New Roman"/>
                <w:color w:val="auto"/>
              </w:rPr>
            </w:pPr>
          </w:p>
        </w:tc>
        <w:tc>
          <w:tcPr>
            <w:tcW w:w="388" w:type="pct"/>
            <w:tcBorders>
              <w:top w:val="nil"/>
              <w:left w:val="nil"/>
              <w:bottom w:val="nil"/>
              <w:right w:val="nil"/>
            </w:tcBorders>
            <w:shd w:val="clear" w:color="auto" w:fill="auto"/>
            <w:noWrap/>
            <w:vAlign w:val="bottom"/>
            <w:hideMark/>
          </w:tcPr>
          <w:p w14:paraId="40AF4EF4" w14:textId="77777777" w:rsidR="00181D7A" w:rsidRPr="008F6203" w:rsidRDefault="00181D7A" w:rsidP="00746D27">
            <w:pPr>
              <w:spacing w:after="0" w:line="240" w:lineRule="auto"/>
              <w:jc w:val="right"/>
              <w:rPr>
                <w:rFonts w:ascii="Times New Roman" w:hAnsi="Times New Roman"/>
                <w:color w:val="auto"/>
              </w:rPr>
            </w:pPr>
          </w:p>
        </w:tc>
        <w:tc>
          <w:tcPr>
            <w:tcW w:w="478" w:type="pct"/>
            <w:tcBorders>
              <w:top w:val="nil"/>
              <w:left w:val="nil"/>
              <w:bottom w:val="nil"/>
              <w:right w:val="nil"/>
            </w:tcBorders>
            <w:shd w:val="clear" w:color="auto" w:fill="auto"/>
            <w:noWrap/>
            <w:vAlign w:val="bottom"/>
            <w:hideMark/>
          </w:tcPr>
          <w:p w14:paraId="2074C547" w14:textId="77777777" w:rsidR="00181D7A" w:rsidRPr="008F6203" w:rsidRDefault="00181D7A" w:rsidP="00746D27">
            <w:pPr>
              <w:spacing w:after="0" w:line="240" w:lineRule="auto"/>
              <w:jc w:val="right"/>
              <w:rPr>
                <w:rFonts w:ascii="Times New Roman" w:hAnsi="Times New Roman"/>
                <w:color w:val="auto"/>
              </w:rPr>
            </w:pPr>
          </w:p>
        </w:tc>
        <w:tc>
          <w:tcPr>
            <w:tcW w:w="311" w:type="pct"/>
            <w:tcBorders>
              <w:top w:val="nil"/>
              <w:left w:val="nil"/>
              <w:bottom w:val="nil"/>
              <w:right w:val="nil"/>
            </w:tcBorders>
            <w:shd w:val="clear" w:color="auto" w:fill="auto"/>
            <w:noWrap/>
            <w:vAlign w:val="bottom"/>
            <w:hideMark/>
          </w:tcPr>
          <w:p w14:paraId="3AC0F814" w14:textId="77777777" w:rsidR="00181D7A" w:rsidRPr="008F6203" w:rsidRDefault="00181D7A" w:rsidP="00746D27">
            <w:pPr>
              <w:spacing w:after="0" w:line="240" w:lineRule="auto"/>
              <w:jc w:val="left"/>
              <w:rPr>
                <w:rFonts w:ascii="Times New Roman" w:hAnsi="Times New Roman"/>
                <w:color w:val="auto"/>
              </w:rPr>
            </w:pPr>
          </w:p>
        </w:tc>
        <w:tc>
          <w:tcPr>
            <w:tcW w:w="412" w:type="pct"/>
            <w:tcBorders>
              <w:top w:val="nil"/>
              <w:left w:val="nil"/>
              <w:bottom w:val="nil"/>
              <w:right w:val="nil"/>
            </w:tcBorders>
            <w:shd w:val="clear" w:color="auto" w:fill="E1E8EB"/>
            <w:noWrap/>
            <w:vAlign w:val="bottom"/>
            <w:hideMark/>
          </w:tcPr>
          <w:p w14:paraId="17F9F574" w14:textId="77777777" w:rsidR="00181D7A" w:rsidRPr="008F6203" w:rsidRDefault="00181D7A" w:rsidP="00746D27">
            <w:pPr>
              <w:spacing w:after="0" w:line="240" w:lineRule="auto"/>
              <w:jc w:val="left"/>
              <w:rPr>
                <w:rFonts w:ascii="Arial" w:hAnsi="Arial" w:cs="Arial"/>
                <w:sz w:val="16"/>
                <w:szCs w:val="16"/>
              </w:rPr>
            </w:pPr>
            <w:r w:rsidRPr="008F6203">
              <w:rPr>
                <w:rFonts w:ascii="Arial" w:hAnsi="Arial" w:cs="Arial"/>
                <w:sz w:val="16"/>
                <w:szCs w:val="16"/>
              </w:rPr>
              <w:t> </w:t>
            </w:r>
          </w:p>
        </w:tc>
        <w:tc>
          <w:tcPr>
            <w:tcW w:w="322" w:type="pct"/>
            <w:tcBorders>
              <w:top w:val="nil"/>
              <w:left w:val="nil"/>
              <w:bottom w:val="nil"/>
              <w:right w:val="nil"/>
            </w:tcBorders>
            <w:shd w:val="clear" w:color="auto" w:fill="E1E8EB"/>
            <w:noWrap/>
            <w:vAlign w:val="bottom"/>
            <w:hideMark/>
          </w:tcPr>
          <w:p w14:paraId="6B4A22FA" w14:textId="77777777" w:rsidR="00181D7A" w:rsidRPr="008F6203" w:rsidRDefault="00181D7A" w:rsidP="00746D27">
            <w:pPr>
              <w:spacing w:after="0" w:line="240" w:lineRule="auto"/>
              <w:jc w:val="left"/>
              <w:rPr>
                <w:rFonts w:ascii="Arial" w:hAnsi="Arial" w:cs="Arial"/>
                <w:sz w:val="16"/>
                <w:szCs w:val="16"/>
              </w:rPr>
            </w:pPr>
            <w:r w:rsidRPr="008F6203">
              <w:rPr>
                <w:rFonts w:ascii="Arial" w:hAnsi="Arial" w:cs="Arial"/>
                <w:sz w:val="16"/>
                <w:szCs w:val="16"/>
              </w:rPr>
              <w:t> </w:t>
            </w:r>
          </w:p>
        </w:tc>
      </w:tr>
      <w:tr w:rsidR="00181D7A" w:rsidRPr="007D0FE9" w14:paraId="6B84BDCE" w14:textId="77777777" w:rsidTr="00405179">
        <w:trPr>
          <w:trHeight w:val="301"/>
        </w:trPr>
        <w:tc>
          <w:tcPr>
            <w:tcW w:w="1872" w:type="pct"/>
            <w:tcBorders>
              <w:top w:val="nil"/>
              <w:left w:val="nil"/>
              <w:bottom w:val="nil"/>
              <w:right w:val="nil"/>
            </w:tcBorders>
            <w:shd w:val="clear" w:color="auto" w:fill="auto"/>
            <w:noWrap/>
            <w:vAlign w:val="bottom"/>
            <w:hideMark/>
          </w:tcPr>
          <w:p w14:paraId="4EF734F6" w14:textId="27B60F7A" w:rsidR="00181D7A" w:rsidRPr="008F6203" w:rsidRDefault="003E7C79" w:rsidP="00746D27">
            <w:pPr>
              <w:spacing w:after="0" w:line="240" w:lineRule="auto"/>
              <w:jc w:val="left"/>
              <w:rPr>
                <w:rFonts w:ascii="Arial" w:hAnsi="Arial" w:cs="Arial"/>
                <w:color w:val="auto"/>
                <w:sz w:val="16"/>
                <w:szCs w:val="16"/>
              </w:rPr>
            </w:pPr>
            <w:r>
              <w:rPr>
                <w:rFonts w:ascii="Arial" w:hAnsi="Arial" w:cs="Arial"/>
                <w:color w:val="auto"/>
                <w:sz w:val="16"/>
                <w:szCs w:val="16"/>
              </w:rPr>
              <w:t>–</w:t>
            </w:r>
            <w:r w:rsidR="00181D7A" w:rsidRPr="00944CAF">
              <w:rPr>
                <w:rFonts w:ascii="Arial" w:hAnsi="Arial" w:cs="Arial"/>
                <w:color w:val="auto"/>
                <w:sz w:val="16"/>
                <w:szCs w:val="16"/>
              </w:rPr>
              <w:t xml:space="preserve"> Existing residential property</w:t>
            </w:r>
          </w:p>
        </w:tc>
        <w:tc>
          <w:tcPr>
            <w:tcW w:w="433" w:type="pct"/>
            <w:tcBorders>
              <w:top w:val="nil"/>
              <w:left w:val="nil"/>
              <w:bottom w:val="nil"/>
              <w:right w:val="nil"/>
            </w:tcBorders>
            <w:shd w:val="clear" w:color="auto" w:fill="auto"/>
            <w:noWrap/>
            <w:vAlign w:val="bottom"/>
            <w:hideMark/>
          </w:tcPr>
          <w:p w14:paraId="2D9B9177" w14:textId="77777777" w:rsidR="00181D7A" w:rsidRPr="008F6203" w:rsidRDefault="00181D7A" w:rsidP="00746D27">
            <w:pPr>
              <w:spacing w:after="0" w:line="240" w:lineRule="auto"/>
              <w:jc w:val="right"/>
              <w:rPr>
                <w:rFonts w:ascii="Times New Roman" w:hAnsi="Times New Roman"/>
                <w:color w:val="auto"/>
              </w:rPr>
            </w:pPr>
          </w:p>
        </w:tc>
        <w:tc>
          <w:tcPr>
            <w:tcW w:w="369" w:type="pct"/>
            <w:tcBorders>
              <w:top w:val="nil"/>
              <w:left w:val="nil"/>
              <w:bottom w:val="nil"/>
              <w:right w:val="nil"/>
            </w:tcBorders>
            <w:shd w:val="clear" w:color="auto" w:fill="auto"/>
            <w:noWrap/>
            <w:vAlign w:val="bottom"/>
            <w:hideMark/>
          </w:tcPr>
          <w:p w14:paraId="44285D1E" w14:textId="77777777" w:rsidR="00181D7A" w:rsidRPr="008F6203" w:rsidRDefault="00181D7A" w:rsidP="00746D27">
            <w:pPr>
              <w:spacing w:after="0" w:line="240" w:lineRule="auto"/>
              <w:jc w:val="right"/>
              <w:rPr>
                <w:rFonts w:ascii="Times New Roman" w:hAnsi="Times New Roman"/>
                <w:color w:val="auto"/>
              </w:rPr>
            </w:pPr>
          </w:p>
        </w:tc>
        <w:tc>
          <w:tcPr>
            <w:tcW w:w="414" w:type="pct"/>
            <w:tcBorders>
              <w:top w:val="nil"/>
              <w:left w:val="nil"/>
              <w:bottom w:val="nil"/>
              <w:right w:val="nil"/>
            </w:tcBorders>
            <w:shd w:val="clear" w:color="auto" w:fill="auto"/>
            <w:noWrap/>
            <w:vAlign w:val="bottom"/>
            <w:hideMark/>
          </w:tcPr>
          <w:p w14:paraId="5B892E66" w14:textId="5B2A0CD2" w:rsidR="00181D7A" w:rsidRPr="008F6203" w:rsidRDefault="00181D7A" w:rsidP="00746D27">
            <w:pPr>
              <w:spacing w:after="0" w:line="240" w:lineRule="auto"/>
              <w:jc w:val="right"/>
              <w:rPr>
                <w:rFonts w:ascii="Times New Roman" w:hAnsi="Times New Roman"/>
                <w:color w:val="auto"/>
              </w:rPr>
            </w:pPr>
          </w:p>
        </w:tc>
        <w:tc>
          <w:tcPr>
            <w:tcW w:w="388" w:type="pct"/>
            <w:tcBorders>
              <w:top w:val="nil"/>
              <w:left w:val="nil"/>
              <w:bottom w:val="nil"/>
              <w:right w:val="nil"/>
            </w:tcBorders>
            <w:shd w:val="clear" w:color="auto" w:fill="auto"/>
            <w:noWrap/>
            <w:vAlign w:val="bottom"/>
            <w:hideMark/>
          </w:tcPr>
          <w:p w14:paraId="38C5EB7A" w14:textId="77777777" w:rsidR="00181D7A" w:rsidRPr="008F6203" w:rsidRDefault="00181D7A" w:rsidP="00746D27">
            <w:pPr>
              <w:spacing w:after="0" w:line="240" w:lineRule="auto"/>
              <w:jc w:val="right"/>
              <w:rPr>
                <w:rFonts w:ascii="Times New Roman" w:hAnsi="Times New Roman"/>
                <w:color w:val="auto"/>
              </w:rPr>
            </w:pPr>
          </w:p>
        </w:tc>
        <w:tc>
          <w:tcPr>
            <w:tcW w:w="478" w:type="pct"/>
            <w:tcBorders>
              <w:top w:val="nil"/>
              <w:left w:val="nil"/>
              <w:bottom w:val="nil"/>
              <w:right w:val="nil"/>
            </w:tcBorders>
            <w:shd w:val="clear" w:color="auto" w:fill="auto"/>
            <w:noWrap/>
            <w:vAlign w:val="bottom"/>
            <w:hideMark/>
          </w:tcPr>
          <w:p w14:paraId="1BE77ACB" w14:textId="77777777" w:rsidR="00181D7A" w:rsidRPr="008F6203" w:rsidRDefault="00181D7A" w:rsidP="00746D27">
            <w:pPr>
              <w:spacing w:after="0" w:line="240" w:lineRule="auto"/>
              <w:jc w:val="right"/>
              <w:rPr>
                <w:rFonts w:ascii="Times New Roman" w:hAnsi="Times New Roman"/>
                <w:color w:val="auto"/>
              </w:rPr>
            </w:pPr>
          </w:p>
        </w:tc>
        <w:tc>
          <w:tcPr>
            <w:tcW w:w="311" w:type="pct"/>
            <w:tcBorders>
              <w:top w:val="nil"/>
              <w:left w:val="nil"/>
              <w:bottom w:val="nil"/>
              <w:right w:val="nil"/>
            </w:tcBorders>
            <w:shd w:val="clear" w:color="auto" w:fill="auto"/>
            <w:noWrap/>
            <w:vAlign w:val="bottom"/>
            <w:hideMark/>
          </w:tcPr>
          <w:p w14:paraId="1A5E7E90" w14:textId="77777777" w:rsidR="00181D7A" w:rsidRPr="008F6203" w:rsidRDefault="00181D7A" w:rsidP="00746D27">
            <w:pPr>
              <w:spacing w:after="0" w:line="240" w:lineRule="auto"/>
              <w:jc w:val="left"/>
              <w:rPr>
                <w:rFonts w:ascii="Times New Roman" w:hAnsi="Times New Roman"/>
                <w:color w:val="auto"/>
              </w:rPr>
            </w:pPr>
          </w:p>
        </w:tc>
        <w:tc>
          <w:tcPr>
            <w:tcW w:w="412" w:type="pct"/>
            <w:tcBorders>
              <w:top w:val="nil"/>
              <w:left w:val="nil"/>
              <w:bottom w:val="nil"/>
              <w:right w:val="nil"/>
            </w:tcBorders>
            <w:shd w:val="clear" w:color="auto" w:fill="E1E8EB"/>
            <w:noWrap/>
            <w:vAlign w:val="bottom"/>
            <w:hideMark/>
          </w:tcPr>
          <w:p w14:paraId="362A125C" w14:textId="77777777" w:rsidR="00181D7A" w:rsidRPr="008F6203" w:rsidRDefault="00181D7A" w:rsidP="00746D27">
            <w:pPr>
              <w:spacing w:after="0" w:line="240" w:lineRule="auto"/>
              <w:jc w:val="left"/>
              <w:rPr>
                <w:rFonts w:ascii="Arial" w:hAnsi="Arial" w:cs="Arial"/>
                <w:sz w:val="16"/>
                <w:szCs w:val="16"/>
              </w:rPr>
            </w:pPr>
            <w:r w:rsidRPr="008F6203">
              <w:rPr>
                <w:rFonts w:ascii="Arial" w:hAnsi="Arial" w:cs="Arial"/>
                <w:sz w:val="16"/>
                <w:szCs w:val="16"/>
              </w:rPr>
              <w:t> </w:t>
            </w:r>
          </w:p>
        </w:tc>
        <w:tc>
          <w:tcPr>
            <w:tcW w:w="322" w:type="pct"/>
            <w:tcBorders>
              <w:top w:val="nil"/>
              <w:left w:val="nil"/>
              <w:bottom w:val="nil"/>
              <w:right w:val="nil"/>
            </w:tcBorders>
            <w:shd w:val="clear" w:color="auto" w:fill="E1E8EB"/>
            <w:noWrap/>
            <w:vAlign w:val="bottom"/>
            <w:hideMark/>
          </w:tcPr>
          <w:p w14:paraId="070F282B" w14:textId="77777777" w:rsidR="00181D7A" w:rsidRPr="008F6203" w:rsidRDefault="00181D7A" w:rsidP="00746D27">
            <w:pPr>
              <w:spacing w:after="0" w:line="240" w:lineRule="auto"/>
              <w:jc w:val="left"/>
              <w:rPr>
                <w:rFonts w:ascii="Arial" w:hAnsi="Arial" w:cs="Arial"/>
                <w:sz w:val="16"/>
                <w:szCs w:val="16"/>
              </w:rPr>
            </w:pPr>
            <w:r w:rsidRPr="008F6203">
              <w:rPr>
                <w:rFonts w:ascii="Arial" w:hAnsi="Arial" w:cs="Arial"/>
                <w:sz w:val="16"/>
                <w:szCs w:val="16"/>
              </w:rPr>
              <w:t> </w:t>
            </w:r>
          </w:p>
        </w:tc>
      </w:tr>
      <w:tr w:rsidR="00181D7A" w:rsidRPr="007D0FE9" w14:paraId="71EE8530" w14:textId="77777777" w:rsidTr="00405179">
        <w:trPr>
          <w:trHeight w:val="301"/>
        </w:trPr>
        <w:tc>
          <w:tcPr>
            <w:tcW w:w="1872" w:type="pct"/>
            <w:tcBorders>
              <w:top w:val="nil"/>
              <w:left w:val="nil"/>
              <w:bottom w:val="nil"/>
              <w:right w:val="nil"/>
            </w:tcBorders>
            <w:shd w:val="clear" w:color="auto" w:fill="auto"/>
            <w:noWrap/>
            <w:vAlign w:val="bottom"/>
            <w:hideMark/>
          </w:tcPr>
          <w:p w14:paraId="5E726CEA" w14:textId="59F21468" w:rsidR="00181D7A" w:rsidRPr="008F6203" w:rsidRDefault="003E7C79" w:rsidP="00746D27">
            <w:pPr>
              <w:spacing w:after="0" w:line="240" w:lineRule="auto"/>
              <w:ind w:firstLineChars="100" w:firstLine="160"/>
              <w:jc w:val="left"/>
              <w:rPr>
                <w:rFonts w:ascii="Arial" w:hAnsi="Arial" w:cs="Arial"/>
                <w:color w:val="auto"/>
                <w:sz w:val="16"/>
                <w:szCs w:val="16"/>
              </w:rPr>
            </w:pPr>
            <w:r>
              <w:rPr>
                <w:rFonts w:ascii="Arial" w:hAnsi="Arial" w:cs="Arial"/>
                <w:color w:val="auto"/>
                <w:sz w:val="16"/>
                <w:szCs w:val="16"/>
              </w:rPr>
              <w:t>–</w:t>
            </w:r>
            <w:r w:rsidR="00181D7A" w:rsidRPr="00944CAF">
              <w:rPr>
                <w:rFonts w:ascii="Arial" w:hAnsi="Arial" w:cs="Arial"/>
                <w:color w:val="auto"/>
                <w:sz w:val="16"/>
                <w:szCs w:val="16"/>
              </w:rPr>
              <w:t xml:space="preserve"> Individual purchases</w:t>
            </w:r>
          </w:p>
        </w:tc>
        <w:tc>
          <w:tcPr>
            <w:tcW w:w="433" w:type="pct"/>
            <w:tcBorders>
              <w:top w:val="nil"/>
              <w:left w:val="nil"/>
              <w:right w:val="nil"/>
            </w:tcBorders>
            <w:shd w:val="clear" w:color="auto" w:fill="auto"/>
            <w:noWrap/>
            <w:vAlign w:val="center"/>
            <w:hideMark/>
          </w:tcPr>
          <w:p w14:paraId="4E17E22D" w14:textId="60993CA7"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1,075</w:t>
            </w:r>
          </w:p>
        </w:tc>
        <w:tc>
          <w:tcPr>
            <w:tcW w:w="369" w:type="pct"/>
            <w:tcBorders>
              <w:top w:val="nil"/>
              <w:left w:val="nil"/>
              <w:right w:val="nil"/>
            </w:tcBorders>
            <w:shd w:val="clear" w:color="auto" w:fill="auto"/>
            <w:noWrap/>
            <w:vAlign w:val="center"/>
            <w:hideMark/>
          </w:tcPr>
          <w:p w14:paraId="054CB44A" w14:textId="71B8BE30"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1.5</w:t>
            </w:r>
          </w:p>
        </w:tc>
        <w:tc>
          <w:tcPr>
            <w:tcW w:w="414" w:type="pct"/>
            <w:tcBorders>
              <w:top w:val="nil"/>
              <w:left w:val="nil"/>
              <w:right w:val="nil"/>
            </w:tcBorders>
            <w:shd w:val="clear" w:color="auto" w:fill="auto"/>
            <w:noWrap/>
            <w:vAlign w:val="center"/>
            <w:hideMark/>
          </w:tcPr>
          <w:p w14:paraId="6AAD297C" w14:textId="060D77DA"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995</w:t>
            </w:r>
          </w:p>
        </w:tc>
        <w:tc>
          <w:tcPr>
            <w:tcW w:w="388" w:type="pct"/>
            <w:tcBorders>
              <w:top w:val="nil"/>
              <w:left w:val="nil"/>
              <w:right w:val="nil"/>
            </w:tcBorders>
            <w:shd w:val="clear" w:color="auto" w:fill="auto"/>
            <w:noWrap/>
            <w:vAlign w:val="center"/>
            <w:hideMark/>
          </w:tcPr>
          <w:p w14:paraId="101D7981" w14:textId="5F17974A"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1.2</w:t>
            </w:r>
          </w:p>
        </w:tc>
        <w:tc>
          <w:tcPr>
            <w:tcW w:w="478" w:type="pct"/>
            <w:tcBorders>
              <w:top w:val="nil"/>
              <w:left w:val="nil"/>
              <w:right w:val="nil"/>
            </w:tcBorders>
            <w:shd w:val="clear" w:color="auto" w:fill="auto"/>
            <w:noWrap/>
            <w:vAlign w:val="center"/>
            <w:hideMark/>
          </w:tcPr>
          <w:p w14:paraId="55CAFC37" w14:textId="3A179218" w:rsidR="00181D7A" w:rsidRPr="00F54907" w:rsidRDefault="00181D7A" w:rsidP="006B32E3">
            <w:pPr>
              <w:spacing w:after="0" w:line="240" w:lineRule="auto"/>
              <w:jc w:val="right"/>
              <w:rPr>
                <w:rFonts w:ascii="Arial" w:hAnsi="Arial" w:cs="Arial"/>
                <w:sz w:val="16"/>
                <w:szCs w:val="16"/>
              </w:rPr>
            </w:pPr>
            <w:r w:rsidRPr="00F54907">
              <w:rPr>
                <w:rFonts w:ascii="Arial" w:hAnsi="Arial" w:cs="Arial"/>
                <w:sz w:val="16"/>
                <w:szCs w:val="16"/>
              </w:rPr>
              <w:t>769</w:t>
            </w:r>
          </w:p>
        </w:tc>
        <w:tc>
          <w:tcPr>
            <w:tcW w:w="311" w:type="pct"/>
            <w:tcBorders>
              <w:top w:val="nil"/>
              <w:left w:val="nil"/>
              <w:right w:val="nil"/>
            </w:tcBorders>
            <w:shd w:val="clear" w:color="auto" w:fill="auto"/>
            <w:noWrap/>
            <w:vAlign w:val="center"/>
            <w:hideMark/>
          </w:tcPr>
          <w:p w14:paraId="673AA637" w14:textId="3F94D1B2" w:rsidR="00181D7A" w:rsidRPr="00F54907" w:rsidRDefault="00181D7A" w:rsidP="00746D27">
            <w:pPr>
              <w:spacing w:after="0" w:line="240" w:lineRule="auto"/>
              <w:jc w:val="right"/>
              <w:rPr>
                <w:rFonts w:ascii="Arial" w:hAnsi="Arial" w:cs="Arial"/>
                <w:sz w:val="16"/>
                <w:szCs w:val="16"/>
              </w:rPr>
            </w:pPr>
            <w:r w:rsidRPr="00F54907">
              <w:rPr>
                <w:rFonts w:ascii="Arial" w:hAnsi="Arial" w:cs="Arial"/>
                <w:sz w:val="16"/>
                <w:szCs w:val="16"/>
              </w:rPr>
              <w:t>4.1</w:t>
            </w:r>
          </w:p>
        </w:tc>
        <w:tc>
          <w:tcPr>
            <w:tcW w:w="412" w:type="pct"/>
            <w:tcBorders>
              <w:top w:val="nil"/>
              <w:left w:val="nil"/>
              <w:right w:val="nil"/>
            </w:tcBorders>
            <w:shd w:val="clear" w:color="auto" w:fill="E1E8EB"/>
            <w:noWrap/>
            <w:vAlign w:val="center"/>
            <w:hideMark/>
          </w:tcPr>
          <w:p w14:paraId="50077CD2" w14:textId="4B3D6FAE"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365</w:t>
            </w:r>
          </w:p>
        </w:tc>
        <w:tc>
          <w:tcPr>
            <w:tcW w:w="322" w:type="pct"/>
            <w:tcBorders>
              <w:top w:val="nil"/>
              <w:left w:val="nil"/>
              <w:right w:val="nil"/>
            </w:tcBorders>
            <w:shd w:val="clear" w:color="auto" w:fill="E1E8EB"/>
            <w:noWrap/>
            <w:vAlign w:val="center"/>
            <w:hideMark/>
          </w:tcPr>
          <w:p w14:paraId="4A4C7342" w14:textId="0EF25422"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0.4</w:t>
            </w:r>
          </w:p>
        </w:tc>
      </w:tr>
      <w:tr w:rsidR="00181D7A" w:rsidRPr="007D0FE9" w14:paraId="444A8583" w14:textId="77777777" w:rsidTr="00405179">
        <w:trPr>
          <w:trHeight w:val="301"/>
        </w:trPr>
        <w:tc>
          <w:tcPr>
            <w:tcW w:w="1872" w:type="pct"/>
            <w:tcBorders>
              <w:top w:val="nil"/>
              <w:left w:val="nil"/>
              <w:bottom w:val="nil"/>
              <w:right w:val="nil"/>
            </w:tcBorders>
            <w:shd w:val="clear" w:color="auto" w:fill="auto"/>
            <w:noWrap/>
            <w:vAlign w:val="bottom"/>
            <w:hideMark/>
          </w:tcPr>
          <w:p w14:paraId="667876F3" w14:textId="7075502E" w:rsidR="00181D7A" w:rsidRPr="008F6203" w:rsidRDefault="003E7C79" w:rsidP="00746D27">
            <w:pPr>
              <w:spacing w:after="0" w:line="240" w:lineRule="auto"/>
              <w:ind w:firstLineChars="100" w:firstLine="160"/>
              <w:jc w:val="left"/>
              <w:rPr>
                <w:rFonts w:ascii="Arial" w:hAnsi="Arial" w:cs="Arial"/>
                <w:color w:val="auto"/>
                <w:sz w:val="16"/>
                <w:szCs w:val="16"/>
              </w:rPr>
            </w:pPr>
            <w:r>
              <w:rPr>
                <w:rFonts w:ascii="Arial" w:hAnsi="Arial" w:cs="Arial"/>
                <w:color w:val="auto"/>
                <w:sz w:val="16"/>
                <w:szCs w:val="16"/>
              </w:rPr>
              <w:t>–</w:t>
            </w:r>
            <w:r w:rsidR="00181D7A" w:rsidRPr="00944CAF">
              <w:rPr>
                <w:rFonts w:ascii="Arial" w:hAnsi="Arial" w:cs="Arial"/>
                <w:color w:val="auto"/>
                <w:sz w:val="16"/>
                <w:szCs w:val="16"/>
              </w:rPr>
              <w:t xml:space="preserve"> Single purchase EC</w:t>
            </w:r>
          </w:p>
        </w:tc>
        <w:tc>
          <w:tcPr>
            <w:tcW w:w="433" w:type="pct"/>
            <w:tcBorders>
              <w:top w:val="nil"/>
              <w:left w:val="nil"/>
              <w:bottom w:val="single" w:sz="4" w:space="0" w:color="auto"/>
              <w:right w:val="nil"/>
            </w:tcBorders>
            <w:shd w:val="clear" w:color="auto" w:fill="auto"/>
            <w:noWrap/>
            <w:vAlign w:val="center"/>
            <w:hideMark/>
          </w:tcPr>
          <w:p w14:paraId="3C5C8C91" w14:textId="019261BD"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538</w:t>
            </w:r>
          </w:p>
        </w:tc>
        <w:tc>
          <w:tcPr>
            <w:tcW w:w="369" w:type="pct"/>
            <w:tcBorders>
              <w:top w:val="nil"/>
              <w:left w:val="nil"/>
              <w:bottom w:val="single" w:sz="4" w:space="0" w:color="auto"/>
              <w:right w:val="nil"/>
            </w:tcBorders>
            <w:shd w:val="clear" w:color="auto" w:fill="auto"/>
            <w:noWrap/>
            <w:vAlign w:val="center"/>
            <w:hideMark/>
          </w:tcPr>
          <w:p w14:paraId="45897310" w14:textId="3D8D9A32"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0.9</w:t>
            </w:r>
          </w:p>
        </w:tc>
        <w:tc>
          <w:tcPr>
            <w:tcW w:w="414" w:type="pct"/>
            <w:tcBorders>
              <w:top w:val="nil"/>
              <w:left w:val="nil"/>
              <w:bottom w:val="single" w:sz="4" w:space="0" w:color="auto"/>
              <w:right w:val="nil"/>
            </w:tcBorders>
            <w:shd w:val="clear" w:color="auto" w:fill="auto"/>
            <w:noWrap/>
            <w:vAlign w:val="center"/>
            <w:hideMark/>
          </w:tcPr>
          <w:p w14:paraId="4510053A" w14:textId="3F4C8D66"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317</w:t>
            </w:r>
          </w:p>
        </w:tc>
        <w:tc>
          <w:tcPr>
            <w:tcW w:w="388" w:type="pct"/>
            <w:tcBorders>
              <w:top w:val="nil"/>
              <w:left w:val="nil"/>
              <w:bottom w:val="single" w:sz="4" w:space="0" w:color="auto"/>
              <w:right w:val="nil"/>
            </w:tcBorders>
            <w:shd w:val="clear" w:color="auto" w:fill="auto"/>
            <w:noWrap/>
            <w:vAlign w:val="center"/>
            <w:hideMark/>
          </w:tcPr>
          <w:p w14:paraId="12A568CD" w14:textId="3D46A42E"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0.4</w:t>
            </w:r>
          </w:p>
        </w:tc>
        <w:tc>
          <w:tcPr>
            <w:tcW w:w="478" w:type="pct"/>
            <w:tcBorders>
              <w:top w:val="nil"/>
              <w:left w:val="nil"/>
              <w:bottom w:val="single" w:sz="4" w:space="0" w:color="auto"/>
              <w:right w:val="nil"/>
            </w:tcBorders>
            <w:shd w:val="clear" w:color="auto" w:fill="auto"/>
            <w:noWrap/>
            <w:vAlign w:val="center"/>
            <w:hideMark/>
          </w:tcPr>
          <w:p w14:paraId="6EB23512" w14:textId="5A154C41" w:rsidR="00181D7A" w:rsidRPr="00F54907" w:rsidRDefault="00181D7A" w:rsidP="006B32E3">
            <w:pPr>
              <w:spacing w:after="0" w:line="240" w:lineRule="auto"/>
              <w:jc w:val="right"/>
              <w:rPr>
                <w:rFonts w:ascii="Arial" w:hAnsi="Arial" w:cs="Arial"/>
                <w:sz w:val="16"/>
                <w:szCs w:val="16"/>
              </w:rPr>
            </w:pPr>
            <w:r w:rsidRPr="00F54907">
              <w:rPr>
                <w:rFonts w:ascii="Arial" w:hAnsi="Arial" w:cs="Arial"/>
                <w:sz w:val="16"/>
                <w:szCs w:val="16"/>
              </w:rPr>
              <w:t>312</w:t>
            </w:r>
          </w:p>
        </w:tc>
        <w:tc>
          <w:tcPr>
            <w:tcW w:w="311" w:type="pct"/>
            <w:tcBorders>
              <w:top w:val="nil"/>
              <w:left w:val="nil"/>
              <w:bottom w:val="single" w:sz="4" w:space="0" w:color="auto"/>
              <w:right w:val="nil"/>
            </w:tcBorders>
            <w:shd w:val="clear" w:color="auto" w:fill="auto"/>
            <w:noWrap/>
            <w:vAlign w:val="center"/>
            <w:hideMark/>
          </w:tcPr>
          <w:p w14:paraId="45AAE102" w14:textId="7E1B47C1" w:rsidR="00181D7A" w:rsidRPr="00F54907" w:rsidRDefault="00181D7A" w:rsidP="00746D27">
            <w:pPr>
              <w:spacing w:after="0" w:line="240" w:lineRule="auto"/>
              <w:jc w:val="right"/>
              <w:rPr>
                <w:rFonts w:ascii="Arial" w:hAnsi="Arial" w:cs="Arial"/>
                <w:sz w:val="16"/>
                <w:szCs w:val="16"/>
              </w:rPr>
            </w:pPr>
            <w:r w:rsidRPr="00F54907">
              <w:rPr>
                <w:rFonts w:ascii="Arial" w:hAnsi="Arial" w:cs="Arial"/>
                <w:sz w:val="16"/>
                <w:szCs w:val="16"/>
              </w:rPr>
              <w:t>0.5</w:t>
            </w:r>
          </w:p>
        </w:tc>
        <w:tc>
          <w:tcPr>
            <w:tcW w:w="412" w:type="pct"/>
            <w:tcBorders>
              <w:top w:val="nil"/>
              <w:left w:val="nil"/>
              <w:bottom w:val="single" w:sz="4" w:space="0" w:color="auto"/>
              <w:right w:val="nil"/>
            </w:tcBorders>
            <w:shd w:val="clear" w:color="auto" w:fill="E1E8EB"/>
            <w:noWrap/>
            <w:vAlign w:val="center"/>
            <w:hideMark/>
          </w:tcPr>
          <w:p w14:paraId="4786F21A" w14:textId="779CB7C3"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296</w:t>
            </w:r>
          </w:p>
        </w:tc>
        <w:tc>
          <w:tcPr>
            <w:tcW w:w="322" w:type="pct"/>
            <w:tcBorders>
              <w:top w:val="nil"/>
              <w:left w:val="nil"/>
              <w:bottom w:val="single" w:sz="4" w:space="0" w:color="auto"/>
              <w:right w:val="nil"/>
            </w:tcBorders>
            <w:shd w:val="clear" w:color="auto" w:fill="E1E8EB"/>
            <w:noWrap/>
            <w:vAlign w:val="center"/>
            <w:hideMark/>
          </w:tcPr>
          <w:p w14:paraId="1F02AA43" w14:textId="5242AF65"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0.4</w:t>
            </w:r>
          </w:p>
        </w:tc>
      </w:tr>
      <w:tr w:rsidR="00181D7A" w:rsidRPr="007D0FE9" w14:paraId="0D37A958" w14:textId="77777777" w:rsidTr="00405179">
        <w:trPr>
          <w:trHeight w:val="301"/>
        </w:trPr>
        <w:tc>
          <w:tcPr>
            <w:tcW w:w="1872" w:type="pct"/>
            <w:tcBorders>
              <w:top w:val="nil"/>
              <w:left w:val="nil"/>
              <w:bottom w:val="nil"/>
              <w:right w:val="nil"/>
            </w:tcBorders>
            <w:shd w:val="clear" w:color="auto" w:fill="auto"/>
            <w:noWrap/>
            <w:vAlign w:val="bottom"/>
            <w:hideMark/>
          </w:tcPr>
          <w:p w14:paraId="79F0BCC4" w14:textId="1EA5A8B0" w:rsidR="00181D7A" w:rsidRPr="008F6203" w:rsidRDefault="00181D7A" w:rsidP="00746D27">
            <w:pPr>
              <w:spacing w:after="0" w:line="240" w:lineRule="auto"/>
              <w:jc w:val="left"/>
              <w:rPr>
                <w:rFonts w:ascii="Arial" w:hAnsi="Arial" w:cs="Arial"/>
                <w:i/>
                <w:iCs/>
                <w:color w:val="auto"/>
                <w:sz w:val="16"/>
                <w:szCs w:val="16"/>
              </w:rPr>
            </w:pPr>
            <w:r w:rsidRPr="00944CAF">
              <w:rPr>
                <w:rFonts w:ascii="Arial" w:hAnsi="Arial" w:cs="Arial"/>
                <w:i/>
                <w:iCs/>
                <w:color w:val="auto"/>
                <w:sz w:val="16"/>
                <w:szCs w:val="16"/>
              </w:rPr>
              <w:t>Sub</w:t>
            </w:r>
            <w:r w:rsidR="003E7C79">
              <w:rPr>
                <w:rFonts w:ascii="Arial" w:hAnsi="Arial" w:cs="Arial"/>
                <w:i/>
                <w:iCs/>
                <w:color w:val="auto"/>
                <w:sz w:val="16"/>
                <w:szCs w:val="16"/>
              </w:rPr>
              <w:t>–</w:t>
            </w:r>
            <w:r w:rsidRPr="008F6203">
              <w:rPr>
                <w:rFonts w:ascii="Arial" w:hAnsi="Arial" w:cs="Arial"/>
                <w:i/>
                <w:iCs/>
                <w:color w:val="auto"/>
                <w:sz w:val="16"/>
                <w:szCs w:val="16"/>
              </w:rPr>
              <w:t xml:space="preserve">total </w:t>
            </w:r>
            <w:r w:rsidR="00065800">
              <w:rPr>
                <w:rFonts w:ascii="Arial" w:hAnsi="Arial" w:cs="Arial"/>
                <w:i/>
                <w:iCs/>
                <w:color w:val="auto"/>
                <w:sz w:val="16"/>
                <w:szCs w:val="16"/>
              </w:rPr>
              <w:t>‘</w:t>
            </w:r>
            <w:r w:rsidRPr="008F6203">
              <w:rPr>
                <w:rFonts w:ascii="Arial" w:hAnsi="Arial" w:cs="Arial"/>
                <w:i/>
                <w:iCs/>
                <w:color w:val="auto"/>
                <w:sz w:val="16"/>
                <w:szCs w:val="16"/>
              </w:rPr>
              <w:t>Existing</w:t>
            </w:r>
            <w:r w:rsidR="00065800">
              <w:rPr>
                <w:rFonts w:ascii="Arial" w:hAnsi="Arial" w:cs="Arial"/>
                <w:i/>
                <w:iCs/>
                <w:color w:val="auto"/>
                <w:sz w:val="16"/>
                <w:szCs w:val="16"/>
              </w:rPr>
              <w:t>’</w:t>
            </w:r>
          </w:p>
        </w:tc>
        <w:tc>
          <w:tcPr>
            <w:tcW w:w="433" w:type="pct"/>
            <w:tcBorders>
              <w:top w:val="single" w:sz="4" w:space="0" w:color="auto"/>
              <w:left w:val="nil"/>
              <w:bottom w:val="nil"/>
              <w:right w:val="nil"/>
            </w:tcBorders>
            <w:shd w:val="clear" w:color="auto" w:fill="auto"/>
            <w:noWrap/>
            <w:vAlign w:val="center"/>
            <w:hideMark/>
          </w:tcPr>
          <w:p w14:paraId="7F67D22A" w14:textId="014A432A"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1,613</w:t>
            </w:r>
          </w:p>
        </w:tc>
        <w:tc>
          <w:tcPr>
            <w:tcW w:w="369" w:type="pct"/>
            <w:tcBorders>
              <w:top w:val="single" w:sz="4" w:space="0" w:color="auto"/>
              <w:left w:val="nil"/>
              <w:bottom w:val="nil"/>
              <w:right w:val="nil"/>
            </w:tcBorders>
            <w:shd w:val="clear" w:color="auto" w:fill="auto"/>
            <w:noWrap/>
            <w:vAlign w:val="center"/>
            <w:hideMark/>
          </w:tcPr>
          <w:p w14:paraId="4CF68F3E" w14:textId="18FF5523"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2.3</w:t>
            </w:r>
          </w:p>
        </w:tc>
        <w:tc>
          <w:tcPr>
            <w:tcW w:w="414" w:type="pct"/>
            <w:tcBorders>
              <w:top w:val="single" w:sz="4" w:space="0" w:color="auto"/>
              <w:left w:val="nil"/>
              <w:bottom w:val="nil"/>
              <w:right w:val="nil"/>
            </w:tcBorders>
            <w:shd w:val="clear" w:color="auto" w:fill="auto"/>
            <w:noWrap/>
            <w:vAlign w:val="center"/>
            <w:hideMark/>
          </w:tcPr>
          <w:p w14:paraId="29E20C46" w14:textId="3EA2540D"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1,312</w:t>
            </w:r>
          </w:p>
        </w:tc>
        <w:tc>
          <w:tcPr>
            <w:tcW w:w="388" w:type="pct"/>
            <w:tcBorders>
              <w:top w:val="single" w:sz="4" w:space="0" w:color="auto"/>
              <w:left w:val="nil"/>
              <w:bottom w:val="nil"/>
              <w:right w:val="nil"/>
            </w:tcBorders>
            <w:shd w:val="clear" w:color="auto" w:fill="auto"/>
            <w:noWrap/>
            <w:vAlign w:val="center"/>
            <w:hideMark/>
          </w:tcPr>
          <w:p w14:paraId="5FFDAF98" w14:textId="29AB65DC"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1.7</w:t>
            </w:r>
          </w:p>
        </w:tc>
        <w:tc>
          <w:tcPr>
            <w:tcW w:w="478" w:type="pct"/>
            <w:tcBorders>
              <w:top w:val="single" w:sz="4" w:space="0" w:color="auto"/>
              <w:left w:val="nil"/>
              <w:bottom w:val="nil"/>
              <w:right w:val="nil"/>
            </w:tcBorders>
            <w:shd w:val="clear" w:color="auto" w:fill="auto"/>
            <w:noWrap/>
            <w:vAlign w:val="center"/>
            <w:hideMark/>
          </w:tcPr>
          <w:p w14:paraId="22465614" w14:textId="63F9B472" w:rsidR="00181D7A" w:rsidRPr="00F54907" w:rsidRDefault="00181D7A" w:rsidP="006B32E3">
            <w:pPr>
              <w:spacing w:after="0" w:line="240" w:lineRule="auto"/>
              <w:jc w:val="right"/>
              <w:rPr>
                <w:rFonts w:ascii="Arial" w:hAnsi="Arial" w:cs="Arial"/>
                <w:i/>
                <w:sz w:val="16"/>
                <w:szCs w:val="16"/>
              </w:rPr>
            </w:pPr>
            <w:r w:rsidRPr="00F54907">
              <w:rPr>
                <w:rFonts w:ascii="Arial" w:hAnsi="Arial" w:cs="Arial"/>
                <w:i/>
                <w:sz w:val="16"/>
                <w:szCs w:val="16"/>
              </w:rPr>
              <w:t>1,101</w:t>
            </w:r>
          </w:p>
        </w:tc>
        <w:tc>
          <w:tcPr>
            <w:tcW w:w="311" w:type="pct"/>
            <w:tcBorders>
              <w:top w:val="single" w:sz="4" w:space="0" w:color="auto"/>
              <w:left w:val="nil"/>
              <w:right w:val="nil"/>
            </w:tcBorders>
            <w:shd w:val="clear" w:color="auto" w:fill="auto"/>
            <w:noWrap/>
            <w:vAlign w:val="center"/>
            <w:hideMark/>
          </w:tcPr>
          <w:p w14:paraId="7F60FA67" w14:textId="7D8C63EC" w:rsidR="00181D7A" w:rsidRPr="00F54907" w:rsidRDefault="00181D7A" w:rsidP="00746D27">
            <w:pPr>
              <w:spacing w:after="0" w:line="240" w:lineRule="auto"/>
              <w:jc w:val="right"/>
              <w:rPr>
                <w:rFonts w:ascii="Arial" w:hAnsi="Arial" w:cs="Arial"/>
                <w:i/>
                <w:sz w:val="16"/>
                <w:szCs w:val="16"/>
              </w:rPr>
            </w:pPr>
            <w:r w:rsidRPr="00F54907">
              <w:rPr>
                <w:rFonts w:ascii="Arial" w:hAnsi="Arial" w:cs="Arial"/>
                <w:i/>
                <w:sz w:val="16"/>
                <w:szCs w:val="16"/>
              </w:rPr>
              <w:t>4.5</w:t>
            </w:r>
          </w:p>
        </w:tc>
        <w:tc>
          <w:tcPr>
            <w:tcW w:w="412" w:type="pct"/>
            <w:tcBorders>
              <w:top w:val="single" w:sz="4" w:space="0" w:color="auto"/>
              <w:left w:val="nil"/>
              <w:right w:val="nil"/>
            </w:tcBorders>
            <w:shd w:val="clear" w:color="auto" w:fill="E1E8EB"/>
            <w:noWrap/>
            <w:vAlign w:val="center"/>
            <w:hideMark/>
          </w:tcPr>
          <w:p w14:paraId="46734A03" w14:textId="0DE2497A"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661</w:t>
            </w:r>
          </w:p>
        </w:tc>
        <w:tc>
          <w:tcPr>
            <w:tcW w:w="322" w:type="pct"/>
            <w:tcBorders>
              <w:top w:val="single" w:sz="4" w:space="0" w:color="auto"/>
              <w:left w:val="nil"/>
              <w:right w:val="nil"/>
            </w:tcBorders>
            <w:shd w:val="clear" w:color="auto" w:fill="E1E8EB"/>
            <w:noWrap/>
            <w:vAlign w:val="center"/>
            <w:hideMark/>
          </w:tcPr>
          <w:p w14:paraId="4FEB3406" w14:textId="3D2980CC"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0.8</w:t>
            </w:r>
          </w:p>
        </w:tc>
      </w:tr>
      <w:tr w:rsidR="00181D7A" w:rsidRPr="007D0FE9" w14:paraId="42742DDF" w14:textId="77777777" w:rsidTr="00405179">
        <w:trPr>
          <w:trHeight w:val="301"/>
        </w:trPr>
        <w:tc>
          <w:tcPr>
            <w:tcW w:w="1872" w:type="pct"/>
            <w:tcBorders>
              <w:top w:val="nil"/>
              <w:left w:val="nil"/>
              <w:bottom w:val="nil"/>
              <w:right w:val="nil"/>
            </w:tcBorders>
            <w:shd w:val="clear" w:color="auto" w:fill="auto"/>
            <w:noWrap/>
            <w:vAlign w:val="bottom"/>
            <w:hideMark/>
          </w:tcPr>
          <w:p w14:paraId="2B683C4F" w14:textId="3F086F11" w:rsidR="00181D7A" w:rsidRPr="008F6203" w:rsidRDefault="003E7C79" w:rsidP="00746D27">
            <w:pPr>
              <w:spacing w:after="0" w:line="240" w:lineRule="auto"/>
              <w:jc w:val="left"/>
              <w:rPr>
                <w:rFonts w:ascii="Arial" w:hAnsi="Arial" w:cs="Arial"/>
                <w:color w:val="auto"/>
                <w:sz w:val="16"/>
                <w:szCs w:val="16"/>
              </w:rPr>
            </w:pPr>
            <w:r>
              <w:rPr>
                <w:rFonts w:ascii="Arial" w:hAnsi="Arial" w:cs="Arial"/>
                <w:color w:val="auto"/>
                <w:sz w:val="16"/>
                <w:szCs w:val="16"/>
              </w:rPr>
              <w:t>–</w:t>
            </w:r>
            <w:r w:rsidR="00181D7A" w:rsidRPr="00944CAF">
              <w:rPr>
                <w:rFonts w:ascii="Arial" w:hAnsi="Arial" w:cs="Arial"/>
                <w:color w:val="auto"/>
                <w:sz w:val="16"/>
                <w:szCs w:val="16"/>
              </w:rPr>
              <w:t xml:space="preserve"> E</w:t>
            </w:r>
            <w:r w:rsidR="00181D7A" w:rsidRPr="008F6203">
              <w:rPr>
                <w:rFonts w:ascii="Arial" w:hAnsi="Arial" w:cs="Arial"/>
                <w:color w:val="auto"/>
                <w:sz w:val="16"/>
                <w:szCs w:val="16"/>
              </w:rPr>
              <w:t>C</w:t>
            </w:r>
          </w:p>
        </w:tc>
        <w:tc>
          <w:tcPr>
            <w:tcW w:w="433" w:type="pct"/>
            <w:tcBorders>
              <w:top w:val="nil"/>
              <w:left w:val="nil"/>
              <w:bottom w:val="single" w:sz="4" w:space="0" w:color="auto"/>
              <w:right w:val="nil"/>
            </w:tcBorders>
            <w:shd w:val="clear" w:color="auto" w:fill="auto"/>
            <w:noWrap/>
            <w:vAlign w:val="center"/>
            <w:hideMark/>
          </w:tcPr>
          <w:p w14:paraId="66B09618" w14:textId="7C3EE3C7"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2</w:t>
            </w:r>
          </w:p>
        </w:tc>
        <w:tc>
          <w:tcPr>
            <w:tcW w:w="369" w:type="pct"/>
            <w:tcBorders>
              <w:top w:val="nil"/>
              <w:left w:val="nil"/>
              <w:bottom w:val="single" w:sz="4" w:space="0" w:color="auto"/>
              <w:right w:val="nil"/>
            </w:tcBorders>
            <w:shd w:val="clear" w:color="auto" w:fill="auto"/>
            <w:noWrap/>
            <w:vAlign w:val="center"/>
            <w:hideMark/>
          </w:tcPr>
          <w:p w14:paraId="1F7AF4FB" w14:textId="13B5490C"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w:t>
            </w:r>
          </w:p>
        </w:tc>
        <w:tc>
          <w:tcPr>
            <w:tcW w:w="414" w:type="pct"/>
            <w:tcBorders>
              <w:top w:val="nil"/>
              <w:left w:val="nil"/>
              <w:bottom w:val="single" w:sz="4" w:space="0" w:color="auto"/>
              <w:right w:val="nil"/>
            </w:tcBorders>
            <w:shd w:val="clear" w:color="auto" w:fill="auto"/>
            <w:noWrap/>
            <w:vAlign w:val="center"/>
            <w:hideMark/>
          </w:tcPr>
          <w:p w14:paraId="4B1507FE" w14:textId="2957BE28"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w:t>
            </w:r>
          </w:p>
        </w:tc>
        <w:tc>
          <w:tcPr>
            <w:tcW w:w="388" w:type="pct"/>
            <w:tcBorders>
              <w:top w:val="nil"/>
              <w:left w:val="nil"/>
              <w:bottom w:val="single" w:sz="4" w:space="0" w:color="auto"/>
              <w:right w:val="nil"/>
            </w:tcBorders>
            <w:shd w:val="clear" w:color="auto" w:fill="auto"/>
            <w:noWrap/>
            <w:vAlign w:val="center"/>
            <w:hideMark/>
          </w:tcPr>
          <w:p w14:paraId="00E067B4" w14:textId="618B691D"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0.1</w:t>
            </w:r>
          </w:p>
        </w:tc>
        <w:tc>
          <w:tcPr>
            <w:tcW w:w="478" w:type="pct"/>
            <w:tcBorders>
              <w:top w:val="nil"/>
              <w:left w:val="nil"/>
              <w:bottom w:val="single" w:sz="4" w:space="0" w:color="auto"/>
              <w:right w:val="nil"/>
            </w:tcBorders>
            <w:shd w:val="clear" w:color="auto" w:fill="auto"/>
            <w:noWrap/>
            <w:vAlign w:val="center"/>
            <w:hideMark/>
          </w:tcPr>
          <w:p w14:paraId="3BF7225B" w14:textId="3C4C6BC1" w:rsidR="00181D7A" w:rsidRPr="00F54907" w:rsidRDefault="00181D7A" w:rsidP="006B32E3">
            <w:pPr>
              <w:spacing w:after="0" w:line="240" w:lineRule="auto"/>
              <w:jc w:val="right"/>
              <w:rPr>
                <w:rFonts w:ascii="Arial" w:hAnsi="Arial" w:cs="Arial"/>
                <w:sz w:val="16"/>
                <w:szCs w:val="16"/>
              </w:rPr>
            </w:pPr>
            <w:r w:rsidRPr="00F54907">
              <w:rPr>
                <w:rFonts w:ascii="Arial" w:hAnsi="Arial" w:cs="Arial"/>
                <w:sz w:val="16"/>
                <w:szCs w:val="16"/>
              </w:rPr>
              <w:t>4</w:t>
            </w:r>
          </w:p>
        </w:tc>
        <w:tc>
          <w:tcPr>
            <w:tcW w:w="311" w:type="pct"/>
            <w:tcBorders>
              <w:top w:val="nil"/>
              <w:left w:val="nil"/>
              <w:bottom w:val="single" w:sz="4" w:space="0" w:color="auto"/>
              <w:right w:val="nil"/>
            </w:tcBorders>
            <w:shd w:val="clear" w:color="auto" w:fill="auto"/>
            <w:noWrap/>
            <w:vAlign w:val="center"/>
            <w:hideMark/>
          </w:tcPr>
          <w:p w14:paraId="12EDDF38" w14:textId="5ACEAC5E" w:rsidR="00181D7A" w:rsidRPr="00F54907" w:rsidRDefault="00181D7A" w:rsidP="00746D27">
            <w:pPr>
              <w:spacing w:after="0" w:line="240" w:lineRule="auto"/>
              <w:jc w:val="right"/>
              <w:rPr>
                <w:rFonts w:ascii="Arial" w:hAnsi="Arial" w:cs="Arial"/>
                <w:sz w:val="16"/>
                <w:szCs w:val="16"/>
              </w:rPr>
            </w:pPr>
            <w:r w:rsidRPr="00F54907">
              <w:rPr>
                <w:rFonts w:ascii="Arial" w:hAnsi="Arial" w:cs="Arial"/>
                <w:sz w:val="16"/>
                <w:szCs w:val="16"/>
              </w:rPr>
              <w:t>0.1</w:t>
            </w:r>
          </w:p>
        </w:tc>
        <w:tc>
          <w:tcPr>
            <w:tcW w:w="412" w:type="pct"/>
            <w:tcBorders>
              <w:top w:val="nil"/>
              <w:left w:val="nil"/>
              <w:bottom w:val="single" w:sz="4" w:space="0" w:color="auto"/>
              <w:right w:val="nil"/>
            </w:tcBorders>
            <w:shd w:val="clear" w:color="auto" w:fill="E1E8EB"/>
            <w:noWrap/>
            <w:vAlign w:val="center"/>
            <w:hideMark/>
          </w:tcPr>
          <w:p w14:paraId="4A992456" w14:textId="45B78982"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5</w:t>
            </w:r>
          </w:p>
        </w:tc>
        <w:tc>
          <w:tcPr>
            <w:tcW w:w="322" w:type="pct"/>
            <w:tcBorders>
              <w:top w:val="nil"/>
              <w:left w:val="nil"/>
              <w:bottom w:val="single" w:sz="4" w:space="0" w:color="auto"/>
              <w:right w:val="nil"/>
            </w:tcBorders>
            <w:shd w:val="clear" w:color="auto" w:fill="E1E8EB"/>
            <w:noWrap/>
            <w:vAlign w:val="center"/>
            <w:hideMark/>
          </w:tcPr>
          <w:p w14:paraId="7013CB89" w14:textId="575C218D"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r>
      <w:tr w:rsidR="00181D7A" w:rsidRPr="007D0FE9" w14:paraId="3108A2A7" w14:textId="77777777" w:rsidTr="00405179">
        <w:trPr>
          <w:trHeight w:val="301"/>
        </w:trPr>
        <w:tc>
          <w:tcPr>
            <w:tcW w:w="1872" w:type="pct"/>
            <w:tcBorders>
              <w:top w:val="nil"/>
              <w:left w:val="nil"/>
              <w:bottom w:val="nil"/>
              <w:right w:val="nil"/>
            </w:tcBorders>
            <w:shd w:val="clear" w:color="auto" w:fill="auto"/>
            <w:noWrap/>
            <w:vAlign w:val="bottom"/>
            <w:hideMark/>
          </w:tcPr>
          <w:p w14:paraId="7E109B73" w14:textId="34CFDF4A" w:rsidR="00181D7A" w:rsidRPr="008F6203" w:rsidRDefault="00181D7A" w:rsidP="00746D27">
            <w:pPr>
              <w:spacing w:after="0" w:line="240" w:lineRule="auto"/>
              <w:jc w:val="left"/>
              <w:rPr>
                <w:rFonts w:ascii="Arial" w:hAnsi="Arial" w:cs="Arial"/>
                <w:i/>
                <w:iCs/>
                <w:color w:val="auto"/>
                <w:sz w:val="16"/>
                <w:szCs w:val="16"/>
              </w:rPr>
            </w:pPr>
            <w:r w:rsidRPr="00944CAF">
              <w:rPr>
                <w:rFonts w:ascii="Arial" w:hAnsi="Arial" w:cs="Arial"/>
                <w:i/>
                <w:iCs/>
                <w:color w:val="auto"/>
                <w:sz w:val="16"/>
                <w:szCs w:val="16"/>
              </w:rPr>
              <w:t>Sub</w:t>
            </w:r>
            <w:r w:rsidR="003E7C79">
              <w:rPr>
                <w:rFonts w:ascii="Arial" w:hAnsi="Arial" w:cs="Arial"/>
                <w:i/>
                <w:iCs/>
                <w:color w:val="auto"/>
                <w:sz w:val="16"/>
                <w:szCs w:val="16"/>
              </w:rPr>
              <w:t>–</w:t>
            </w:r>
            <w:r w:rsidRPr="008F6203">
              <w:rPr>
                <w:rFonts w:ascii="Arial" w:hAnsi="Arial" w:cs="Arial"/>
                <w:i/>
                <w:iCs/>
                <w:color w:val="auto"/>
                <w:sz w:val="16"/>
                <w:szCs w:val="16"/>
              </w:rPr>
              <w:t xml:space="preserve">total </w:t>
            </w:r>
            <w:r w:rsidR="00065800">
              <w:rPr>
                <w:rFonts w:ascii="Arial" w:hAnsi="Arial" w:cs="Arial"/>
                <w:i/>
                <w:iCs/>
                <w:color w:val="auto"/>
                <w:sz w:val="16"/>
                <w:szCs w:val="16"/>
              </w:rPr>
              <w:t>‘</w:t>
            </w:r>
            <w:r w:rsidRPr="008F6203">
              <w:rPr>
                <w:rFonts w:ascii="Arial" w:hAnsi="Arial" w:cs="Arial"/>
                <w:i/>
                <w:iCs/>
                <w:color w:val="auto"/>
                <w:sz w:val="16"/>
                <w:szCs w:val="16"/>
              </w:rPr>
              <w:t>Developed</w:t>
            </w:r>
            <w:r w:rsidR="00065800">
              <w:rPr>
                <w:rFonts w:ascii="Arial" w:hAnsi="Arial" w:cs="Arial"/>
                <w:i/>
                <w:iCs/>
                <w:color w:val="auto"/>
                <w:sz w:val="16"/>
                <w:szCs w:val="16"/>
              </w:rPr>
              <w:t>’</w:t>
            </w:r>
          </w:p>
        </w:tc>
        <w:tc>
          <w:tcPr>
            <w:tcW w:w="433" w:type="pct"/>
            <w:tcBorders>
              <w:top w:val="single" w:sz="4" w:space="0" w:color="auto"/>
              <w:left w:val="nil"/>
              <w:bottom w:val="single" w:sz="4" w:space="0" w:color="auto"/>
              <w:right w:val="nil"/>
            </w:tcBorders>
            <w:shd w:val="clear" w:color="auto" w:fill="auto"/>
            <w:noWrap/>
            <w:vAlign w:val="center"/>
            <w:hideMark/>
          </w:tcPr>
          <w:p w14:paraId="544332B0" w14:textId="701A6F6E"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1,615</w:t>
            </w:r>
          </w:p>
        </w:tc>
        <w:tc>
          <w:tcPr>
            <w:tcW w:w="369" w:type="pct"/>
            <w:tcBorders>
              <w:top w:val="single" w:sz="4" w:space="0" w:color="auto"/>
              <w:left w:val="nil"/>
              <w:bottom w:val="single" w:sz="4" w:space="0" w:color="auto"/>
              <w:right w:val="nil"/>
            </w:tcBorders>
            <w:shd w:val="clear" w:color="auto" w:fill="auto"/>
            <w:noWrap/>
            <w:vAlign w:val="center"/>
            <w:hideMark/>
          </w:tcPr>
          <w:p w14:paraId="30FC5A1D" w14:textId="4131BAA2"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2.4</w:t>
            </w:r>
          </w:p>
        </w:tc>
        <w:tc>
          <w:tcPr>
            <w:tcW w:w="414" w:type="pct"/>
            <w:tcBorders>
              <w:top w:val="single" w:sz="4" w:space="0" w:color="auto"/>
              <w:left w:val="nil"/>
              <w:bottom w:val="single" w:sz="4" w:space="0" w:color="auto"/>
              <w:right w:val="nil"/>
            </w:tcBorders>
            <w:shd w:val="clear" w:color="auto" w:fill="auto"/>
            <w:noWrap/>
            <w:vAlign w:val="center"/>
            <w:hideMark/>
          </w:tcPr>
          <w:p w14:paraId="5C19CBA5" w14:textId="41AB7585"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1,313</w:t>
            </w:r>
          </w:p>
        </w:tc>
        <w:tc>
          <w:tcPr>
            <w:tcW w:w="388" w:type="pct"/>
            <w:tcBorders>
              <w:top w:val="single" w:sz="4" w:space="0" w:color="auto"/>
              <w:left w:val="nil"/>
              <w:bottom w:val="single" w:sz="4" w:space="0" w:color="auto"/>
              <w:right w:val="nil"/>
            </w:tcBorders>
            <w:shd w:val="clear" w:color="auto" w:fill="auto"/>
            <w:noWrap/>
            <w:vAlign w:val="center"/>
            <w:hideMark/>
          </w:tcPr>
          <w:p w14:paraId="64A67339" w14:textId="26DDC0AE"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1.8</w:t>
            </w:r>
          </w:p>
        </w:tc>
        <w:tc>
          <w:tcPr>
            <w:tcW w:w="478" w:type="pct"/>
            <w:tcBorders>
              <w:top w:val="single" w:sz="4" w:space="0" w:color="auto"/>
              <w:left w:val="nil"/>
              <w:bottom w:val="single" w:sz="4" w:space="0" w:color="auto"/>
              <w:right w:val="nil"/>
            </w:tcBorders>
            <w:shd w:val="clear" w:color="auto" w:fill="auto"/>
            <w:noWrap/>
            <w:vAlign w:val="center"/>
            <w:hideMark/>
          </w:tcPr>
          <w:p w14:paraId="609F3C54" w14:textId="354C7CC9" w:rsidR="00181D7A" w:rsidRPr="00F54907" w:rsidRDefault="00181D7A" w:rsidP="006B32E3">
            <w:pPr>
              <w:spacing w:after="0" w:line="240" w:lineRule="auto"/>
              <w:jc w:val="right"/>
              <w:rPr>
                <w:rFonts w:ascii="Arial" w:hAnsi="Arial" w:cs="Arial"/>
                <w:i/>
                <w:sz w:val="16"/>
                <w:szCs w:val="16"/>
              </w:rPr>
            </w:pPr>
            <w:r w:rsidRPr="00F54907">
              <w:rPr>
                <w:rFonts w:ascii="Arial" w:hAnsi="Arial" w:cs="Arial"/>
                <w:i/>
                <w:sz w:val="16"/>
                <w:szCs w:val="16"/>
              </w:rPr>
              <w:t>1,</w:t>
            </w:r>
            <w:r w:rsidRPr="00F54907">
              <w:rPr>
                <w:rFonts w:ascii="Arial" w:hAnsi="Arial" w:cs="Arial"/>
                <w:i/>
                <w:iCs/>
                <w:sz w:val="16"/>
                <w:szCs w:val="16"/>
              </w:rPr>
              <w:t>104</w:t>
            </w:r>
          </w:p>
        </w:tc>
        <w:tc>
          <w:tcPr>
            <w:tcW w:w="311" w:type="pct"/>
            <w:tcBorders>
              <w:top w:val="single" w:sz="4" w:space="0" w:color="auto"/>
              <w:left w:val="nil"/>
              <w:bottom w:val="single" w:sz="4" w:space="0" w:color="auto"/>
              <w:right w:val="nil"/>
            </w:tcBorders>
            <w:shd w:val="clear" w:color="auto" w:fill="auto"/>
            <w:noWrap/>
            <w:vAlign w:val="center"/>
            <w:hideMark/>
          </w:tcPr>
          <w:p w14:paraId="57DA4E90" w14:textId="39BE2316" w:rsidR="00181D7A" w:rsidRPr="00F54907" w:rsidRDefault="00181D7A" w:rsidP="00746D27">
            <w:pPr>
              <w:spacing w:after="0" w:line="240" w:lineRule="auto"/>
              <w:jc w:val="right"/>
              <w:rPr>
                <w:rFonts w:ascii="Arial" w:hAnsi="Arial" w:cs="Arial"/>
                <w:i/>
                <w:sz w:val="16"/>
                <w:szCs w:val="16"/>
              </w:rPr>
            </w:pPr>
            <w:r w:rsidRPr="00F54907">
              <w:rPr>
                <w:rFonts w:ascii="Arial" w:hAnsi="Arial" w:cs="Arial"/>
                <w:i/>
                <w:sz w:val="16"/>
                <w:szCs w:val="16"/>
              </w:rPr>
              <w:t>4.6</w:t>
            </w:r>
          </w:p>
        </w:tc>
        <w:tc>
          <w:tcPr>
            <w:tcW w:w="412" w:type="pct"/>
            <w:tcBorders>
              <w:top w:val="single" w:sz="4" w:space="0" w:color="auto"/>
              <w:left w:val="nil"/>
              <w:bottom w:val="single" w:sz="4" w:space="0" w:color="auto"/>
              <w:right w:val="nil"/>
            </w:tcBorders>
            <w:shd w:val="clear" w:color="auto" w:fill="E1E8EB"/>
            <w:noWrap/>
            <w:vAlign w:val="center"/>
            <w:hideMark/>
          </w:tcPr>
          <w:p w14:paraId="6D04C14D" w14:textId="4E54D1E4"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666</w:t>
            </w:r>
          </w:p>
        </w:tc>
        <w:tc>
          <w:tcPr>
            <w:tcW w:w="322" w:type="pct"/>
            <w:tcBorders>
              <w:top w:val="single" w:sz="4" w:space="0" w:color="auto"/>
              <w:left w:val="nil"/>
              <w:bottom w:val="single" w:sz="4" w:space="0" w:color="auto"/>
              <w:right w:val="nil"/>
            </w:tcBorders>
            <w:shd w:val="clear" w:color="auto" w:fill="E1E8EB"/>
            <w:noWrap/>
            <w:vAlign w:val="center"/>
            <w:hideMark/>
          </w:tcPr>
          <w:p w14:paraId="6A78A2C0" w14:textId="683A42A5"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0.9</w:t>
            </w:r>
          </w:p>
        </w:tc>
      </w:tr>
      <w:tr w:rsidR="00181D7A" w:rsidRPr="007D0FE9" w14:paraId="350B1468" w14:textId="77777777" w:rsidTr="00405179">
        <w:trPr>
          <w:trHeight w:val="70"/>
        </w:trPr>
        <w:tc>
          <w:tcPr>
            <w:tcW w:w="1872" w:type="pct"/>
            <w:tcBorders>
              <w:top w:val="nil"/>
              <w:left w:val="nil"/>
              <w:bottom w:val="nil"/>
              <w:right w:val="nil"/>
            </w:tcBorders>
            <w:shd w:val="clear" w:color="auto" w:fill="auto"/>
            <w:noWrap/>
            <w:vAlign w:val="bottom"/>
            <w:hideMark/>
          </w:tcPr>
          <w:p w14:paraId="3354A0A8" w14:textId="77777777" w:rsidR="00181D7A" w:rsidRPr="00944CAF" w:rsidRDefault="00181D7A" w:rsidP="00746D27">
            <w:pPr>
              <w:spacing w:after="0" w:line="240" w:lineRule="auto"/>
              <w:jc w:val="left"/>
              <w:rPr>
                <w:rFonts w:ascii="Arial" w:hAnsi="Arial" w:cs="Arial"/>
                <w:color w:val="auto"/>
                <w:sz w:val="16"/>
                <w:szCs w:val="16"/>
                <w:u w:val="single"/>
              </w:rPr>
            </w:pPr>
            <w:r w:rsidRPr="00944CAF">
              <w:rPr>
                <w:rFonts w:ascii="Arial" w:hAnsi="Arial" w:cs="Arial"/>
                <w:color w:val="auto"/>
                <w:sz w:val="16"/>
                <w:szCs w:val="16"/>
                <w:u w:val="single"/>
              </w:rPr>
              <w:t>For development</w:t>
            </w:r>
          </w:p>
        </w:tc>
        <w:tc>
          <w:tcPr>
            <w:tcW w:w="433" w:type="pct"/>
            <w:tcBorders>
              <w:top w:val="single" w:sz="4" w:space="0" w:color="auto"/>
              <w:left w:val="nil"/>
              <w:bottom w:val="nil"/>
              <w:right w:val="nil"/>
            </w:tcBorders>
            <w:shd w:val="clear" w:color="auto" w:fill="auto"/>
            <w:noWrap/>
            <w:vAlign w:val="center"/>
            <w:hideMark/>
          </w:tcPr>
          <w:p w14:paraId="452642AA" w14:textId="77777777" w:rsidR="00181D7A" w:rsidRPr="00F54907" w:rsidRDefault="00181D7A" w:rsidP="00746D27">
            <w:pPr>
              <w:spacing w:after="0" w:line="240" w:lineRule="auto"/>
              <w:jc w:val="right"/>
              <w:rPr>
                <w:rFonts w:ascii="Times New Roman" w:hAnsi="Times New Roman"/>
                <w:color w:val="auto"/>
              </w:rPr>
            </w:pPr>
          </w:p>
        </w:tc>
        <w:tc>
          <w:tcPr>
            <w:tcW w:w="369" w:type="pct"/>
            <w:tcBorders>
              <w:top w:val="single" w:sz="4" w:space="0" w:color="auto"/>
              <w:left w:val="nil"/>
              <w:bottom w:val="nil"/>
              <w:right w:val="nil"/>
            </w:tcBorders>
            <w:shd w:val="clear" w:color="auto" w:fill="auto"/>
            <w:noWrap/>
            <w:vAlign w:val="center"/>
            <w:hideMark/>
          </w:tcPr>
          <w:p w14:paraId="67D85A2F" w14:textId="77777777" w:rsidR="00181D7A" w:rsidRPr="00F54907" w:rsidRDefault="00181D7A" w:rsidP="00746D27">
            <w:pPr>
              <w:spacing w:after="0" w:line="240" w:lineRule="auto"/>
              <w:jc w:val="right"/>
              <w:rPr>
                <w:rFonts w:ascii="Times New Roman" w:hAnsi="Times New Roman"/>
                <w:color w:val="auto"/>
              </w:rPr>
            </w:pPr>
          </w:p>
        </w:tc>
        <w:tc>
          <w:tcPr>
            <w:tcW w:w="414" w:type="pct"/>
            <w:tcBorders>
              <w:top w:val="single" w:sz="4" w:space="0" w:color="auto"/>
              <w:left w:val="nil"/>
              <w:bottom w:val="nil"/>
              <w:right w:val="nil"/>
            </w:tcBorders>
            <w:shd w:val="clear" w:color="auto" w:fill="auto"/>
            <w:noWrap/>
            <w:vAlign w:val="center"/>
            <w:hideMark/>
          </w:tcPr>
          <w:p w14:paraId="7208A286" w14:textId="61F60EA7" w:rsidR="00181D7A" w:rsidRPr="00F54907" w:rsidRDefault="00181D7A" w:rsidP="00746D27">
            <w:pPr>
              <w:spacing w:after="0" w:line="240" w:lineRule="auto"/>
              <w:jc w:val="right"/>
              <w:rPr>
                <w:rFonts w:ascii="Times New Roman" w:hAnsi="Times New Roman"/>
                <w:color w:val="auto"/>
              </w:rPr>
            </w:pPr>
          </w:p>
        </w:tc>
        <w:tc>
          <w:tcPr>
            <w:tcW w:w="388" w:type="pct"/>
            <w:tcBorders>
              <w:top w:val="single" w:sz="4" w:space="0" w:color="auto"/>
              <w:left w:val="nil"/>
              <w:bottom w:val="nil"/>
              <w:right w:val="nil"/>
            </w:tcBorders>
            <w:shd w:val="clear" w:color="auto" w:fill="auto"/>
            <w:noWrap/>
            <w:vAlign w:val="center"/>
            <w:hideMark/>
          </w:tcPr>
          <w:p w14:paraId="504FECA2" w14:textId="77777777" w:rsidR="00181D7A" w:rsidRPr="00F54907" w:rsidRDefault="00181D7A" w:rsidP="00746D27">
            <w:pPr>
              <w:spacing w:after="0" w:line="240" w:lineRule="auto"/>
              <w:jc w:val="right"/>
              <w:rPr>
                <w:rFonts w:ascii="Times New Roman" w:hAnsi="Times New Roman"/>
                <w:color w:val="auto"/>
              </w:rPr>
            </w:pPr>
          </w:p>
        </w:tc>
        <w:tc>
          <w:tcPr>
            <w:tcW w:w="478" w:type="pct"/>
            <w:tcBorders>
              <w:top w:val="single" w:sz="4" w:space="0" w:color="auto"/>
              <w:left w:val="nil"/>
              <w:bottom w:val="nil"/>
              <w:right w:val="nil"/>
            </w:tcBorders>
            <w:shd w:val="clear" w:color="auto" w:fill="auto"/>
            <w:noWrap/>
            <w:vAlign w:val="center"/>
            <w:hideMark/>
          </w:tcPr>
          <w:p w14:paraId="2535E9BB" w14:textId="77777777" w:rsidR="00181D7A" w:rsidRPr="00F54907" w:rsidRDefault="00181D7A" w:rsidP="00746D27">
            <w:pPr>
              <w:spacing w:after="0" w:line="240" w:lineRule="auto"/>
              <w:jc w:val="right"/>
              <w:rPr>
                <w:rFonts w:ascii="Times New Roman" w:hAnsi="Times New Roman"/>
                <w:color w:val="auto"/>
              </w:rPr>
            </w:pPr>
          </w:p>
        </w:tc>
        <w:tc>
          <w:tcPr>
            <w:tcW w:w="311" w:type="pct"/>
            <w:tcBorders>
              <w:top w:val="single" w:sz="4" w:space="0" w:color="auto"/>
              <w:left w:val="nil"/>
              <w:bottom w:val="nil"/>
              <w:right w:val="nil"/>
            </w:tcBorders>
            <w:shd w:val="clear" w:color="auto" w:fill="auto"/>
            <w:noWrap/>
            <w:vAlign w:val="center"/>
            <w:hideMark/>
          </w:tcPr>
          <w:p w14:paraId="20546D79" w14:textId="77777777" w:rsidR="00181D7A" w:rsidRPr="00F54907" w:rsidRDefault="00181D7A" w:rsidP="006B32E3">
            <w:pPr>
              <w:spacing w:after="0" w:line="240" w:lineRule="auto"/>
              <w:jc w:val="right"/>
              <w:rPr>
                <w:rFonts w:ascii="Times New Roman" w:hAnsi="Times New Roman"/>
                <w:color w:val="auto"/>
              </w:rPr>
            </w:pPr>
          </w:p>
        </w:tc>
        <w:tc>
          <w:tcPr>
            <w:tcW w:w="412" w:type="pct"/>
            <w:tcBorders>
              <w:top w:val="single" w:sz="4" w:space="0" w:color="auto"/>
              <w:left w:val="nil"/>
              <w:bottom w:val="nil"/>
              <w:right w:val="nil"/>
            </w:tcBorders>
            <w:shd w:val="clear" w:color="auto" w:fill="E1E8EB"/>
            <w:noWrap/>
            <w:vAlign w:val="center"/>
            <w:hideMark/>
          </w:tcPr>
          <w:p w14:paraId="61F879D2" w14:textId="77777777" w:rsidR="00181D7A" w:rsidRPr="00944CAF" w:rsidRDefault="00181D7A" w:rsidP="00746D27">
            <w:pPr>
              <w:spacing w:after="0" w:line="240" w:lineRule="auto"/>
              <w:jc w:val="right"/>
              <w:rPr>
                <w:rFonts w:ascii="Arial" w:hAnsi="Arial" w:cs="Arial"/>
                <w:color w:val="auto"/>
                <w:sz w:val="16"/>
                <w:szCs w:val="16"/>
              </w:rPr>
            </w:pPr>
            <w:r w:rsidRPr="00944CAF">
              <w:rPr>
                <w:rFonts w:ascii="Arial" w:hAnsi="Arial" w:cs="Arial"/>
                <w:color w:val="auto"/>
                <w:sz w:val="16"/>
                <w:szCs w:val="16"/>
              </w:rPr>
              <w:t> </w:t>
            </w:r>
          </w:p>
        </w:tc>
        <w:tc>
          <w:tcPr>
            <w:tcW w:w="322" w:type="pct"/>
            <w:tcBorders>
              <w:top w:val="single" w:sz="4" w:space="0" w:color="auto"/>
              <w:left w:val="nil"/>
              <w:bottom w:val="nil"/>
              <w:right w:val="nil"/>
            </w:tcBorders>
            <w:shd w:val="clear" w:color="auto" w:fill="E1E8EB"/>
            <w:noWrap/>
            <w:vAlign w:val="center"/>
            <w:hideMark/>
          </w:tcPr>
          <w:p w14:paraId="14665657" w14:textId="77777777" w:rsidR="00181D7A" w:rsidRPr="008F6203" w:rsidRDefault="00181D7A" w:rsidP="00746D27">
            <w:pPr>
              <w:spacing w:after="0" w:line="240" w:lineRule="auto"/>
              <w:jc w:val="right"/>
              <w:rPr>
                <w:rFonts w:ascii="Arial" w:hAnsi="Arial" w:cs="Arial"/>
                <w:color w:val="auto"/>
                <w:sz w:val="16"/>
                <w:szCs w:val="16"/>
              </w:rPr>
            </w:pPr>
            <w:r w:rsidRPr="008F6203">
              <w:rPr>
                <w:rFonts w:ascii="Arial" w:hAnsi="Arial" w:cs="Arial"/>
                <w:color w:val="auto"/>
                <w:sz w:val="16"/>
                <w:szCs w:val="16"/>
              </w:rPr>
              <w:t> </w:t>
            </w:r>
          </w:p>
        </w:tc>
      </w:tr>
      <w:tr w:rsidR="00181D7A" w:rsidRPr="007D0FE9" w14:paraId="01121949" w14:textId="77777777" w:rsidTr="00405179">
        <w:trPr>
          <w:trHeight w:val="286"/>
        </w:trPr>
        <w:tc>
          <w:tcPr>
            <w:tcW w:w="1872" w:type="pct"/>
            <w:tcBorders>
              <w:top w:val="nil"/>
              <w:left w:val="nil"/>
              <w:bottom w:val="nil"/>
              <w:right w:val="nil"/>
            </w:tcBorders>
            <w:shd w:val="clear" w:color="auto" w:fill="auto"/>
            <w:noWrap/>
            <w:vAlign w:val="bottom"/>
            <w:hideMark/>
          </w:tcPr>
          <w:p w14:paraId="051ABA98" w14:textId="41FDF644" w:rsidR="00181D7A" w:rsidRPr="008F6203" w:rsidRDefault="003E7C79" w:rsidP="00746D27">
            <w:pPr>
              <w:spacing w:after="0" w:line="240" w:lineRule="auto"/>
              <w:jc w:val="left"/>
              <w:rPr>
                <w:rFonts w:ascii="Arial" w:hAnsi="Arial" w:cs="Arial"/>
                <w:color w:val="auto"/>
                <w:sz w:val="16"/>
                <w:szCs w:val="16"/>
              </w:rPr>
            </w:pPr>
            <w:r>
              <w:rPr>
                <w:rFonts w:ascii="Arial" w:hAnsi="Arial" w:cs="Arial"/>
                <w:color w:val="auto"/>
                <w:sz w:val="16"/>
                <w:szCs w:val="16"/>
              </w:rPr>
              <w:t>–</w:t>
            </w:r>
            <w:r w:rsidR="00181D7A" w:rsidRPr="00944CAF">
              <w:rPr>
                <w:rFonts w:ascii="Arial" w:hAnsi="Arial" w:cs="Arial"/>
                <w:color w:val="auto"/>
                <w:sz w:val="16"/>
                <w:szCs w:val="16"/>
              </w:rPr>
              <w:t xml:space="preserve"> Vacant la</w:t>
            </w:r>
            <w:r w:rsidR="00181D7A" w:rsidRPr="008F6203">
              <w:rPr>
                <w:rFonts w:ascii="Arial" w:hAnsi="Arial" w:cs="Arial"/>
                <w:color w:val="auto"/>
                <w:sz w:val="16"/>
                <w:szCs w:val="16"/>
              </w:rPr>
              <w:t>nd</w:t>
            </w:r>
          </w:p>
        </w:tc>
        <w:tc>
          <w:tcPr>
            <w:tcW w:w="433" w:type="pct"/>
            <w:tcBorders>
              <w:top w:val="nil"/>
              <w:left w:val="nil"/>
              <w:bottom w:val="nil"/>
              <w:right w:val="nil"/>
            </w:tcBorders>
            <w:shd w:val="clear" w:color="auto" w:fill="auto"/>
            <w:noWrap/>
            <w:vAlign w:val="center"/>
            <w:hideMark/>
          </w:tcPr>
          <w:p w14:paraId="3C9D6F8C" w14:textId="77777777" w:rsidR="00181D7A" w:rsidRPr="00F54907" w:rsidRDefault="00181D7A" w:rsidP="006B32E3">
            <w:pPr>
              <w:spacing w:after="0" w:line="240" w:lineRule="auto"/>
              <w:jc w:val="right"/>
              <w:rPr>
                <w:rFonts w:ascii="Times New Roman" w:hAnsi="Times New Roman"/>
                <w:color w:val="auto"/>
              </w:rPr>
            </w:pPr>
          </w:p>
        </w:tc>
        <w:tc>
          <w:tcPr>
            <w:tcW w:w="369" w:type="pct"/>
            <w:tcBorders>
              <w:top w:val="nil"/>
              <w:left w:val="nil"/>
              <w:bottom w:val="nil"/>
              <w:right w:val="nil"/>
            </w:tcBorders>
            <w:shd w:val="clear" w:color="auto" w:fill="auto"/>
            <w:noWrap/>
            <w:vAlign w:val="center"/>
            <w:hideMark/>
          </w:tcPr>
          <w:p w14:paraId="7ECD18B6" w14:textId="77777777" w:rsidR="00181D7A" w:rsidRPr="00F54907" w:rsidRDefault="00181D7A" w:rsidP="00746D27">
            <w:pPr>
              <w:spacing w:after="0" w:line="240" w:lineRule="auto"/>
              <w:jc w:val="right"/>
              <w:rPr>
                <w:rFonts w:ascii="Times New Roman" w:hAnsi="Times New Roman"/>
                <w:color w:val="auto"/>
              </w:rPr>
            </w:pPr>
          </w:p>
        </w:tc>
        <w:tc>
          <w:tcPr>
            <w:tcW w:w="414" w:type="pct"/>
            <w:tcBorders>
              <w:top w:val="nil"/>
              <w:left w:val="nil"/>
              <w:bottom w:val="nil"/>
              <w:right w:val="nil"/>
            </w:tcBorders>
            <w:shd w:val="clear" w:color="auto" w:fill="auto"/>
            <w:noWrap/>
            <w:vAlign w:val="center"/>
            <w:hideMark/>
          </w:tcPr>
          <w:p w14:paraId="1D39E991" w14:textId="718915AF" w:rsidR="00181D7A" w:rsidRPr="00F54907" w:rsidRDefault="00181D7A" w:rsidP="00746D27">
            <w:pPr>
              <w:spacing w:after="0" w:line="240" w:lineRule="auto"/>
              <w:jc w:val="right"/>
              <w:rPr>
                <w:rFonts w:ascii="Times New Roman" w:hAnsi="Times New Roman"/>
                <w:color w:val="auto"/>
              </w:rPr>
            </w:pPr>
          </w:p>
        </w:tc>
        <w:tc>
          <w:tcPr>
            <w:tcW w:w="388" w:type="pct"/>
            <w:tcBorders>
              <w:top w:val="nil"/>
              <w:left w:val="nil"/>
              <w:bottom w:val="nil"/>
              <w:right w:val="nil"/>
            </w:tcBorders>
            <w:shd w:val="clear" w:color="auto" w:fill="auto"/>
            <w:noWrap/>
            <w:vAlign w:val="center"/>
            <w:hideMark/>
          </w:tcPr>
          <w:p w14:paraId="51C2256F" w14:textId="77777777" w:rsidR="00181D7A" w:rsidRPr="00F54907" w:rsidRDefault="00181D7A" w:rsidP="00746D27">
            <w:pPr>
              <w:spacing w:after="0" w:line="240" w:lineRule="auto"/>
              <w:jc w:val="right"/>
              <w:rPr>
                <w:rFonts w:ascii="Times New Roman" w:hAnsi="Times New Roman"/>
                <w:color w:val="auto"/>
              </w:rPr>
            </w:pPr>
          </w:p>
        </w:tc>
        <w:tc>
          <w:tcPr>
            <w:tcW w:w="478" w:type="pct"/>
            <w:tcBorders>
              <w:top w:val="nil"/>
              <w:left w:val="nil"/>
              <w:bottom w:val="nil"/>
              <w:right w:val="nil"/>
            </w:tcBorders>
            <w:shd w:val="clear" w:color="auto" w:fill="auto"/>
            <w:noWrap/>
            <w:vAlign w:val="center"/>
            <w:hideMark/>
          </w:tcPr>
          <w:p w14:paraId="2022F149" w14:textId="77777777" w:rsidR="00181D7A" w:rsidRPr="00F54907" w:rsidRDefault="00181D7A" w:rsidP="00746D27">
            <w:pPr>
              <w:spacing w:after="0" w:line="240" w:lineRule="auto"/>
              <w:jc w:val="right"/>
              <w:rPr>
                <w:rFonts w:ascii="Times New Roman" w:hAnsi="Times New Roman"/>
                <w:color w:val="auto"/>
              </w:rPr>
            </w:pPr>
          </w:p>
        </w:tc>
        <w:tc>
          <w:tcPr>
            <w:tcW w:w="311" w:type="pct"/>
            <w:tcBorders>
              <w:top w:val="nil"/>
              <w:left w:val="nil"/>
              <w:bottom w:val="nil"/>
              <w:right w:val="nil"/>
            </w:tcBorders>
            <w:shd w:val="clear" w:color="auto" w:fill="auto"/>
            <w:noWrap/>
            <w:vAlign w:val="center"/>
            <w:hideMark/>
          </w:tcPr>
          <w:p w14:paraId="778F4ED0" w14:textId="77777777" w:rsidR="00181D7A" w:rsidRPr="00F54907" w:rsidRDefault="00181D7A" w:rsidP="006B32E3">
            <w:pPr>
              <w:spacing w:after="0" w:line="240" w:lineRule="auto"/>
              <w:jc w:val="right"/>
              <w:rPr>
                <w:rFonts w:ascii="Times New Roman" w:hAnsi="Times New Roman"/>
                <w:color w:val="auto"/>
              </w:rPr>
            </w:pPr>
          </w:p>
        </w:tc>
        <w:tc>
          <w:tcPr>
            <w:tcW w:w="412" w:type="pct"/>
            <w:tcBorders>
              <w:top w:val="nil"/>
              <w:left w:val="nil"/>
              <w:bottom w:val="nil"/>
              <w:right w:val="nil"/>
            </w:tcBorders>
            <w:shd w:val="clear" w:color="auto" w:fill="E1E8EB"/>
            <w:noWrap/>
            <w:vAlign w:val="center"/>
            <w:hideMark/>
          </w:tcPr>
          <w:p w14:paraId="4FCF84D6" w14:textId="77777777" w:rsidR="00181D7A" w:rsidRPr="00944CAF" w:rsidRDefault="00181D7A" w:rsidP="00746D27">
            <w:pPr>
              <w:spacing w:after="0" w:line="240" w:lineRule="auto"/>
              <w:jc w:val="right"/>
              <w:rPr>
                <w:rFonts w:ascii="Arial" w:hAnsi="Arial" w:cs="Arial"/>
                <w:color w:val="auto"/>
                <w:sz w:val="16"/>
                <w:szCs w:val="16"/>
              </w:rPr>
            </w:pPr>
            <w:r w:rsidRPr="00944CAF">
              <w:rPr>
                <w:rFonts w:ascii="Arial" w:hAnsi="Arial" w:cs="Arial"/>
                <w:color w:val="auto"/>
                <w:sz w:val="16"/>
                <w:szCs w:val="16"/>
              </w:rPr>
              <w:t> </w:t>
            </w:r>
          </w:p>
        </w:tc>
        <w:tc>
          <w:tcPr>
            <w:tcW w:w="322" w:type="pct"/>
            <w:tcBorders>
              <w:top w:val="nil"/>
              <w:left w:val="nil"/>
              <w:bottom w:val="nil"/>
              <w:right w:val="nil"/>
            </w:tcBorders>
            <w:shd w:val="clear" w:color="auto" w:fill="E1E8EB"/>
            <w:noWrap/>
            <w:vAlign w:val="center"/>
            <w:hideMark/>
          </w:tcPr>
          <w:p w14:paraId="6727E892" w14:textId="77777777" w:rsidR="00181D7A" w:rsidRPr="008F6203" w:rsidRDefault="00181D7A" w:rsidP="00746D27">
            <w:pPr>
              <w:spacing w:after="0" w:line="240" w:lineRule="auto"/>
              <w:jc w:val="right"/>
              <w:rPr>
                <w:rFonts w:ascii="Arial" w:hAnsi="Arial" w:cs="Arial"/>
                <w:color w:val="auto"/>
                <w:sz w:val="16"/>
                <w:szCs w:val="16"/>
              </w:rPr>
            </w:pPr>
            <w:r w:rsidRPr="008F6203">
              <w:rPr>
                <w:rFonts w:ascii="Arial" w:hAnsi="Arial" w:cs="Arial"/>
                <w:color w:val="auto"/>
                <w:sz w:val="16"/>
                <w:szCs w:val="16"/>
              </w:rPr>
              <w:t> </w:t>
            </w:r>
          </w:p>
        </w:tc>
      </w:tr>
      <w:tr w:rsidR="00181D7A" w:rsidRPr="007D0FE9" w14:paraId="7B971B07" w14:textId="77777777" w:rsidTr="00405179">
        <w:trPr>
          <w:trHeight w:val="301"/>
        </w:trPr>
        <w:tc>
          <w:tcPr>
            <w:tcW w:w="1872" w:type="pct"/>
            <w:tcBorders>
              <w:top w:val="nil"/>
              <w:left w:val="nil"/>
              <w:bottom w:val="nil"/>
              <w:right w:val="nil"/>
            </w:tcBorders>
            <w:shd w:val="clear" w:color="auto" w:fill="auto"/>
            <w:noWrap/>
            <w:vAlign w:val="bottom"/>
            <w:hideMark/>
          </w:tcPr>
          <w:p w14:paraId="2E60BCBE" w14:textId="3406B071" w:rsidR="00181D7A" w:rsidRPr="008F6203" w:rsidRDefault="003E7C79" w:rsidP="00746D27">
            <w:pPr>
              <w:spacing w:after="0" w:line="240" w:lineRule="auto"/>
              <w:ind w:firstLineChars="100" w:firstLine="160"/>
              <w:jc w:val="left"/>
              <w:rPr>
                <w:rFonts w:ascii="Arial" w:hAnsi="Arial" w:cs="Arial"/>
                <w:color w:val="auto"/>
                <w:sz w:val="16"/>
                <w:szCs w:val="16"/>
              </w:rPr>
            </w:pPr>
            <w:r>
              <w:rPr>
                <w:rFonts w:ascii="Arial" w:hAnsi="Arial" w:cs="Arial"/>
                <w:color w:val="auto"/>
                <w:sz w:val="16"/>
                <w:szCs w:val="16"/>
              </w:rPr>
              <w:t>–</w:t>
            </w:r>
            <w:r w:rsidR="00181D7A" w:rsidRPr="00944CAF">
              <w:rPr>
                <w:rFonts w:ascii="Arial" w:hAnsi="Arial" w:cs="Arial"/>
                <w:color w:val="auto"/>
                <w:sz w:val="16"/>
                <w:szCs w:val="16"/>
              </w:rPr>
              <w:t xml:space="preserve"> Individual purchases</w:t>
            </w:r>
          </w:p>
        </w:tc>
        <w:tc>
          <w:tcPr>
            <w:tcW w:w="433" w:type="pct"/>
            <w:tcBorders>
              <w:top w:val="nil"/>
              <w:left w:val="nil"/>
              <w:bottom w:val="nil"/>
              <w:right w:val="nil"/>
            </w:tcBorders>
            <w:shd w:val="clear" w:color="auto" w:fill="auto"/>
            <w:noWrap/>
            <w:vAlign w:val="center"/>
            <w:hideMark/>
          </w:tcPr>
          <w:p w14:paraId="335BCA20" w14:textId="0541CD14"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2,281</w:t>
            </w:r>
          </w:p>
        </w:tc>
        <w:tc>
          <w:tcPr>
            <w:tcW w:w="369" w:type="pct"/>
            <w:tcBorders>
              <w:top w:val="nil"/>
              <w:left w:val="nil"/>
              <w:bottom w:val="nil"/>
              <w:right w:val="nil"/>
            </w:tcBorders>
            <w:shd w:val="clear" w:color="auto" w:fill="auto"/>
            <w:noWrap/>
            <w:vAlign w:val="center"/>
            <w:hideMark/>
          </w:tcPr>
          <w:p w14:paraId="6365F6E7" w14:textId="48653628"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0.9</w:t>
            </w:r>
          </w:p>
        </w:tc>
        <w:tc>
          <w:tcPr>
            <w:tcW w:w="414" w:type="pct"/>
            <w:tcBorders>
              <w:top w:val="nil"/>
              <w:left w:val="nil"/>
              <w:bottom w:val="nil"/>
              <w:right w:val="nil"/>
            </w:tcBorders>
            <w:shd w:val="clear" w:color="auto" w:fill="auto"/>
            <w:noWrap/>
            <w:vAlign w:val="center"/>
            <w:hideMark/>
          </w:tcPr>
          <w:p w14:paraId="59BDEE7B" w14:textId="4CE00A45"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1,745</w:t>
            </w:r>
          </w:p>
        </w:tc>
        <w:tc>
          <w:tcPr>
            <w:tcW w:w="388" w:type="pct"/>
            <w:tcBorders>
              <w:top w:val="nil"/>
              <w:left w:val="nil"/>
              <w:bottom w:val="nil"/>
              <w:right w:val="nil"/>
            </w:tcBorders>
            <w:shd w:val="clear" w:color="auto" w:fill="auto"/>
            <w:noWrap/>
            <w:vAlign w:val="center"/>
            <w:hideMark/>
          </w:tcPr>
          <w:p w14:paraId="6672DA78" w14:textId="178CA9DC"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0.7</w:t>
            </w:r>
          </w:p>
        </w:tc>
        <w:tc>
          <w:tcPr>
            <w:tcW w:w="478" w:type="pct"/>
            <w:tcBorders>
              <w:top w:val="nil"/>
              <w:left w:val="nil"/>
              <w:bottom w:val="nil"/>
              <w:right w:val="nil"/>
            </w:tcBorders>
            <w:shd w:val="clear" w:color="auto" w:fill="auto"/>
            <w:noWrap/>
            <w:vAlign w:val="center"/>
            <w:hideMark/>
          </w:tcPr>
          <w:p w14:paraId="5F341C1D" w14:textId="0A5D1280" w:rsidR="00181D7A" w:rsidRPr="00F54907" w:rsidRDefault="00181D7A" w:rsidP="006B32E3">
            <w:pPr>
              <w:spacing w:after="0" w:line="240" w:lineRule="auto"/>
              <w:jc w:val="right"/>
              <w:rPr>
                <w:rFonts w:ascii="Arial" w:hAnsi="Arial" w:cs="Arial"/>
                <w:sz w:val="16"/>
                <w:szCs w:val="16"/>
              </w:rPr>
            </w:pPr>
            <w:r w:rsidRPr="00F54907">
              <w:rPr>
                <w:rFonts w:ascii="Arial" w:hAnsi="Arial" w:cs="Arial"/>
                <w:sz w:val="16"/>
                <w:szCs w:val="16"/>
              </w:rPr>
              <w:t>1,520</w:t>
            </w:r>
          </w:p>
        </w:tc>
        <w:tc>
          <w:tcPr>
            <w:tcW w:w="311" w:type="pct"/>
            <w:tcBorders>
              <w:top w:val="nil"/>
              <w:left w:val="nil"/>
              <w:right w:val="nil"/>
            </w:tcBorders>
            <w:shd w:val="clear" w:color="auto" w:fill="auto"/>
            <w:noWrap/>
            <w:vAlign w:val="center"/>
            <w:hideMark/>
          </w:tcPr>
          <w:p w14:paraId="6D275B4D" w14:textId="2F9B671B" w:rsidR="00181D7A" w:rsidRPr="00F54907" w:rsidRDefault="00181D7A" w:rsidP="00746D27">
            <w:pPr>
              <w:spacing w:after="0" w:line="240" w:lineRule="auto"/>
              <w:jc w:val="right"/>
              <w:rPr>
                <w:rFonts w:ascii="Arial" w:hAnsi="Arial" w:cs="Arial"/>
                <w:sz w:val="16"/>
                <w:szCs w:val="16"/>
              </w:rPr>
            </w:pPr>
            <w:r w:rsidRPr="00F54907">
              <w:rPr>
                <w:rFonts w:ascii="Arial" w:hAnsi="Arial" w:cs="Arial"/>
                <w:sz w:val="16"/>
                <w:szCs w:val="16"/>
              </w:rPr>
              <w:t>0.6</w:t>
            </w:r>
          </w:p>
        </w:tc>
        <w:tc>
          <w:tcPr>
            <w:tcW w:w="412" w:type="pct"/>
            <w:tcBorders>
              <w:top w:val="nil"/>
              <w:left w:val="nil"/>
              <w:right w:val="nil"/>
            </w:tcBorders>
            <w:shd w:val="clear" w:color="auto" w:fill="E1E8EB"/>
            <w:noWrap/>
            <w:vAlign w:val="center"/>
            <w:hideMark/>
          </w:tcPr>
          <w:p w14:paraId="19E67FDA" w14:textId="77CF4FE5"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849</w:t>
            </w:r>
          </w:p>
        </w:tc>
        <w:tc>
          <w:tcPr>
            <w:tcW w:w="322" w:type="pct"/>
            <w:tcBorders>
              <w:top w:val="nil"/>
              <w:left w:val="nil"/>
              <w:right w:val="nil"/>
            </w:tcBorders>
            <w:shd w:val="clear" w:color="auto" w:fill="E1E8EB"/>
            <w:noWrap/>
            <w:vAlign w:val="center"/>
            <w:hideMark/>
          </w:tcPr>
          <w:p w14:paraId="3AC390CF" w14:textId="67390345"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0.3</w:t>
            </w:r>
          </w:p>
        </w:tc>
      </w:tr>
      <w:tr w:rsidR="00181D7A" w:rsidRPr="007D0FE9" w14:paraId="33F7E05C" w14:textId="77777777" w:rsidTr="00405179">
        <w:trPr>
          <w:trHeight w:val="301"/>
        </w:trPr>
        <w:tc>
          <w:tcPr>
            <w:tcW w:w="1872" w:type="pct"/>
            <w:tcBorders>
              <w:top w:val="nil"/>
              <w:left w:val="nil"/>
              <w:bottom w:val="nil"/>
              <w:right w:val="nil"/>
            </w:tcBorders>
            <w:shd w:val="clear" w:color="auto" w:fill="auto"/>
            <w:noWrap/>
            <w:vAlign w:val="bottom"/>
            <w:hideMark/>
          </w:tcPr>
          <w:p w14:paraId="6EF4E6D5" w14:textId="76BED894" w:rsidR="00181D7A" w:rsidRPr="008F6203" w:rsidRDefault="003E7C79" w:rsidP="00746D27">
            <w:pPr>
              <w:spacing w:after="0" w:line="240" w:lineRule="auto"/>
              <w:ind w:firstLineChars="100" w:firstLine="160"/>
              <w:jc w:val="left"/>
              <w:rPr>
                <w:rFonts w:ascii="Arial" w:hAnsi="Arial" w:cs="Arial"/>
                <w:color w:val="auto"/>
                <w:sz w:val="16"/>
                <w:szCs w:val="16"/>
              </w:rPr>
            </w:pPr>
            <w:r>
              <w:rPr>
                <w:rFonts w:ascii="Arial" w:hAnsi="Arial" w:cs="Arial"/>
                <w:color w:val="auto"/>
                <w:sz w:val="16"/>
                <w:szCs w:val="16"/>
              </w:rPr>
              <w:t>–</w:t>
            </w:r>
            <w:r w:rsidR="00181D7A" w:rsidRPr="00944CAF">
              <w:rPr>
                <w:rFonts w:ascii="Arial" w:hAnsi="Arial" w:cs="Arial"/>
                <w:color w:val="auto"/>
                <w:sz w:val="16"/>
                <w:szCs w:val="16"/>
              </w:rPr>
              <w:t xml:space="preserve"> Single purchase EC</w:t>
            </w:r>
          </w:p>
        </w:tc>
        <w:tc>
          <w:tcPr>
            <w:tcW w:w="433" w:type="pct"/>
            <w:tcBorders>
              <w:top w:val="nil"/>
              <w:left w:val="nil"/>
              <w:bottom w:val="single" w:sz="4" w:space="0" w:color="auto"/>
              <w:right w:val="nil"/>
            </w:tcBorders>
            <w:shd w:val="clear" w:color="auto" w:fill="auto"/>
            <w:noWrap/>
            <w:vAlign w:val="center"/>
            <w:hideMark/>
          </w:tcPr>
          <w:p w14:paraId="298A309B" w14:textId="113F4A4E"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118</w:t>
            </w:r>
          </w:p>
        </w:tc>
        <w:tc>
          <w:tcPr>
            <w:tcW w:w="369" w:type="pct"/>
            <w:tcBorders>
              <w:top w:val="nil"/>
              <w:left w:val="nil"/>
              <w:bottom w:val="single" w:sz="4" w:space="0" w:color="auto"/>
              <w:right w:val="nil"/>
            </w:tcBorders>
            <w:shd w:val="clear" w:color="auto" w:fill="auto"/>
            <w:noWrap/>
            <w:vAlign w:val="center"/>
            <w:hideMark/>
          </w:tcPr>
          <w:p w14:paraId="3577661A" w14:textId="0F7F8689"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0.1</w:t>
            </w:r>
          </w:p>
        </w:tc>
        <w:tc>
          <w:tcPr>
            <w:tcW w:w="414" w:type="pct"/>
            <w:tcBorders>
              <w:top w:val="nil"/>
              <w:left w:val="nil"/>
              <w:bottom w:val="single" w:sz="4" w:space="0" w:color="auto"/>
              <w:right w:val="nil"/>
            </w:tcBorders>
            <w:shd w:val="clear" w:color="auto" w:fill="auto"/>
            <w:noWrap/>
            <w:vAlign w:val="center"/>
            <w:hideMark/>
          </w:tcPr>
          <w:p w14:paraId="4094CB56" w14:textId="42944045"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39</w:t>
            </w:r>
          </w:p>
        </w:tc>
        <w:tc>
          <w:tcPr>
            <w:tcW w:w="388" w:type="pct"/>
            <w:tcBorders>
              <w:top w:val="nil"/>
              <w:left w:val="nil"/>
              <w:bottom w:val="single" w:sz="4" w:space="0" w:color="auto"/>
              <w:right w:val="nil"/>
            </w:tcBorders>
            <w:shd w:val="clear" w:color="auto" w:fill="auto"/>
            <w:noWrap/>
            <w:vAlign w:val="center"/>
            <w:hideMark/>
          </w:tcPr>
          <w:p w14:paraId="27497E8E" w14:textId="300746EA"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w:t>
            </w:r>
          </w:p>
        </w:tc>
        <w:tc>
          <w:tcPr>
            <w:tcW w:w="478" w:type="pct"/>
            <w:tcBorders>
              <w:top w:val="nil"/>
              <w:left w:val="nil"/>
              <w:bottom w:val="single" w:sz="4" w:space="0" w:color="auto"/>
              <w:right w:val="nil"/>
            </w:tcBorders>
            <w:shd w:val="clear" w:color="auto" w:fill="auto"/>
            <w:noWrap/>
            <w:vAlign w:val="center"/>
            <w:hideMark/>
          </w:tcPr>
          <w:p w14:paraId="4988DF08" w14:textId="223843CB"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58</w:t>
            </w:r>
          </w:p>
        </w:tc>
        <w:tc>
          <w:tcPr>
            <w:tcW w:w="311" w:type="pct"/>
            <w:tcBorders>
              <w:top w:val="nil"/>
              <w:left w:val="nil"/>
              <w:bottom w:val="single" w:sz="4" w:space="0" w:color="auto"/>
              <w:right w:val="nil"/>
            </w:tcBorders>
            <w:shd w:val="clear" w:color="auto" w:fill="auto"/>
            <w:noWrap/>
            <w:vAlign w:val="center"/>
            <w:hideMark/>
          </w:tcPr>
          <w:p w14:paraId="22E120C2" w14:textId="638D92D8"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w:t>
            </w:r>
          </w:p>
        </w:tc>
        <w:tc>
          <w:tcPr>
            <w:tcW w:w="412" w:type="pct"/>
            <w:tcBorders>
              <w:top w:val="nil"/>
              <w:left w:val="nil"/>
              <w:bottom w:val="single" w:sz="4" w:space="0" w:color="auto"/>
              <w:right w:val="nil"/>
            </w:tcBorders>
            <w:shd w:val="clear" w:color="auto" w:fill="E1E8EB"/>
            <w:noWrap/>
            <w:vAlign w:val="center"/>
            <w:hideMark/>
          </w:tcPr>
          <w:p w14:paraId="31B266B4" w14:textId="494748FA"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121</w:t>
            </w:r>
          </w:p>
        </w:tc>
        <w:tc>
          <w:tcPr>
            <w:tcW w:w="322" w:type="pct"/>
            <w:tcBorders>
              <w:top w:val="nil"/>
              <w:left w:val="nil"/>
              <w:bottom w:val="single" w:sz="4" w:space="0" w:color="auto"/>
              <w:right w:val="nil"/>
            </w:tcBorders>
            <w:shd w:val="clear" w:color="auto" w:fill="E1E8EB"/>
            <w:noWrap/>
            <w:vAlign w:val="center"/>
            <w:hideMark/>
          </w:tcPr>
          <w:p w14:paraId="241AD205" w14:textId="4EC776DC"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0.1</w:t>
            </w:r>
          </w:p>
        </w:tc>
      </w:tr>
      <w:tr w:rsidR="00181D7A" w:rsidRPr="007D0FE9" w14:paraId="370B2791" w14:textId="77777777" w:rsidTr="00405179">
        <w:trPr>
          <w:trHeight w:val="301"/>
        </w:trPr>
        <w:tc>
          <w:tcPr>
            <w:tcW w:w="1872" w:type="pct"/>
            <w:tcBorders>
              <w:top w:val="nil"/>
              <w:left w:val="nil"/>
              <w:bottom w:val="nil"/>
              <w:right w:val="nil"/>
            </w:tcBorders>
            <w:shd w:val="clear" w:color="auto" w:fill="auto"/>
            <w:noWrap/>
            <w:vAlign w:val="bottom"/>
            <w:hideMark/>
          </w:tcPr>
          <w:p w14:paraId="4766FB65" w14:textId="0F2D6AAD" w:rsidR="00181D7A" w:rsidRPr="008F6203" w:rsidRDefault="00181D7A" w:rsidP="00746D27">
            <w:pPr>
              <w:spacing w:after="0" w:line="240" w:lineRule="auto"/>
              <w:jc w:val="left"/>
              <w:rPr>
                <w:rFonts w:ascii="Arial" w:hAnsi="Arial" w:cs="Arial"/>
                <w:i/>
                <w:iCs/>
                <w:color w:val="auto"/>
                <w:sz w:val="16"/>
                <w:szCs w:val="16"/>
              </w:rPr>
            </w:pPr>
            <w:r w:rsidRPr="00944CAF">
              <w:rPr>
                <w:rFonts w:ascii="Arial" w:hAnsi="Arial" w:cs="Arial"/>
                <w:i/>
                <w:iCs/>
                <w:color w:val="auto"/>
                <w:sz w:val="16"/>
                <w:szCs w:val="16"/>
              </w:rPr>
              <w:t>Sub</w:t>
            </w:r>
            <w:r w:rsidR="003E7C79">
              <w:rPr>
                <w:rFonts w:ascii="Arial" w:hAnsi="Arial" w:cs="Arial"/>
                <w:i/>
                <w:iCs/>
                <w:color w:val="auto"/>
                <w:sz w:val="16"/>
                <w:szCs w:val="16"/>
              </w:rPr>
              <w:t>–</w:t>
            </w:r>
            <w:r w:rsidRPr="008F6203">
              <w:rPr>
                <w:rFonts w:ascii="Arial" w:hAnsi="Arial" w:cs="Arial"/>
                <w:i/>
                <w:iCs/>
                <w:color w:val="auto"/>
                <w:sz w:val="16"/>
                <w:szCs w:val="16"/>
              </w:rPr>
              <w:t xml:space="preserve">total </w:t>
            </w:r>
            <w:r w:rsidR="00065800">
              <w:rPr>
                <w:rFonts w:ascii="Arial" w:hAnsi="Arial" w:cs="Arial"/>
                <w:i/>
                <w:iCs/>
                <w:color w:val="auto"/>
                <w:sz w:val="16"/>
                <w:szCs w:val="16"/>
              </w:rPr>
              <w:t>‘</w:t>
            </w:r>
            <w:r w:rsidRPr="008F6203">
              <w:rPr>
                <w:rFonts w:ascii="Arial" w:hAnsi="Arial" w:cs="Arial"/>
                <w:i/>
                <w:iCs/>
                <w:color w:val="auto"/>
                <w:sz w:val="16"/>
                <w:szCs w:val="16"/>
              </w:rPr>
              <w:t>Vacant land</w:t>
            </w:r>
            <w:r w:rsidR="00065800">
              <w:rPr>
                <w:rFonts w:ascii="Arial" w:hAnsi="Arial" w:cs="Arial"/>
                <w:i/>
                <w:iCs/>
                <w:color w:val="auto"/>
                <w:sz w:val="16"/>
                <w:szCs w:val="16"/>
              </w:rPr>
              <w:t>’</w:t>
            </w:r>
          </w:p>
        </w:tc>
        <w:tc>
          <w:tcPr>
            <w:tcW w:w="433" w:type="pct"/>
            <w:tcBorders>
              <w:top w:val="single" w:sz="4" w:space="0" w:color="auto"/>
              <w:left w:val="nil"/>
              <w:bottom w:val="single" w:sz="4" w:space="0" w:color="auto"/>
              <w:right w:val="nil"/>
            </w:tcBorders>
            <w:shd w:val="clear" w:color="auto" w:fill="auto"/>
            <w:noWrap/>
            <w:vAlign w:val="center"/>
            <w:hideMark/>
          </w:tcPr>
          <w:p w14:paraId="763A24F5" w14:textId="5527C02B"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2,399</w:t>
            </w:r>
          </w:p>
        </w:tc>
        <w:tc>
          <w:tcPr>
            <w:tcW w:w="369" w:type="pct"/>
            <w:tcBorders>
              <w:top w:val="single" w:sz="4" w:space="0" w:color="auto"/>
              <w:left w:val="nil"/>
              <w:bottom w:val="single" w:sz="4" w:space="0" w:color="auto"/>
              <w:right w:val="nil"/>
            </w:tcBorders>
            <w:shd w:val="clear" w:color="auto" w:fill="auto"/>
            <w:noWrap/>
            <w:vAlign w:val="center"/>
            <w:hideMark/>
          </w:tcPr>
          <w:p w14:paraId="2FA8BE9F" w14:textId="467A1A09"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0.9</w:t>
            </w:r>
          </w:p>
        </w:tc>
        <w:tc>
          <w:tcPr>
            <w:tcW w:w="414" w:type="pct"/>
            <w:tcBorders>
              <w:top w:val="single" w:sz="4" w:space="0" w:color="auto"/>
              <w:left w:val="nil"/>
              <w:bottom w:val="single" w:sz="4" w:space="0" w:color="auto"/>
              <w:right w:val="nil"/>
            </w:tcBorders>
            <w:shd w:val="clear" w:color="auto" w:fill="auto"/>
            <w:noWrap/>
            <w:vAlign w:val="center"/>
            <w:hideMark/>
          </w:tcPr>
          <w:p w14:paraId="77A597B9" w14:textId="7B9E6CE7"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1,</w:t>
            </w:r>
            <w:r w:rsidRPr="00F54907">
              <w:rPr>
                <w:rFonts w:ascii="Arial" w:hAnsi="Arial" w:cs="Arial"/>
                <w:i/>
                <w:iCs/>
                <w:color w:val="auto"/>
                <w:sz w:val="16"/>
                <w:szCs w:val="16"/>
              </w:rPr>
              <w:t>784</w:t>
            </w:r>
          </w:p>
        </w:tc>
        <w:tc>
          <w:tcPr>
            <w:tcW w:w="388" w:type="pct"/>
            <w:tcBorders>
              <w:top w:val="single" w:sz="4" w:space="0" w:color="auto"/>
              <w:left w:val="nil"/>
              <w:bottom w:val="single" w:sz="4" w:space="0" w:color="auto"/>
              <w:right w:val="nil"/>
            </w:tcBorders>
            <w:shd w:val="clear" w:color="auto" w:fill="auto"/>
            <w:noWrap/>
            <w:vAlign w:val="center"/>
            <w:hideMark/>
          </w:tcPr>
          <w:p w14:paraId="26BA9CBA" w14:textId="6AEA7FB4"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0.7</w:t>
            </w:r>
          </w:p>
        </w:tc>
        <w:tc>
          <w:tcPr>
            <w:tcW w:w="478" w:type="pct"/>
            <w:tcBorders>
              <w:top w:val="single" w:sz="4" w:space="0" w:color="auto"/>
              <w:left w:val="nil"/>
              <w:bottom w:val="single" w:sz="4" w:space="0" w:color="auto"/>
              <w:right w:val="nil"/>
            </w:tcBorders>
            <w:shd w:val="clear" w:color="auto" w:fill="auto"/>
            <w:noWrap/>
            <w:vAlign w:val="center"/>
            <w:hideMark/>
          </w:tcPr>
          <w:p w14:paraId="601B639C" w14:textId="41321D0B" w:rsidR="00181D7A" w:rsidRPr="00F54907" w:rsidRDefault="00181D7A" w:rsidP="006B32E3">
            <w:pPr>
              <w:spacing w:after="0" w:line="240" w:lineRule="auto"/>
              <w:jc w:val="right"/>
              <w:rPr>
                <w:rFonts w:ascii="Arial" w:hAnsi="Arial" w:cs="Arial"/>
                <w:i/>
                <w:sz w:val="16"/>
                <w:szCs w:val="16"/>
              </w:rPr>
            </w:pPr>
            <w:r w:rsidRPr="00F54907">
              <w:rPr>
                <w:rFonts w:ascii="Arial" w:hAnsi="Arial" w:cs="Arial"/>
                <w:i/>
                <w:sz w:val="16"/>
                <w:szCs w:val="16"/>
              </w:rPr>
              <w:t>1,578</w:t>
            </w:r>
          </w:p>
        </w:tc>
        <w:tc>
          <w:tcPr>
            <w:tcW w:w="311" w:type="pct"/>
            <w:tcBorders>
              <w:top w:val="single" w:sz="4" w:space="0" w:color="auto"/>
              <w:left w:val="nil"/>
              <w:bottom w:val="single" w:sz="4" w:space="0" w:color="auto"/>
              <w:right w:val="nil"/>
            </w:tcBorders>
            <w:shd w:val="clear" w:color="auto" w:fill="auto"/>
            <w:noWrap/>
            <w:vAlign w:val="center"/>
            <w:hideMark/>
          </w:tcPr>
          <w:p w14:paraId="15C941EC" w14:textId="77777777" w:rsidR="00181D7A" w:rsidRPr="00F54907" w:rsidRDefault="00181D7A" w:rsidP="00746D27">
            <w:pPr>
              <w:spacing w:after="0" w:line="240" w:lineRule="auto"/>
              <w:jc w:val="right"/>
              <w:rPr>
                <w:rFonts w:ascii="Arial" w:hAnsi="Arial" w:cs="Arial"/>
                <w:i/>
                <w:sz w:val="16"/>
                <w:szCs w:val="16"/>
              </w:rPr>
            </w:pPr>
            <w:r w:rsidRPr="00F54907">
              <w:rPr>
                <w:rFonts w:ascii="Arial" w:hAnsi="Arial" w:cs="Arial"/>
                <w:i/>
                <w:sz w:val="16"/>
                <w:szCs w:val="16"/>
              </w:rPr>
              <w:t>0.7</w:t>
            </w:r>
          </w:p>
        </w:tc>
        <w:tc>
          <w:tcPr>
            <w:tcW w:w="412" w:type="pct"/>
            <w:tcBorders>
              <w:top w:val="single" w:sz="4" w:space="0" w:color="auto"/>
              <w:left w:val="nil"/>
              <w:bottom w:val="single" w:sz="4" w:space="0" w:color="auto"/>
              <w:right w:val="nil"/>
            </w:tcBorders>
            <w:shd w:val="clear" w:color="auto" w:fill="E1E8EB"/>
            <w:noWrap/>
            <w:vAlign w:val="center"/>
            <w:hideMark/>
          </w:tcPr>
          <w:p w14:paraId="64F2C3F0" w14:textId="3A910431"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970</w:t>
            </w:r>
          </w:p>
        </w:tc>
        <w:tc>
          <w:tcPr>
            <w:tcW w:w="322" w:type="pct"/>
            <w:tcBorders>
              <w:top w:val="single" w:sz="4" w:space="0" w:color="auto"/>
              <w:left w:val="nil"/>
              <w:bottom w:val="single" w:sz="4" w:space="0" w:color="auto"/>
              <w:right w:val="nil"/>
            </w:tcBorders>
            <w:shd w:val="clear" w:color="auto" w:fill="E1E8EB"/>
            <w:noWrap/>
            <w:vAlign w:val="center"/>
            <w:hideMark/>
          </w:tcPr>
          <w:p w14:paraId="5053B9C9" w14:textId="685A936E"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0.4</w:t>
            </w:r>
          </w:p>
        </w:tc>
      </w:tr>
      <w:tr w:rsidR="00181D7A" w:rsidRPr="007D0FE9" w14:paraId="27E65980" w14:textId="77777777" w:rsidTr="00405179">
        <w:trPr>
          <w:trHeight w:val="301"/>
        </w:trPr>
        <w:tc>
          <w:tcPr>
            <w:tcW w:w="1872" w:type="pct"/>
            <w:tcBorders>
              <w:top w:val="nil"/>
              <w:left w:val="nil"/>
              <w:bottom w:val="nil"/>
              <w:right w:val="nil"/>
            </w:tcBorders>
            <w:shd w:val="clear" w:color="auto" w:fill="auto"/>
            <w:noWrap/>
            <w:vAlign w:val="bottom"/>
            <w:hideMark/>
          </w:tcPr>
          <w:p w14:paraId="41F9AD75" w14:textId="44355F6E" w:rsidR="00181D7A" w:rsidRPr="008F6203" w:rsidRDefault="003E7C79" w:rsidP="00746D27">
            <w:pPr>
              <w:spacing w:after="0" w:line="240" w:lineRule="auto"/>
              <w:jc w:val="left"/>
              <w:rPr>
                <w:rFonts w:ascii="Arial" w:hAnsi="Arial" w:cs="Arial"/>
                <w:color w:val="auto"/>
                <w:sz w:val="16"/>
                <w:szCs w:val="16"/>
              </w:rPr>
            </w:pPr>
            <w:r>
              <w:rPr>
                <w:rFonts w:ascii="Arial" w:hAnsi="Arial" w:cs="Arial"/>
                <w:color w:val="auto"/>
                <w:sz w:val="16"/>
                <w:szCs w:val="16"/>
              </w:rPr>
              <w:t>–</w:t>
            </w:r>
            <w:r w:rsidR="00181D7A" w:rsidRPr="00944CAF">
              <w:rPr>
                <w:rFonts w:ascii="Arial" w:hAnsi="Arial" w:cs="Arial"/>
                <w:color w:val="auto"/>
                <w:sz w:val="16"/>
                <w:szCs w:val="16"/>
              </w:rPr>
              <w:t xml:space="preserve"> Ne</w:t>
            </w:r>
            <w:r w:rsidR="00181D7A" w:rsidRPr="008F6203">
              <w:rPr>
                <w:rFonts w:ascii="Arial" w:hAnsi="Arial" w:cs="Arial"/>
                <w:color w:val="auto"/>
                <w:sz w:val="16"/>
                <w:szCs w:val="16"/>
              </w:rPr>
              <w:t xml:space="preserve">w </w:t>
            </w:r>
            <w:r w:rsidR="00181D7A" w:rsidRPr="00210D7E">
              <w:rPr>
                <w:rFonts w:ascii="Arial" w:hAnsi="Arial" w:cs="Arial"/>
                <w:color w:val="auto"/>
                <w:sz w:val="16"/>
                <w:szCs w:val="16"/>
              </w:rPr>
              <w:t>D</w:t>
            </w:r>
            <w:r w:rsidR="00181D7A" w:rsidRPr="00F73E73">
              <w:rPr>
                <w:rFonts w:ascii="Arial" w:hAnsi="Arial" w:cs="Arial"/>
                <w:color w:val="auto"/>
                <w:sz w:val="16"/>
                <w:szCs w:val="16"/>
              </w:rPr>
              <w:t>wellings</w:t>
            </w:r>
          </w:p>
        </w:tc>
        <w:tc>
          <w:tcPr>
            <w:tcW w:w="433" w:type="pct"/>
            <w:tcBorders>
              <w:top w:val="single" w:sz="4" w:space="0" w:color="auto"/>
              <w:left w:val="nil"/>
              <w:bottom w:val="nil"/>
              <w:right w:val="nil"/>
            </w:tcBorders>
            <w:shd w:val="clear" w:color="auto" w:fill="auto"/>
            <w:noWrap/>
            <w:vAlign w:val="center"/>
            <w:hideMark/>
          </w:tcPr>
          <w:p w14:paraId="2C82AFDE" w14:textId="77777777" w:rsidR="00181D7A" w:rsidRPr="00F54907" w:rsidRDefault="00181D7A" w:rsidP="00746D27">
            <w:pPr>
              <w:spacing w:after="0" w:line="240" w:lineRule="auto"/>
              <w:jc w:val="right"/>
              <w:rPr>
                <w:rFonts w:ascii="Times New Roman" w:hAnsi="Times New Roman"/>
                <w:color w:val="auto"/>
              </w:rPr>
            </w:pPr>
          </w:p>
        </w:tc>
        <w:tc>
          <w:tcPr>
            <w:tcW w:w="369" w:type="pct"/>
            <w:tcBorders>
              <w:top w:val="single" w:sz="4" w:space="0" w:color="auto"/>
              <w:left w:val="nil"/>
              <w:bottom w:val="nil"/>
              <w:right w:val="nil"/>
            </w:tcBorders>
            <w:shd w:val="clear" w:color="auto" w:fill="auto"/>
            <w:noWrap/>
            <w:vAlign w:val="center"/>
            <w:hideMark/>
          </w:tcPr>
          <w:p w14:paraId="2CA19850" w14:textId="77777777" w:rsidR="00181D7A" w:rsidRPr="00F54907" w:rsidRDefault="00181D7A" w:rsidP="00746D27">
            <w:pPr>
              <w:spacing w:after="0" w:line="240" w:lineRule="auto"/>
              <w:jc w:val="right"/>
              <w:rPr>
                <w:rFonts w:ascii="Times New Roman" w:hAnsi="Times New Roman"/>
                <w:color w:val="auto"/>
              </w:rPr>
            </w:pPr>
          </w:p>
        </w:tc>
        <w:tc>
          <w:tcPr>
            <w:tcW w:w="414" w:type="pct"/>
            <w:tcBorders>
              <w:top w:val="single" w:sz="4" w:space="0" w:color="auto"/>
              <w:left w:val="nil"/>
              <w:bottom w:val="nil"/>
              <w:right w:val="nil"/>
            </w:tcBorders>
            <w:shd w:val="clear" w:color="auto" w:fill="auto"/>
            <w:noWrap/>
            <w:vAlign w:val="center"/>
            <w:hideMark/>
          </w:tcPr>
          <w:p w14:paraId="4E5D0589" w14:textId="61936A5F" w:rsidR="00181D7A" w:rsidRPr="00F54907" w:rsidRDefault="00181D7A" w:rsidP="00746D27">
            <w:pPr>
              <w:spacing w:after="0" w:line="240" w:lineRule="auto"/>
              <w:jc w:val="right"/>
              <w:rPr>
                <w:rFonts w:ascii="Times New Roman" w:hAnsi="Times New Roman"/>
                <w:color w:val="auto"/>
              </w:rPr>
            </w:pPr>
          </w:p>
        </w:tc>
        <w:tc>
          <w:tcPr>
            <w:tcW w:w="388" w:type="pct"/>
            <w:tcBorders>
              <w:top w:val="single" w:sz="4" w:space="0" w:color="auto"/>
              <w:left w:val="nil"/>
              <w:bottom w:val="nil"/>
              <w:right w:val="nil"/>
            </w:tcBorders>
            <w:shd w:val="clear" w:color="auto" w:fill="auto"/>
            <w:noWrap/>
            <w:vAlign w:val="center"/>
            <w:hideMark/>
          </w:tcPr>
          <w:p w14:paraId="61AA35C1" w14:textId="77777777" w:rsidR="00181D7A" w:rsidRPr="00F54907" w:rsidRDefault="00181D7A" w:rsidP="00746D27">
            <w:pPr>
              <w:spacing w:after="0" w:line="240" w:lineRule="auto"/>
              <w:jc w:val="right"/>
              <w:rPr>
                <w:rFonts w:ascii="Times New Roman" w:hAnsi="Times New Roman"/>
                <w:color w:val="auto"/>
              </w:rPr>
            </w:pPr>
          </w:p>
        </w:tc>
        <w:tc>
          <w:tcPr>
            <w:tcW w:w="478" w:type="pct"/>
            <w:tcBorders>
              <w:top w:val="single" w:sz="4" w:space="0" w:color="auto"/>
              <w:left w:val="nil"/>
              <w:bottom w:val="nil"/>
              <w:right w:val="nil"/>
            </w:tcBorders>
            <w:shd w:val="clear" w:color="auto" w:fill="auto"/>
            <w:noWrap/>
            <w:vAlign w:val="center"/>
            <w:hideMark/>
          </w:tcPr>
          <w:p w14:paraId="59DD16E9" w14:textId="77777777" w:rsidR="00181D7A" w:rsidRPr="00F54907" w:rsidRDefault="00181D7A" w:rsidP="00746D27">
            <w:pPr>
              <w:spacing w:after="0" w:line="240" w:lineRule="auto"/>
              <w:jc w:val="right"/>
              <w:rPr>
                <w:rFonts w:ascii="Times New Roman" w:hAnsi="Times New Roman"/>
                <w:color w:val="auto"/>
              </w:rPr>
            </w:pPr>
          </w:p>
        </w:tc>
        <w:tc>
          <w:tcPr>
            <w:tcW w:w="311" w:type="pct"/>
            <w:tcBorders>
              <w:top w:val="single" w:sz="4" w:space="0" w:color="auto"/>
              <w:left w:val="nil"/>
              <w:bottom w:val="nil"/>
              <w:right w:val="nil"/>
            </w:tcBorders>
            <w:shd w:val="clear" w:color="auto" w:fill="auto"/>
            <w:noWrap/>
            <w:vAlign w:val="center"/>
            <w:hideMark/>
          </w:tcPr>
          <w:p w14:paraId="11C4D4C5" w14:textId="77777777" w:rsidR="00181D7A" w:rsidRPr="00F54907" w:rsidRDefault="00181D7A" w:rsidP="006B32E3">
            <w:pPr>
              <w:spacing w:after="0" w:line="240" w:lineRule="auto"/>
              <w:jc w:val="right"/>
              <w:rPr>
                <w:rFonts w:ascii="Times New Roman" w:hAnsi="Times New Roman"/>
                <w:color w:val="auto"/>
              </w:rPr>
            </w:pPr>
          </w:p>
        </w:tc>
        <w:tc>
          <w:tcPr>
            <w:tcW w:w="412" w:type="pct"/>
            <w:tcBorders>
              <w:top w:val="single" w:sz="4" w:space="0" w:color="auto"/>
              <w:left w:val="nil"/>
              <w:bottom w:val="nil"/>
              <w:right w:val="nil"/>
            </w:tcBorders>
            <w:shd w:val="clear" w:color="auto" w:fill="E1E8EB"/>
            <w:noWrap/>
            <w:vAlign w:val="center"/>
            <w:hideMark/>
          </w:tcPr>
          <w:p w14:paraId="4723412A" w14:textId="77777777" w:rsidR="00181D7A" w:rsidRPr="00944CAF" w:rsidRDefault="00181D7A" w:rsidP="00746D27">
            <w:pPr>
              <w:spacing w:after="0" w:line="240" w:lineRule="auto"/>
              <w:jc w:val="right"/>
              <w:rPr>
                <w:rFonts w:ascii="Arial" w:hAnsi="Arial" w:cs="Arial"/>
                <w:color w:val="auto"/>
                <w:sz w:val="16"/>
                <w:szCs w:val="16"/>
              </w:rPr>
            </w:pPr>
            <w:r w:rsidRPr="00944CAF">
              <w:rPr>
                <w:rFonts w:ascii="Arial" w:hAnsi="Arial" w:cs="Arial"/>
                <w:color w:val="auto"/>
                <w:sz w:val="16"/>
                <w:szCs w:val="16"/>
              </w:rPr>
              <w:t> </w:t>
            </w:r>
          </w:p>
        </w:tc>
        <w:tc>
          <w:tcPr>
            <w:tcW w:w="322" w:type="pct"/>
            <w:tcBorders>
              <w:top w:val="single" w:sz="4" w:space="0" w:color="auto"/>
              <w:left w:val="nil"/>
              <w:bottom w:val="nil"/>
              <w:right w:val="nil"/>
            </w:tcBorders>
            <w:shd w:val="clear" w:color="auto" w:fill="E1E8EB"/>
            <w:noWrap/>
            <w:vAlign w:val="center"/>
            <w:hideMark/>
          </w:tcPr>
          <w:p w14:paraId="2E87B98E" w14:textId="77777777" w:rsidR="00181D7A" w:rsidRPr="008F6203" w:rsidRDefault="00181D7A" w:rsidP="00746D27">
            <w:pPr>
              <w:spacing w:after="0" w:line="240" w:lineRule="auto"/>
              <w:jc w:val="right"/>
              <w:rPr>
                <w:rFonts w:ascii="Arial" w:hAnsi="Arial" w:cs="Arial"/>
                <w:color w:val="auto"/>
                <w:sz w:val="16"/>
                <w:szCs w:val="16"/>
              </w:rPr>
            </w:pPr>
            <w:r w:rsidRPr="008F6203">
              <w:rPr>
                <w:rFonts w:ascii="Arial" w:hAnsi="Arial" w:cs="Arial"/>
                <w:color w:val="auto"/>
                <w:sz w:val="16"/>
                <w:szCs w:val="16"/>
              </w:rPr>
              <w:t> </w:t>
            </w:r>
          </w:p>
        </w:tc>
      </w:tr>
      <w:tr w:rsidR="00181D7A" w:rsidRPr="007D0FE9" w14:paraId="22334B31" w14:textId="77777777" w:rsidTr="00405179">
        <w:trPr>
          <w:trHeight w:val="301"/>
        </w:trPr>
        <w:tc>
          <w:tcPr>
            <w:tcW w:w="1872" w:type="pct"/>
            <w:tcBorders>
              <w:top w:val="nil"/>
              <w:left w:val="nil"/>
              <w:bottom w:val="nil"/>
              <w:right w:val="nil"/>
            </w:tcBorders>
            <w:shd w:val="clear" w:color="auto" w:fill="auto"/>
            <w:noWrap/>
            <w:vAlign w:val="bottom"/>
            <w:hideMark/>
          </w:tcPr>
          <w:p w14:paraId="4B043FF7" w14:textId="24932C9F" w:rsidR="00181D7A" w:rsidRPr="008F6203" w:rsidRDefault="003E7C79" w:rsidP="00746D27">
            <w:pPr>
              <w:spacing w:after="0" w:line="240" w:lineRule="auto"/>
              <w:ind w:firstLineChars="100" w:firstLine="160"/>
              <w:jc w:val="left"/>
              <w:rPr>
                <w:rFonts w:ascii="Arial" w:hAnsi="Arial" w:cs="Arial"/>
                <w:color w:val="auto"/>
                <w:sz w:val="16"/>
                <w:szCs w:val="16"/>
              </w:rPr>
            </w:pPr>
            <w:r>
              <w:rPr>
                <w:rFonts w:ascii="Arial" w:hAnsi="Arial" w:cs="Arial"/>
                <w:color w:val="auto"/>
                <w:sz w:val="16"/>
                <w:szCs w:val="16"/>
              </w:rPr>
              <w:t>–</w:t>
            </w:r>
            <w:r w:rsidR="00181D7A" w:rsidRPr="00944CAF">
              <w:rPr>
                <w:rFonts w:ascii="Arial" w:hAnsi="Arial" w:cs="Arial"/>
                <w:color w:val="auto"/>
                <w:sz w:val="16"/>
                <w:szCs w:val="16"/>
              </w:rPr>
              <w:t xml:space="preserve"> Individual purchases</w:t>
            </w:r>
          </w:p>
        </w:tc>
        <w:tc>
          <w:tcPr>
            <w:tcW w:w="433" w:type="pct"/>
            <w:tcBorders>
              <w:top w:val="nil"/>
              <w:left w:val="nil"/>
              <w:bottom w:val="nil"/>
              <w:right w:val="nil"/>
            </w:tcBorders>
            <w:shd w:val="clear" w:color="auto" w:fill="auto"/>
            <w:noWrap/>
            <w:vAlign w:val="center"/>
            <w:hideMark/>
          </w:tcPr>
          <w:p w14:paraId="7041EC0A" w14:textId="75D6D5AC"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5,494</w:t>
            </w:r>
          </w:p>
        </w:tc>
        <w:tc>
          <w:tcPr>
            <w:tcW w:w="369" w:type="pct"/>
            <w:tcBorders>
              <w:top w:val="nil"/>
              <w:left w:val="nil"/>
              <w:bottom w:val="nil"/>
              <w:right w:val="nil"/>
            </w:tcBorders>
            <w:shd w:val="clear" w:color="auto" w:fill="auto"/>
            <w:noWrap/>
            <w:vAlign w:val="center"/>
            <w:hideMark/>
          </w:tcPr>
          <w:p w14:paraId="2C0936E4" w14:textId="4DD02B35"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4.8</w:t>
            </w:r>
          </w:p>
        </w:tc>
        <w:tc>
          <w:tcPr>
            <w:tcW w:w="414" w:type="pct"/>
            <w:tcBorders>
              <w:top w:val="nil"/>
              <w:left w:val="nil"/>
              <w:bottom w:val="nil"/>
              <w:right w:val="nil"/>
            </w:tcBorders>
            <w:shd w:val="clear" w:color="auto" w:fill="auto"/>
            <w:noWrap/>
            <w:vAlign w:val="center"/>
            <w:hideMark/>
          </w:tcPr>
          <w:p w14:paraId="788B9B05" w14:textId="28A47062"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3,888</w:t>
            </w:r>
          </w:p>
        </w:tc>
        <w:tc>
          <w:tcPr>
            <w:tcW w:w="388" w:type="pct"/>
            <w:tcBorders>
              <w:top w:val="nil"/>
              <w:left w:val="nil"/>
              <w:bottom w:val="nil"/>
              <w:right w:val="nil"/>
            </w:tcBorders>
            <w:shd w:val="clear" w:color="auto" w:fill="auto"/>
            <w:noWrap/>
            <w:vAlign w:val="center"/>
            <w:hideMark/>
          </w:tcPr>
          <w:p w14:paraId="1EC718FD" w14:textId="66D3D6A9"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3.1</w:t>
            </w:r>
          </w:p>
        </w:tc>
        <w:tc>
          <w:tcPr>
            <w:tcW w:w="478" w:type="pct"/>
            <w:tcBorders>
              <w:top w:val="nil"/>
              <w:left w:val="nil"/>
              <w:bottom w:val="nil"/>
              <w:right w:val="nil"/>
            </w:tcBorders>
            <w:shd w:val="clear" w:color="auto" w:fill="auto"/>
            <w:noWrap/>
            <w:vAlign w:val="center"/>
            <w:hideMark/>
          </w:tcPr>
          <w:p w14:paraId="57165349" w14:textId="3209121D" w:rsidR="00181D7A" w:rsidRPr="00F54907" w:rsidRDefault="00181D7A" w:rsidP="006B32E3">
            <w:pPr>
              <w:spacing w:after="0" w:line="240" w:lineRule="auto"/>
              <w:jc w:val="right"/>
              <w:rPr>
                <w:rFonts w:ascii="Arial" w:hAnsi="Arial" w:cs="Arial"/>
                <w:sz w:val="16"/>
                <w:szCs w:val="16"/>
              </w:rPr>
            </w:pPr>
            <w:r w:rsidRPr="00F54907">
              <w:rPr>
                <w:rFonts w:ascii="Arial" w:hAnsi="Arial" w:cs="Arial"/>
                <w:sz w:val="16"/>
                <w:szCs w:val="16"/>
              </w:rPr>
              <w:t>3,897</w:t>
            </w:r>
          </w:p>
        </w:tc>
        <w:tc>
          <w:tcPr>
            <w:tcW w:w="311" w:type="pct"/>
            <w:tcBorders>
              <w:top w:val="nil"/>
              <w:left w:val="nil"/>
              <w:bottom w:val="nil"/>
              <w:right w:val="nil"/>
            </w:tcBorders>
            <w:shd w:val="clear" w:color="auto" w:fill="auto"/>
            <w:noWrap/>
            <w:vAlign w:val="center"/>
            <w:hideMark/>
          </w:tcPr>
          <w:p w14:paraId="0E860C43" w14:textId="735CB021" w:rsidR="00181D7A" w:rsidRPr="00F54907" w:rsidRDefault="00181D7A" w:rsidP="00746D27">
            <w:pPr>
              <w:spacing w:after="0" w:line="240" w:lineRule="auto"/>
              <w:jc w:val="right"/>
              <w:rPr>
                <w:rFonts w:ascii="Arial" w:hAnsi="Arial" w:cs="Arial"/>
                <w:sz w:val="16"/>
                <w:szCs w:val="16"/>
              </w:rPr>
            </w:pPr>
            <w:r w:rsidRPr="00F54907">
              <w:rPr>
                <w:rFonts w:ascii="Arial" w:hAnsi="Arial" w:cs="Arial"/>
                <w:sz w:val="16"/>
                <w:szCs w:val="16"/>
              </w:rPr>
              <w:t>3.2</w:t>
            </w:r>
          </w:p>
        </w:tc>
        <w:tc>
          <w:tcPr>
            <w:tcW w:w="412" w:type="pct"/>
            <w:tcBorders>
              <w:top w:val="nil"/>
              <w:left w:val="nil"/>
              <w:bottom w:val="nil"/>
              <w:right w:val="nil"/>
            </w:tcBorders>
            <w:shd w:val="clear" w:color="auto" w:fill="E1E8EB"/>
            <w:noWrap/>
            <w:vAlign w:val="center"/>
            <w:hideMark/>
          </w:tcPr>
          <w:p w14:paraId="479119AA" w14:textId="45DDEA48"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1,573</w:t>
            </w:r>
          </w:p>
        </w:tc>
        <w:tc>
          <w:tcPr>
            <w:tcW w:w="322" w:type="pct"/>
            <w:tcBorders>
              <w:top w:val="nil"/>
              <w:left w:val="nil"/>
              <w:bottom w:val="nil"/>
              <w:right w:val="nil"/>
            </w:tcBorders>
            <w:shd w:val="clear" w:color="auto" w:fill="E1E8EB"/>
            <w:noWrap/>
            <w:vAlign w:val="center"/>
            <w:hideMark/>
          </w:tcPr>
          <w:p w14:paraId="249278DC" w14:textId="6D71B594"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2.0</w:t>
            </w:r>
          </w:p>
        </w:tc>
      </w:tr>
      <w:tr w:rsidR="00181D7A" w:rsidRPr="007D0FE9" w14:paraId="4754984D" w14:textId="77777777" w:rsidTr="00405179">
        <w:trPr>
          <w:trHeight w:val="301"/>
        </w:trPr>
        <w:tc>
          <w:tcPr>
            <w:tcW w:w="1872" w:type="pct"/>
            <w:tcBorders>
              <w:top w:val="nil"/>
              <w:left w:val="nil"/>
              <w:bottom w:val="nil"/>
              <w:right w:val="nil"/>
            </w:tcBorders>
            <w:shd w:val="clear" w:color="auto" w:fill="auto"/>
            <w:noWrap/>
            <w:vAlign w:val="bottom"/>
            <w:hideMark/>
          </w:tcPr>
          <w:p w14:paraId="24D86447" w14:textId="1A653F2F" w:rsidR="00181D7A" w:rsidRPr="008F6203" w:rsidRDefault="003E7C79" w:rsidP="00746D27">
            <w:pPr>
              <w:spacing w:after="0" w:line="240" w:lineRule="auto"/>
              <w:ind w:firstLineChars="100" w:firstLine="160"/>
              <w:jc w:val="left"/>
              <w:rPr>
                <w:rFonts w:ascii="Arial" w:hAnsi="Arial" w:cs="Arial"/>
                <w:color w:val="auto"/>
                <w:sz w:val="16"/>
                <w:szCs w:val="16"/>
              </w:rPr>
            </w:pPr>
            <w:r>
              <w:rPr>
                <w:rFonts w:ascii="Arial" w:hAnsi="Arial" w:cs="Arial"/>
                <w:color w:val="auto"/>
                <w:sz w:val="16"/>
                <w:szCs w:val="16"/>
              </w:rPr>
              <w:t>–</w:t>
            </w:r>
            <w:r w:rsidR="00181D7A" w:rsidRPr="00944CAF">
              <w:rPr>
                <w:rFonts w:ascii="Arial" w:hAnsi="Arial" w:cs="Arial"/>
                <w:color w:val="auto"/>
                <w:sz w:val="16"/>
                <w:szCs w:val="16"/>
              </w:rPr>
              <w:t xml:space="preserve"> Single purchase EC</w:t>
            </w:r>
          </w:p>
        </w:tc>
        <w:tc>
          <w:tcPr>
            <w:tcW w:w="433" w:type="pct"/>
            <w:tcBorders>
              <w:top w:val="nil"/>
              <w:left w:val="nil"/>
              <w:bottom w:val="nil"/>
              <w:right w:val="nil"/>
            </w:tcBorders>
            <w:shd w:val="clear" w:color="auto" w:fill="auto"/>
            <w:noWrap/>
            <w:vAlign w:val="center"/>
            <w:hideMark/>
          </w:tcPr>
          <w:p w14:paraId="39E7D1AE" w14:textId="3E4FDE69"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166</w:t>
            </w:r>
          </w:p>
        </w:tc>
        <w:tc>
          <w:tcPr>
            <w:tcW w:w="369" w:type="pct"/>
            <w:tcBorders>
              <w:top w:val="nil"/>
              <w:left w:val="nil"/>
              <w:bottom w:val="nil"/>
              <w:right w:val="nil"/>
            </w:tcBorders>
            <w:shd w:val="clear" w:color="auto" w:fill="auto"/>
            <w:noWrap/>
            <w:vAlign w:val="center"/>
            <w:hideMark/>
          </w:tcPr>
          <w:p w14:paraId="0D63DD5A" w14:textId="19142E80"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0.1</w:t>
            </w:r>
          </w:p>
        </w:tc>
        <w:tc>
          <w:tcPr>
            <w:tcW w:w="414" w:type="pct"/>
            <w:tcBorders>
              <w:top w:val="nil"/>
              <w:left w:val="nil"/>
              <w:bottom w:val="nil"/>
              <w:right w:val="nil"/>
            </w:tcBorders>
            <w:shd w:val="clear" w:color="auto" w:fill="auto"/>
            <w:noWrap/>
            <w:vAlign w:val="center"/>
            <w:hideMark/>
          </w:tcPr>
          <w:p w14:paraId="4B2F70B4" w14:textId="1BDC6057"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60</w:t>
            </w:r>
          </w:p>
        </w:tc>
        <w:tc>
          <w:tcPr>
            <w:tcW w:w="388" w:type="pct"/>
            <w:tcBorders>
              <w:top w:val="nil"/>
              <w:left w:val="nil"/>
              <w:bottom w:val="nil"/>
              <w:right w:val="nil"/>
            </w:tcBorders>
            <w:shd w:val="clear" w:color="auto" w:fill="auto"/>
            <w:noWrap/>
            <w:vAlign w:val="center"/>
            <w:hideMark/>
          </w:tcPr>
          <w:p w14:paraId="76038D44" w14:textId="1A823D6B"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0.1</w:t>
            </w:r>
          </w:p>
        </w:tc>
        <w:tc>
          <w:tcPr>
            <w:tcW w:w="478" w:type="pct"/>
            <w:tcBorders>
              <w:top w:val="nil"/>
              <w:left w:val="nil"/>
              <w:bottom w:val="nil"/>
              <w:right w:val="nil"/>
            </w:tcBorders>
            <w:shd w:val="clear" w:color="auto" w:fill="auto"/>
            <w:noWrap/>
            <w:vAlign w:val="center"/>
            <w:hideMark/>
          </w:tcPr>
          <w:p w14:paraId="014F6EC8" w14:textId="117AE307" w:rsidR="00181D7A" w:rsidRPr="00F54907" w:rsidRDefault="00181D7A" w:rsidP="006B32E3">
            <w:pPr>
              <w:spacing w:after="0" w:line="240" w:lineRule="auto"/>
              <w:jc w:val="right"/>
              <w:rPr>
                <w:rFonts w:ascii="Arial" w:hAnsi="Arial" w:cs="Arial"/>
                <w:sz w:val="16"/>
                <w:szCs w:val="16"/>
              </w:rPr>
            </w:pPr>
            <w:r w:rsidRPr="00F54907">
              <w:rPr>
                <w:rFonts w:ascii="Arial" w:hAnsi="Arial" w:cs="Arial"/>
                <w:sz w:val="16"/>
                <w:szCs w:val="16"/>
              </w:rPr>
              <w:t>135</w:t>
            </w:r>
          </w:p>
        </w:tc>
        <w:tc>
          <w:tcPr>
            <w:tcW w:w="311" w:type="pct"/>
            <w:tcBorders>
              <w:top w:val="nil"/>
              <w:left w:val="nil"/>
              <w:bottom w:val="nil"/>
              <w:right w:val="nil"/>
            </w:tcBorders>
            <w:shd w:val="clear" w:color="auto" w:fill="auto"/>
            <w:noWrap/>
            <w:vAlign w:val="center"/>
            <w:hideMark/>
          </w:tcPr>
          <w:p w14:paraId="5F59928C" w14:textId="77777777" w:rsidR="00181D7A" w:rsidRPr="00F54907" w:rsidRDefault="00181D7A" w:rsidP="00746D27">
            <w:pPr>
              <w:spacing w:after="0" w:line="240" w:lineRule="auto"/>
              <w:jc w:val="right"/>
              <w:rPr>
                <w:rFonts w:ascii="Arial" w:hAnsi="Arial" w:cs="Arial"/>
                <w:sz w:val="16"/>
                <w:szCs w:val="16"/>
              </w:rPr>
            </w:pPr>
            <w:r w:rsidRPr="00F54907">
              <w:rPr>
                <w:rFonts w:ascii="Arial" w:hAnsi="Arial" w:cs="Arial"/>
                <w:sz w:val="16"/>
                <w:szCs w:val="16"/>
              </w:rPr>
              <w:t>0.1</w:t>
            </w:r>
          </w:p>
        </w:tc>
        <w:tc>
          <w:tcPr>
            <w:tcW w:w="412" w:type="pct"/>
            <w:tcBorders>
              <w:top w:val="nil"/>
              <w:left w:val="nil"/>
              <w:bottom w:val="nil"/>
              <w:right w:val="nil"/>
            </w:tcBorders>
            <w:shd w:val="clear" w:color="auto" w:fill="E1E8EB"/>
            <w:noWrap/>
            <w:vAlign w:val="center"/>
            <w:hideMark/>
          </w:tcPr>
          <w:p w14:paraId="0A57DEEE" w14:textId="4A858224"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300</w:t>
            </w:r>
          </w:p>
        </w:tc>
        <w:tc>
          <w:tcPr>
            <w:tcW w:w="322" w:type="pct"/>
            <w:tcBorders>
              <w:top w:val="nil"/>
              <w:left w:val="nil"/>
              <w:bottom w:val="nil"/>
              <w:right w:val="nil"/>
            </w:tcBorders>
            <w:shd w:val="clear" w:color="auto" w:fill="E1E8EB"/>
            <w:noWrap/>
            <w:vAlign w:val="center"/>
            <w:hideMark/>
          </w:tcPr>
          <w:p w14:paraId="680FF5C6" w14:textId="7EDE880D"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0.3</w:t>
            </w:r>
          </w:p>
        </w:tc>
      </w:tr>
      <w:tr w:rsidR="00181D7A" w:rsidRPr="007D0FE9" w14:paraId="77E6CAE8" w14:textId="77777777" w:rsidTr="00405179">
        <w:trPr>
          <w:trHeight w:val="301"/>
        </w:trPr>
        <w:tc>
          <w:tcPr>
            <w:tcW w:w="1872" w:type="pct"/>
            <w:tcBorders>
              <w:top w:val="nil"/>
              <w:left w:val="nil"/>
              <w:bottom w:val="nil"/>
              <w:right w:val="nil"/>
            </w:tcBorders>
            <w:shd w:val="clear" w:color="auto" w:fill="auto"/>
            <w:noWrap/>
            <w:vAlign w:val="bottom"/>
            <w:hideMark/>
          </w:tcPr>
          <w:p w14:paraId="1363A6FB" w14:textId="59E80B5E" w:rsidR="00181D7A" w:rsidRPr="008F6203" w:rsidRDefault="003E7C79" w:rsidP="00746D27">
            <w:pPr>
              <w:spacing w:after="0" w:line="240" w:lineRule="auto"/>
              <w:ind w:firstLineChars="100" w:firstLine="160"/>
              <w:jc w:val="left"/>
              <w:rPr>
                <w:rFonts w:ascii="Arial" w:hAnsi="Arial" w:cs="Arial"/>
                <w:color w:val="auto"/>
                <w:sz w:val="16"/>
                <w:szCs w:val="16"/>
              </w:rPr>
            </w:pPr>
            <w:r>
              <w:rPr>
                <w:rFonts w:ascii="Arial" w:hAnsi="Arial" w:cs="Arial"/>
                <w:color w:val="auto"/>
                <w:sz w:val="16"/>
                <w:szCs w:val="16"/>
              </w:rPr>
              <w:t>–</w:t>
            </w:r>
            <w:r w:rsidR="00181D7A" w:rsidRPr="00944CAF">
              <w:rPr>
                <w:rFonts w:ascii="Arial" w:hAnsi="Arial" w:cs="Arial"/>
                <w:color w:val="auto"/>
                <w:sz w:val="16"/>
                <w:szCs w:val="16"/>
              </w:rPr>
              <w:t xml:space="preserve"> New </w:t>
            </w:r>
            <w:r w:rsidR="00181D7A" w:rsidRPr="00622391">
              <w:rPr>
                <w:rFonts w:ascii="Arial" w:hAnsi="Arial" w:cs="Arial"/>
                <w:color w:val="auto"/>
                <w:sz w:val="16"/>
                <w:szCs w:val="16"/>
              </w:rPr>
              <w:t>D</w:t>
            </w:r>
            <w:r w:rsidR="00181D7A" w:rsidRPr="00F73E73">
              <w:rPr>
                <w:rFonts w:ascii="Arial" w:hAnsi="Arial" w:cs="Arial"/>
                <w:color w:val="auto"/>
                <w:sz w:val="16"/>
                <w:szCs w:val="16"/>
              </w:rPr>
              <w:t>welling</w:t>
            </w:r>
            <w:r w:rsidR="00181D7A" w:rsidRPr="008F6203">
              <w:rPr>
                <w:rFonts w:ascii="Arial" w:hAnsi="Arial" w:cs="Arial"/>
                <w:color w:val="auto"/>
                <w:sz w:val="16"/>
                <w:szCs w:val="16"/>
              </w:rPr>
              <w:t xml:space="preserve"> EC</w:t>
            </w:r>
          </w:p>
        </w:tc>
        <w:tc>
          <w:tcPr>
            <w:tcW w:w="433" w:type="pct"/>
            <w:tcBorders>
              <w:top w:val="nil"/>
              <w:left w:val="nil"/>
              <w:bottom w:val="nil"/>
              <w:right w:val="nil"/>
            </w:tcBorders>
            <w:shd w:val="clear" w:color="auto" w:fill="auto"/>
            <w:noWrap/>
            <w:vAlign w:val="center"/>
            <w:hideMark/>
          </w:tcPr>
          <w:p w14:paraId="183E14E6" w14:textId="3A1646EB"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24</w:t>
            </w:r>
          </w:p>
        </w:tc>
        <w:tc>
          <w:tcPr>
            <w:tcW w:w="369" w:type="pct"/>
            <w:tcBorders>
              <w:top w:val="nil"/>
              <w:left w:val="nil"/>
              <w:bottom w:val="nil"/>
              <w:right w:val="nil"/>
            </w:tcBorders>
            <w:shd w:val="clear" w:color="auto" w:fill="auto"/>
            <w:noWrap/>
            <w:vAlign w:val="center"/>
            <w:hideMark/>
          </w:tcPr>
          <w:p w14:paraId="20B47507" w14:textId="03AB8A4E"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2.7</w:t>
            </w:r>
          </w:p>
        </w:tc>
        <w:tc>
          <w:tcPr>
            <w:tcW w:w="414" w:type="pct"/>
            <w:tcBorders>
              <w:top w:val="nil"/>
              <w:left w:val="nil"/>
              <w:bottom w:val="nil"/>
              <w:right w:val="nil"/>
            </w:tcBorders>
            <w:shd w:val="clear" w:color="auto" w:fill="auto"/>
            <w:noWrap/>
            <w:vAlign w:val="center"/>
            <w:hideMark/>
          </w:tcPr>
          <w:p w14:paraId="45FA4D3B" w14:textId="499DEDD3"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16</w:t>
            </w:r>
          </w:p>
        </w:tc>
        <w:tc>
          <w:tcPr>
            <w:tcW w:w="388" w:type="pct"/>
            <w:tcBorders>
              <w:top w:val="nil"/>
              <w:left w:val="nil"/>
              <w:bottom w:val="nil"/>
              <w:right w:val="nil"/>
            </w:tcBorders>
            <w:shd w:val="clear" w:color="auto" w:fill="auto"/>
            <w:noWrap/>
            <w:vAlign w:val="center"/>
            <w:hideMark/>
          </w:tcPr>
          <w:p w14:paraId="2E71B969" w14:textId="0C658418"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1.7</w:t>
            </w:r>
          </w:p>
        </w:tc>
        <w:tc>
          <w:tcPr>
            <w:tcW w:w="478" w:type="pct"/>
            <w:tcBorders>
              <w:top w:val="nil"/>
              <w:left w:val="nil"/>
              <w:bottom w:val="nil"/>
              <w:right w:val="nil"/>
            </w:tcBorders>
            <w:shd w:val="clear" w:color="auto" w:fill="auto"/>
            <w:noWrap/>
            <w:vAlign w:val="center"/>
            <w:hideMark/>
          </w:tcPr>
          <w:p w14:paraId="5BE2B6FA" w14:textId="63558CE7" w:rsidR="00181D7A" w:rsidRPr="00F54907" w:rsidRDefault="00181D7A" w:rsidP="006B32E3">
            <w:pPr>
              <w:spacing w:after="0" w:line="240" w:lineRule="auto"/>
              <w:jc w:val="right"/>
              <w:rPr>
                <w:rFonts w:ascii="Arial" w:hAnsi="Arial" w:cs="Arial"/>
                <w:sz w:val="16"/>
                <w:szCs w:val="16"/>
              </w:rPr>
            </w:pPr>
            <w:r w:rsidRPr="00F54907">
              <w:rPr>
                <w:rFonts w:ascii="Arial" w:hAnsi="Arial" w:cs="Arial"/>
                <w:sz w:val="16"/>
                <w:szCs w:val="16"/>
              </w:rPr>
              <w:t>18</w:t>
            </w:r>
          </w:p>
        </w:tc>
        <w:tc>
          <w:tcPr>
            <w:tcW w:w="311" w:type="pct"/>
            <w:tcBorders>
              <w:top w:val="nil"/>
              <w:left w:val="nil"/>
              <w:right w:val="nil"/>
            </w:tcBorders>
            <w:shd w:val="clear" w:color="auto" w:fill="auto"/>
            <w:noWrap/>
            <w:vAlign w:val="center"/>
            <w:hideMark/>
          </w:tcPr>
          <w:p w14:paraId="239279C0" w14:textId="06426666" w:rsidR="00181D7A" w:rsidRPr="00F54907" w:rsidRDefault="00181D7A" w:rsidP="00746D27">
            <w:pPr>
              <w:spacing w:after="0" w:line="240" w:lineRule="auto"/>
              <w:jc w:val="right"/>
              <w:rPr>
                <w:rFonts w:ascii="Arial" w:hAnsi="Arial" w:cs="Arial"/>
                <w:sz w:val="16"/>
                <w:szCs w:val="16"/>
              </w:rPr>
            </w:pPr>
            <w:r w:rsidRPr="00F54907">
              <w:rPr>
                <w:rFonts w:ascii="Arial" w:hAnsi="Arial" w:cs="Arial"/>
                <w:sz w:val="16"/>
                <w:szCs w:val="16"/>
              </w:rPr>
              <w:t>1.6</w:t>
            </w:r>
          </w:p>
        </w:tc>
        <w:tc>
          <w:tcPr>
            <w:tcW w:w="412" w:type="pct"/>
            <w:tcBorders>
              <w:top w:val="nil"/>
              <w:left w:val="nil"/>
              <w:right w:val="nil"/>
            </w:tcBorders>
            <w:shd w:val="clear" w:color="auto" w:fill="E1E8EB"/>
            <w:noWrap/>
            <w:vAlign w:val="center"/>
            <w:hideMark/>
          </w:tcPr>
          <w:p w14:paraId="455587ED" w14:textId="3C5F1027"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10</w:t>
            </w:r>
          </w:p>
        </w:tc>
        <w:tc>
          <w:tcPr>
            <w:tcW w:w="322" w:type="pct"/>
            <w:tcBorders>
              <w:top w:val="nil"/>
              <w:left w:val="nil"/>
              <w:right w:val="nil"/>
            </w:tcBorders>
            <w:shd w:val="clear" w:color="auto" w:fill="E1E8EB"/>
            <w:noWrap/>
            <w:vAlign w:val="center"/>
            <w:hideMark/>
          </w:tcPr>
          <w:p w14:paraId="7D4C6C61" w14:textId="25FB6B61"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1.0</w:t>
            </w:r>
          </w:p>
        </w:tc>
      </w:tr>
      <w:tr w:rsidR="00181D7A" w:rsidRPr="007D0FE9" w14:paraId="0448526E" w14:textId="77777777" w:rsidTr="00405179">
        <w:trPr>
          <w:trHeight w:val="301"/>
        </w:trPr>
        <w:tc>
          <w:tcPr>
            <w:tcW w:w="1872" w:type="pct"/>
            <w:tcBorders>
              <w:top w:val="nil"/>
              <w:left w:val="nil"/>
              <w:bottom w:val="nil"/>
              <w:right w:val="nil"/>
            </w:tcBorders>
            <w:shd w:val="clear" w:color="auto" w:fill="auto"/>
            <w:noWrap/>
            <w:vAlign w:val="bottom"/>
            <w:hideMark/>
          </w:tcPr>
          <w:p w14:paraId="6C032848" w14:textId="37773644" w:rsidR="00181D7A" w:rsidRPr="008F6203" w:rsidRDefault="003E7C79" w:rsidP="00746D27">
            <w:pPr>
              <w:spacing w:after="0" w:line="240" w:lineRule="auto"/>
              <w:ind w:firstLineChars="100" w:firstLine="160"/>
              <w:jc w:val="left"/>
              <w:rPr>
                <w:rFonts w:ascii="Arial" w:hAnsi="Arial" w:cs="Arial"/>
                <w:color w:val="auto"/>
                <w:sz w:val="16"/>
                <w:szCs w:val="16"/>
              </w:rPr>
            </w:pPr>
            <w:r>
              <w:rPr>
                <w:rFonts w:ascii="Arial" w:hAnsi="Arial" w:cs="Arial"/>
                <w:color w:val="auto"/>
                <w:sz w:val="16"/>
                <w:szCs w:val="16"/>
              </w:rPr>
              <w:t>–</w:t>
            </w:r>
            <w:r w:rsidR="00181D7A" w:rsidRPr="00944CAF">
              <w:rPr>
                <w:rFonts w:ascii="Arial" w:hAnsi="Arial" w:cs="Arial"/>
                <w:color w:val="auto"/>
                <w:sz w:val="16"/>
                <w:szCs w:val="16"/>
              </w:rPr>
              <w:t xml:space="preserve"> Near</w:t>
            </w:r>
            <w:r>
              <w:rPr>
                <w:rFonts w:ascii="Arial" w:hAnsi="Arial" w:cs="Arial"/>
                <w:color w:val="auto"/>
                <w:sz w:val="16"/>
                <w:szCs w:val="16"/>
              </w:rPr>
              <w:t>–</w:t>
            </w:r>
            <w:r w:rsidR="00181D7A" w:rsidRPr="00210D7E">
              <w:rPr>
                <w:rFonts w:ascii="Arial" w:hAnsi="Arial" w:cs="Arial"/>
                <w:color w:val="auto"/>
                <w:sz w:val="16"/>
                <w:szCs w:val="16"/>
              </w:rPr>
              <w:t>N</w:t>
            </w:r>
            <w:r w:rsidR="00181D7A" w:rsidRPr="00F73E73">
              <w:rPr>
                <w:rFonts w:ascii="Arial" w:hAnsi="Arial" w:cs="Arial"/>
                <w:color w:val="auto"/>
                <w:sz w:val="16"/>
                <w:szCs w:val="16"/>
              </w:rPr>
              <w:t>ew Dwelling</w:t>
            </w:r>
            <w:r w:rsidR="00181D7A" w:rsidRPr="008F6203">
              <w:rPr>
                <w:rFonts w:ascii="Arial" w:hAnsi="Arial" w:cs="Arial"/>
                <w:color w:val="auto"/>
                <w:sz w:val="16"/>
                <w:szCs w:val="16"/>
              </w:rPr>
              <w:t xml:space="preserve"> EC</w:t>
            </w:r>
          </w:p>
        </w:tc>
        <w:tc>
          <w:tcPr>
            <w:tcW w:w="433" w:type="pct"/>
            <w:tcBorders>
              <w:top w:val="nil"/>
              <w:left w:val="nil"/>
              <w:bottom w:val="single" w:sz="4" w:space="0" w:color="auto"/>
              <w:right w:val="nil"/>
            </w:tcBorders>
            <w:shd w:val="clear" w:color="auto" w:fill="auto"/>
            <w:noWrap/>
            <w:vAlign w:val="center"/>
            <w:hideMark/>
          </w:tcPr>
          <w:p w14:paraId="70D81D8D" w14:textId="39533F75"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10</w:t>
            </w:r>
          </w:p>
        </w:tc>
        <w:tc>
          <w:tcPr>
            <w:tcW w:w="369" w:type="pct"/>
            <w:tcBorders>
              <w:top w:val="nil"/>
              <w:left w:val="nil"/>
              <w:bottom w:val="single" w:sz="4" w:space="0" w:color="auto"/>
              <w:right w:val="nil"/>
            </w:tcBorders>
            <w:shd w:val="clear" w:color="auto" w:fill="auto"/>
            <w:noWrap/>
            <w:vAlign w:val="center"/>
            <w:hideMark/>
          </w:tcPr>
          <w:p w14:paraId="2DF2AAA7" w14:textId="749286F0"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414" w:type="pct"/>
            <w:tcBorders>
              <w:top w:val="nil"/>
              <w:left w:val="nil"/>
              <w:bottom w:val="single" w:sz="4" w:space="0" w:color="auto"/>
              <w:right w:val="nil"/>
            </w:tcBorders>
            <w:shd w:val="clear" w:color="auto" w:fill="auto"/>
            <w:noWrap/>
            <w:vAlign w:val="center"/>
            <w:hideMark/>
          </w:tcPr>
          <w:p w14:paraId="51898908" w14:textId="11E41B52"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22</w:t>
            </w:r>
          </w:p>
        </w:tc>
        <w:tc>
          <w:tcPr>
            <w:tcW w:w="388" w:type="pct"/>
            <w:tcBorders>
              <w:top w:val="nil"/>
              <w:left w:val="nil"/>
              <w:bottom w:val="single" w:sz="4" w:space="0" w:color="auto"/>
              <w:right w:val="nil"/>
            </w:tcBorders>
            <w:shd w:val="clear" w:color="auto" w:fill="auto"/>
            <w:noWrap/>
            <w:vAlign w:val="center"/>
            <w:hideMark/>
          </w:tcPr>
          <w:p w14:paraId="245AD2DF" w14:textId="737A2EE4"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w:t>
            </w:r>
          </w:p>
        </w:tc>
        <w:tc>
          <w:tcPr>
            <w:tcW w:w="478" w:type="pct"/>
            <w:tcBorders>
              <w:top w:val="nil"/>
              <w:left w:val="nil"/>
              <w:bottom w:val="single" w:sz="4" w:space="0" w:color="auto"/>
              <w:right w:val="nil"/>
            </w:tcBorders>
            <w:shd w:val="clear" w:color="auto" w:fill="auto"/>
            <w:noWrap/>
            <w:vAlign w:val="center"/>
            <w:hideMark/>
          </w:tcPr>
          <w:p w14:paraId="4B587C1E" w14:textId="3165DB30" w:rsidR="00181D7A" w:rsidRPr="00F54907" w:rsidRDefault="00181D7A" w:rsidP="006B32E3">
            <w:pPr>
              <w:spacing w:after="0" w:line="240" w:lineRule="auto"/>
              <w:jc w:val="right"/>
              <w:rPr>
                <w:rFonts w:ascii="Arial" w:hAnsi="Arial" w:cs="Arial"/>
                <w:sz w:val="16"/>
                <w:szCs w:val="16"/>
              </w:rPr>
            </w:pPr>
            <w:r w:rsidRPr="00F54907">
              <w:rPr>
                <w:rFonts w:ascii="Arial" w:hAnsi="Arial" w:cs="Arial"/>
                <w:sz w:val="16"/>
                <w:szCs w:val="16"/>
              </w:rPr>
              <w:t>22</w:t>
            </w:r>
          </w:p>
        </w:tc>
        <w:tc>
          <w:tcPr>
            <w:tcW w:w="311" w:type="pct"/>
            <w:tcBorders>
              <w:top w:val="nil"/>
              <w:left w:val="nil"/>
              <w:bottom w:val="single" w:sz="4" w:space="0" w:color="auto"/>
              <w:right w:val="nil"/>
            </w:tcBorders>
            <w:shd w:val="clear" w:color="auto" w:fill="auto"/>
            <w:noWrap/>
            <w:vAlign w:val="center"/>
            <w:hideMark/>
          </w:tcPr>
          <w:p w14:paraId="1C9E7333" w14:textId="36D5A0BF" w:rsidR="00181D7A" w:rsidRPr="00F54907" w:rsidRDefault="003E7C79" w:rsidP="00746D27">
            <w:pPr>
              <w:spacing w:after="0" w:line="240" w:lineRule="auto"/>
              <w:jc w:val="right"/>
              <w:rPr>
                <w:rFonts w:ascii="Arial" w:hAnsi="Arial" w:cs="Arial"/>
                <w:sz w:val="16"/>
                <w:szCs w:val="16"/>
              </w:rPr>
            </w:pPr>
            <w:r>
              <w:rPr>
                <w:rFonts w:ascii="Arial" w:hAnsi="Arial" w:cs="Arial"/>
                <w:sz w:val="16"/>
                <w:szCs w:val="16"/>
              </w:rPr>
              <w:t>–</w:t>
            </w:r>
          </w:p>
        </w:tc>
        <w:tc>
          <w:tcPr>
            <w:tcW w:w="412" w:type="pct"/>
            <w:tcBorders>
              <w:top w:val="nil"/>
              <w:left w:val="nil"/>
              <w:bottom w:val="single" w:sz="4" w:space="0" w:color="auto"/>
              <w:right w:val="nil"/>
            </w:tcBorders>
            <w:shd w:val="clear" w:color="auto" w:fill="E1E8EB"/>
            <w:noWrap/>
            <w:vAlign w:val="center"/>
            <w:hideMark/>
          </w:tcPr>
          <w:p w14:paraId="05B63F60" w14:textId="497BC08E"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9</w:t>
            </w:r>
          </w:p>
        </w:tc>
        <w:tc>
          <w:tcPr>
            <w:tcW w:w="322" w:type="pct"/>
            <w:tcBorders>
              <w:top w:val="nil"/>
              <w:left w:val="nil"/>
              <w:bottom w:val="single" w:sz="4" w:space="0" w:color="auto"/>
              <w:right w:val="nil"/>
            </w:tcBorders>
            <w:shd w:val="clear" w:color="auto" w:fill="E1E8EB"/>
            <w:noWrap/>
            <w:vAlign w:val="center"/>
            <w:hideMark/>
          </w:tcPr>
          <w:p w14:paraId="3BAA032B" w14:textId="5EBF1FCF"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r>
      <w:tr w:rsidR="00181D7A" w:rsidRPr="007D0FE9" w14:paraId="3E336067" w14:textId="77777777" w:rsidTr="00405179">
        <w:trPr>
          <w:trHeight w:val="301"/>
        </w:trPr>
        <w:tc>
          <w:tcPr>
            <w:tcW w:w="1872" w:type="pct"/>
            <w:tcBorders>
              <w:top w:val="nil"/>
              <w:left w:val="nil"/>
              <w:bottom w:val="nil"/>
              <w:right w:val="nil"/>
            </w:tcBorders>
            <w:shd w:val="clear" w:color="auto" w:fill="auto"/>
            <w:noWrap/>
            <w:vAlign w:val="bottom"/>
            <w:hideMark/>
          </w:tcPr>
          <w:p w14:paraId="658EF636" w14:textId="08EC1EE5" w:rsidR="00181D7A" w:rsidRPr="008F6203" w:rsidRDefault="00181D7A" w:rsidP="00746D27">
            <w:pPr>
              <w:spacing w:after="0" w:line="240" w:lineRule="auto"/>
              <w:jc w:val="left"/>
              <w:rPr>
                <w:rFonts w:ascii="Arial" w:hAnsi="Arial" w:cs="Arial"/>
                <w:i/>
                <w:iCs/>
                <w:color w:val="auto"/>
                <w:sz w:val="16"/>
                <w:szCs w:val="16"/>
              </w:rPr>
            </w:pPr>
            <w:r w:rsidRPr="00944CAF">
              <w:rPr>
                <w:rFonts w:ascii="Arial" w:hAnsi="Arial" w:cs="Arial"/>
                <w:i/>
                <w:iCs/>
                <w:color w:val="auto"/>
                <w:sz w:val="16"/>
                <w:szCs w:val="16"/>
              </w:rPr>
              <w:t>Sub</w:t>
            </w:r>
            <w:r w:rsidR="003E7C79">
              <w:rPr>
                <w:rFonts w:ascii="Arial" w:hAnsi="Arial" w:cs="Arial"/>
                <w:i/>
                <w:iCs/>
                <w:color w:val="auto"/>
                <w:sz w:val="16"/>
                <w:szCs w:val="16"/>
              </w:rPr>
              <w:t>–</w:t>
            </w:r>
            <w:r w:rsidRPr="008F6203">
              <w:rPr>
                <w:rFonts w:ascii="Arial" w:hAnsi="Arial" w:cs="Arial"/>
                <w:i/>
                <w:iCs/>
                <w:color w:val="auto"/>
                <w:sz w:val="16"/>
                <w:szCs w:val="16"/>
              </w:rPr>
              <w:t xml:space="preserve">total </w:t>
            </w:r>
            <w:r w:rsidR="00065800">
              <w:rPr>
                <w:rFonts w:ascii="Arial" w:hAnsi="Arial" w:cs="Arial"/>
                <w:i/>
                <w:iCs/>
                <w:color w:val="auto"/>
                <w:sz w:val="16"/>
                <w:szCs w:val="16"/>
              </w:rPr>
              <w:t>‘</w:t>
            </w:r>
            <w:r w:rsidRPr="008F6203">
              <w:rPr>
                <w:rFonts w:ascii="Arial" w:hAnsi="Arial" w:cs="Arial"/>
                <w:i/>
                <w:iCs/>
                <w:color w:val="auto"/>
                <w:sz w:val="16"/>
                <w:szCs w:val="16"/>
              </w:rPr>
              <w:t>New dwellings</w:t>
            </w:r>
            <w:r w:rsidR="00065800">
              <w:rPr>
                <w:rFonts w:ascii="Arial" w:hAnsi="Arial" w:cs="Arial"/>
                <w:i/>
                <w:iCs/>
                <w:color w:val="auto"/>
                <w:sz w:val="16"/>
                <w:szCs w:val="16"/>
              </w:rPr>
              <w:t>’</w:t>
            </w:r>
          </w:p>
        </w:tc>
        <w:tc>
          <w:tcPr>
            <w:tcW w:w="433" w:type="pct"/>
            <w:tcBorders>
              <w:top w:val="single" w:sz="4" w:space="0" w:color="auto"/>
              <w:left w:val="nil"/>
              <w:bottom w:val="single" w:sz="4" w:space="0" w:color="auto"/>
              <w:right w:val="nil"/>
            </w:tcBorders>
            <w:shd w:val="clear" w:color="000000" w:fill="FFFFFF"/>
            <w:noWrap/>
            <w:vAlign w:val="center"/>
            <w:hideMark/>
          </w:tcPr>
          <w:p w14:paraId="65FA4C83" w14:textId="5555EFA6"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5,694</w:t>
            </w:r>
          </w:p>
        </w:tc>
        <w:tc>
          <w:tcPr>
            <w:tcW w:w="369" w:type="pct"/>
            <w:tcBorders>
              <w:top w:val="single" w:sz="4" w:space="0" w:color="auto"/>
              <w:left w:val="nil"/>
              <w:bottom w:val="single" w:sz="4" w:space="0" w:color="auto"/>
              <w:right w:val="nil"/>
            </w:tcBorders>
            <w:shd w:val="clear" w:color="auto" w:fill="auto"/>
            <w:noWrap/>
            <w:vAlign w:val="center"/>
            <w:hideMark/>
          </w:tcPr>
          <w:p w14:paraId="4E562211" w14:textId="5CD79E13"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7.7</w:t>
            </w:r>
          </w:p>
        </w:tc>
        <w:tc>
          <w:tcPr>
            <w:tcW w:w="414" w:type="pct"/>
            <w:tcBorders>
              <w:top w:val="single" w:sz="4" w:space="0" w:color="auto"/>
              <w:left w:val="nil"/>
              <w:bottom w:val="single" w:sz="4" w:space="0" w:color="auto"/>
              <w:right w:val="nil"/>
            </w:tcBorders>
            <w:shd w:val="clear" w:color="auto" w:fill="auto"/>
            <w:noWrap/>
            <w:vAlign w:val="center"/>
            <w:hideMark/>
          </w:tcPr>
          <w:p w14:paraId="5965D644" w14:textId="3414598E"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3,986</w:t>
            </w:r>
          </w:p>
        </w:tc>
        <w:tc>
          <w:tcPr>
            <w:tcW w:w="388" w:type="pct"/>
            <w:tcBorders>
              <w:top w:val="single" w:sz="4" w:space="0" w:color="auto"/>
              <w:left w:val="nil"/>
              <w:bottom w:val="single" w:sz="4" w:space="0" w:color="auto"/>
              <w:right w:val="nil"/>
            </w:tcBorders>
            <w:shd w:val="clear" w:color="auto" w:fill="auto"/>
            <w:noWrap/>
            <w:vAlign w:val="center"/>
            <w:hideMark/>
          </w:tcPr>
          <w:p w14:paraId="32D9E4B7" w14:textId="400B2B37"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4.8</w:t>
            </w:r>
          </w:p>
        </w:tc>
        <w:tc>
          <w:tcPr>
            <w:tcW w:w="478" w:type="pct"/>
            <w:tcBorders>
              <w:top w:val="single" w:sz="4" w:space="0" w:color="auto"/>
              <w:left w:val="nil"/>
              <w:bottom w:val="single" w:sz="4" w:space="0" w:color="auto"/>
              <w:right w:val="nil"/>
            </w:tcBorders>
            <w:shd w:val="clear" w:color="auto" w:fill="auto"/>
            <w:noWrap/>
            <w:vAlign w:val="center"/>
            <w:hideMark/>
          </w:tcPr>
          <w:p w14:paraId="6C281D8A" w14:textId="76C02981" w:rsidR="00181D7A" w:rsidRPr="00F54907" w:rsidRDefault="00181D7A" w:rsidP="006B32E3">
            <w:pPr>
              <w:spacing w:after="0" w:line="240" w:lineRule="auto"/>
              <w:jc w:val="right"/>
              <w:rPr>
                <w:rFonts w:ascii="Arial" w:hAnsi="Arial" w:cs="Arial"/>
                <w:i/>
                <w:sz w:val="16"/>
                <w:szCs w:val="16"/>
              </w:rPr>
            </w:pPr>
            <w:r w:rsidRPr="00F54907">
              <w:rPr>
                <w:rFonts w:ascii="Arial" w:hAnsi="Arial" w:cs="Arial"/>
                <w:i/>
                <w:sz w:val="16"/>
                <w:szCs w:val="16"/>
              </w:rPr>
              <w:t>3,</w:t>
            </w:r>
            <w:r w:rsidRPr="00F54907">
              <w:rPr>
                <w:rFonts w:ascii="Arial" w:hAnsi="Arial" w:cs="Arial"/>
                <w:i/>
                <w:iCs/>
                <w:sz w:val="16"/>
                <w:szCs w:val="16"/>
              </w:rPr>
              <w:t>897</w:t>
            </w:r>
          </w:p>
        </w:tc>
        <w:tc>
          <w:tcPr>
            <w:tcW w:w="311" w:type="pct"/>
            <w:tcBorders>
              <w:top w:val="single" w:sz="4" w:space="0" w:color="auto"/>
              <w:left w:val="nil"/>
              <w:bottom w:val="single" w:sz="4" w:space="0" w:color="auto"/>
              <w:right w:val="nil"/>
            </w:tcBorders>
            <w:shd w:val="clear" w:color="auto" w:fill="auto"/>
            <w:noWrap/>
            <w:vAlign w:val="center"/>
            <w:hideMark/>
          </w:tcPr>
          <w:p w14:paraId="5A0227E6" w14:textId="2F368E4D" w:rsidR="00181D7A" w:rsidRPr="00F54907" w:rsidRDefault="00181D7A" w:rsidP="00746D27">
            <w:pPr>
              <w:spacing w:after="0" w:line="240" w:lineRule="auto"/>
              <w:jc w:val="right"/>
              <w:rPr>
                <w:rFonts w:ascii="Arial" w:hAnsi="Arial" w:cs="Arial"/>
                <w:i/>
                <w:sz w:val="16"/>
                <w:szCs w:val="16"/>
              </w:rPr>
            </w:pPr>
            <w:r w:rsidRPr="00F54907">
              <w:rPr>
                <w:rFonts w:ascii="Arial" w:hAnsi="Arial" w:cs="Arial"/>
                <w:i/>
                <w:sz w:val="16"/>
                <w:szCs w:val="16"/>
              </w:rPr>
              <w:t>4.9</w:t>
            </w:r>
          </w:p>
        </w:tc>
        <w:tc>
          <w:tcPr>
            <w:tcW w:w="412" w:type="pct"/>
            <w:tcBorders>
              <w:top w:val="single" w:sz="4" w:space="0" w:color="auto"/>
              <w:left w:val="nil"/>
              <w:bottom w:val="single" w:sz="4" w:space="0" w:color="auto"/>
              <w:right w:val="nil"/>
            </w:tcBorders>
            <w:shd w:val="clear" w:color="auto" w:fill="E1E8EB"/>
            <w:noWrap/>
            <w:vAlign w:val="center"/>
            <w:hideMark/>
          </w:tcPr>
          <w:p w14:paraId="1FC18AA2" w14:textId="581883C4"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1,892</w:t>
            </w:r>
          </w:p>
        </w:tc>
        <w:tc>
          <w:tcPr>
            <w:tcW w:w="322" w:type="pct"/>
            <w:tcBorders>
              <w:top w:val="single" w:sz="4" w:space="0" w:color="auto"/>
              <w:left w:val="nil"/>
              <w:bottom w:val="single" w:sz="4" w:space="0" w:color="auto"/>
              <w:right w:val="nil"/>
            </w:tcBorders>
            <w:shd w:val="clear" w:color="auto" w:fill="E1E8EB"/>
            <w:noWrap/>
            <w:vAlign w:val="center"/>
            <w:hideMark/>
          </w:tcPr>
          <w:p w14:paraId="5EF027CA" w14:textId="3F83D510"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3.3</w:t>
            </w:r>
          </w:p>
        </w:tc>
      </w:tr>
      <w:tr w:rsidR="00181D7A" w:rsidRPr="007D0FE9" w14:paraId="5961C450" w14:textId="77777777" w:rsidTr="00405179">
        <w:trPr>
          <w:trHeight w:val="301"/>
        </w:trPr>
        <w:tc>
          <w:tcPr>
            <w:tcW w:w="1872" w:type="pct"/>
            <w:tcBorders>
              <w:top w:val="nil"/>
              <w:left w:val="nil"/>
              <w:bottom w:val="nil"/>
              <w:right w:val="nil"/>
            </w:tcBorders>
            <w:shd w:val="clear" w:color="auto" w:fill="auto"/>
            <w:noWrap/>
            <w:vAlign w:val="bottom"/>
            <w:hideMark/>
          </w:tcPr>
          <w:p w14:paraId="54061819" w14:textId="0F95694B" w:rsidR="00181D7A" w:rsidRPr="008F6203" w:rsidRDefault="003E7C79" w:rsidP="00746D27">
            <w:pPr>
              <w:spacing w:after="0" w:line="240" w:lineRule="auto"/>
              <w:jc w:val="left"/>
              <w:rPr>
                <w:rFonts w:ascii="Arial" w:hAnsi="Arial" w:cs="Arial"/>
                <w:color w:val="auto"/>
                <w:sz w:val="16"/>
                <w:szCs w:val="16"/>
              </w:rPr>
            </w:pPr>
            <w:r>
              <w:rPr>
                <w:rFonts w:ascii="Arial" w:hAnsi="Arial" w:cs="Arial"/>
                <w:color w:val="auto"/>
                <w:sz w:val="16"/>
                <w:szCs w:val="16"/>
              </w:rPr>
              <w:t>–</w:t>
            </w:r>
            <w:r w:rsidR="00181D7A" w:rsidRPr="00944CAF">
              <w:rPr>
                <w:rFonts w:ascii="Arial" w:hAnsi="Arial" w:cs="Arial"/>
                <w:color w:val="auto"/>
                <w:sz w:val="16"/>
                <w:szCs w:val="16"/>
              </w:rPr>
              <w:t xml:space="preserve"> Redeve</w:t>
            </w:r>
            <w:r w:rsidR="00181D7A" w:rsidRPr="008F6203">
              <w:rPr>
                <w:rFonts w:ascii="Arial" w:hAnsi="Arial" w:cs="Arial"/>
                <w:color w:val="auto"/>
                <w:sz w:val="16"/>
                <w:szCs w:val="16"/>
              </w:rPr>
              <w:t>lopment</w:t>
            </w:r>
          </w:p>
        </w:tc>
        <w:tc>
          <w:tcPr>
            <w:tcW w:w="433" w:type="pct"/>
            <w:tcBorders>
              <w:top w:val="single" w:sz="4" w:space="0" w:color="auto"/>
              <w:left w:val="nil"/>
              <w:bottom w:val="nil"/>
              <w:right w:val="nil"/>
            </w:tcBorders>
            <w:shd w:val="clear" w:color="auto" w:fill="auto"/>
            <w:noWrap/>
            <w:vAlign w:val="center"/>
            <w:hideMark/>
          </w:tcPr>
          <w:p w14:paraId="4861F2BB" w14:textId="3F919F01"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315</w:t>
            </w:r>
          </w:p>
        </w:tc>
        <w:tc>
          <w:tcPr>
            <w:tcW w:w="369" w:type="pct"/>
            <w:tcBorders>
              <w:top w:val="single" w:sz="4" w:space="0" w:color="auto"/>
              <w:left w:val="nil"/>
              <w:bottom w:val="nil"/>
              <w:right w:val="nil"/>
            </w:tcBorders>
            <w:shd w:val="clear" w:color="auto" w:fill="auto"/>
            <w:noWrap/>
            <w:vAlign w:val="center"/>
            <w:hideMark/>
          </w:tcPr>
          <w:p w14:paraId="70A9DB74" w14:textId="508DBB2F"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0.8</w:t>
            </w:r>
          </w:p>
        </w:tc>
        <w:tc>
          <w:tcPr>
            <w:tcW w:w="414" w:type="pct"/>
            <w:tcBorders>
              <w:top w:val="single" w:sz="4" w:space="0" w:color="auto"/>
              <w:left w:val="nil"/>
              <w:bottom w:val="nil"/>
              <w:right w:val="nil"/>
            </w:tcBorders>
            <w:shd w:val="clear" w:color="auto" w:fill="auto"/>
            <w:noWrap/>
            <w:vAlign w:val="center"/>
            <w:hideMark/>
          </w:tcPr>
          <w:p w14:paraId="3F54E415" w14:textId="6CFF1671"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262</w:t>
            </w:r>
          </w:p>
        </w:tc>
        <w:tc>
          <w:tcPr>
            <w:tcW w:w="388" w:type="pct"/>
            <w:tcBorders>
              <w:top w:val="single" w:sz="4" w:space="0" w:color="auto"/>
              <w:left w:val="nil"/>
              <w:bottom w:val="nil"/>
              <w:right w:val="nil"/>
            </w:tcBorders>
            <w:shd w:val="clear" w:color="auto" w:fill="auto"/>
            <w:noWrap/>
            <w:vAlign w:val="center"/>
            <w:hideMark/>
          </w:tcPr>
          <w:p w14:paraId="36BEC5AF" w14:textId="4E9DF267"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0.5</w:t>
            </w:r>
          </w:p>
        </w:tc>
        <w:tc>
          <w:tcPr>
            <w:tcW w:w="478" w:type="pct"/>
            <w:tcBorders>
              <w:top w:val="single" w:sz="4" w:space="0" w:color="auto"/>
              <w:left w:val="nil"/>
              <w:bottom w:val="nil"/>
              <w:right w:val="nil"/>
            </w:tcBorders>
            <w:shd w:val="clear" w:color="auto" w:fill="auto"/>
            <w:noWrap/>
            <w:vAlign w:val="center"/>
            <w:hideMark/>
          </w:tcPr>
          <w:p w14:paraId="4FB28C10" w14:textId="450534F8" w:rsidR="00181D7A" w:rsidRPr="00F54907" w:rsidRDefault="00181D7A" w:rsidP="006B32E3">
            <w:pPr>
              <w:spacing w:after="0" w:line="240" w:lineRule="auto"/>
              <w:jc w:val="right"/>
              <w:rPr>
                <w:rFonts w:ascii="Arial" w:hAnsi="Arial" w:cs="Arial"/>
                <w:sz w:val="16"/>
                <w:szCs w:val="16"/>
              </w:rPr>
            </w:pPr>
            <w:r w:rsidRPr="00F54907">
              <w:rPr>
                <w:rFonts w:ascii="Arial" w:hAnsi="Arial" w:cs="Arial"/>
                <w:sz w:val="16"/>
                <w:szCs w:val="16"/>
              </w:rPr>
              <w:t>146</w:t>
            </w:r>
          </w:p>
        </w:tc>
        <w:tc>
          <w:tcPr>
            <w:tcW w:w="311" w:type="pct"/>
            <w:tcBorders>
              <w:top w:val="single" w:sz="4" w:space="0" w:color="auto"/>
              <w:left w:val="nil"/>
              <w:bottom w:val="nil"/>
              <w:right w:val="nil"/>
            </w:tcBorders>
            <w:shd w:val="clear" w:color="auto" w:fill="auto"/>
            <w:noWrap/>
            <w:vAlign w:val="center"/>
            <w:hideMark/>
          </w:tcPr>
          <w:p w14:paraId="0FB41237" w14:textId="08E093AC" w:rsidR="00181D7A" w:rsidRPr="00F54907" w:rsidRDefault="00181D7A" w:rsidP="00746D27">
            <w:pPr>
              <w:spacing w:after="0" w:line="240" w:lineRule="auto"/>
              <w:jc w:val="right"/>
              <w:rPr>
                <w:rFonts w:ascii="Arial" w:hAnsi="Arial" w:cs="Arial"/>
                <w:sz w:val="16"/>
                <w:szCs w:val="16"/>
              </w:rPr>
            </w:pPr>
            <w:r w:rsidRPr="00F54907">
              <w:rPr>
                <w:rFonts w:ascii="Arial" w:hAnsi="Arial" w:cs="Arial"/>
                <w:sz w:val="16"/>
                <w:szCs w:val="16"/>
              </w:rPr>
              <w:t>0.3</w:t>
            </w:r>
          </w:p>
        </w:tc>
        <w:tc>
          <w:tcPr>
            <w:tcW w:w="412" w:type="pct"/>
            <w:tcBorders>
              <w:top w:val="single" w:sz="4" w:space="0" w:color="auto"/>
              <w:left w:val="nil"/>
              <w:bottom w:val="nil"/>
              <w:right w:val="nil"/>
            </w:tcBorders>
            <w:shd w:val="clear" w:color="auto" w:fill="E1E8EB"/>
            <w:noWrap/>
            <w:vAlign w:val="center"/>
            <w:hideMark/>
          </w:tcPr>
          <w:p w14:paraId="0A2B77A3" w14:textId="2A8DE528"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112</w:t>
            </w:r>
          </w:p>
        </w:tc>
        <w:tc>
          <w:tcPr>
            <w:tcW w:w="322" w:type="pct"/>
            <w:tcBorders>
              <w:top w:val="single" w:sz="4" w:space="0" w:color="auto"/>
              <w:left w:val="nil"/>
              <w:bottom w:val="nil"/>
              <w:right w:val="nil"/>
            </w:tcBorders>
            <w:shd w:val="clear" w:color="auto" w:fill="E1E8EB"/>
            <w:noWrap/>
            <w:vAlign w:val="center"/>
            <w:hideMark/>
          </w:tcPr>
          <w:p w14:paraId="40996FC6" w14:textId="209D07CD"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0.5</w:t>
            </w:r>
          </w:p>
        </w:tc>
      </w:tr>
      <w:tr w:rsidR="00181D7A" w:rsidRPr="007D0FE9" w14:paraId="3EDE5F28" w14:textId="77777777" w:rsidTr="00405179">
        <w:trPr>
          <w:trHeight w:val="301"/>
        </w:trPr>
        <w:tc>
          <w:tcPr>
            <w:tcW w:w="1872" w:type="pct"/>
            <w:tcBorders>
              <w:top w:val="nil"/>
              <w:left w:val="nil"/>
              <w:bottom w:val="nil"/>
              <w:right w:val="nil"/>
            </w:tcBorders>
            <w:shd w:val="clear" w:color="auto" w:fill="auto"/>
            <w:noWrap/>
            <w:vAlign w:val="bottom"/>
            <w:hideMark/>
          </w:tcPr>
          <w:p w14:paraId="16B5128C" w14:textId="642696AB" w:rsidR="00181D7A" w:rsidRPr="008F6203" w:rsidRDefault="003E7C79" w:rsidP="00746D27">
            <w:pPr>
              <w:spacing w:after="0" w:line="240" w:lineRule="auto"/>
              <w:jc w:val="left"/>
              <w:rPr>
                <w:rFonts w:ascii="Arial" w:hAnsi="Arial" w:cs="Arial"/>
                <w:color w:val="auto"/>
                <w:sz w:val="16"/>
                <w:szCs w:val="16"/>
              </w:rPr>
            </w:pPr>
            <w:r>
              <w:rPr>
                <w:rFonts w:ascii="Arial" w:hAnsi="Arial" w:cs="Arial"/>
                <w:color w:val="auto"/>
                <w:sz w:val="16"/>
                <w:szCs w:val="16"/>
              </w:rPr>
              <w:t>–</w:t>
            </w:r>
            <w:r w:rsidR="00181D7A" w:rsidRPr="00944CAF">
              <w:rPr>
                <w:rFonts w:ascii="Arial" w:hAnsi="Arial" w:cs="Arial"/>
                <w:color w:val="auto"/>
                <w:sz w:val="16"/>
                <w:szCs w:val="16"/>
              </w:rPr>
              <w:t xml:space="preserve"> </w:t>
            </w:r>
            <w:r w:rsidR="00181D7A" w:rsidRPr="00622391">
              <w:rPr>
                <w:rFonts w:ascii="Arial" w:hAnsi="Arial" w:cs="Arial"/>
                <w:color w:val="auto"/>
                <w:sz w:val="16"/>
                <w:szCs w:val="16"/>
              </w:rPr>
              <w:t>EC</w:t>
            </w:r>
          </w:p>
        </w:tc>
        <w:tc>
          <w:tcPr>
            <w:tcW w:w="433" w:type="pct"/>
            <w:tcBorders>
              <w:top w:val="nil"/>
              <w:left w:val="nil"/>
              <w:bottom w:val="single" w:sz="4" w:space="0" w:color="auto"/>
              <w:right w:val="nil"/>
            </w:tcBorders>
            <w:shd w:val="clear" w:color="auto" w:fill="auto"/>
            <w:noWrap/>
            <w:vAlign w:val="center"/>
            <w:hideMark/>
          </w:tcPr>
          <w:p w14:paraId="686DD817" w14:textId="4340F5E6"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13</w:t>
            </w:r>
          </w:p>
        </w:tc>
        <w:tc>
          <w:tcPr>
            <w:tcW w:w="369" w:type="pct"/>
            <w:tcBorders>
              <w:top w:val="nil"/>
              <w:left w:val="nil"/>
              <w:bottom w:val="single" w:sz="4" w:space="0" w:color="auto"/>
              <w:right w:val="nil"/>
            </w:tcBorders>
            <w:shd w:val="clear" w:color="auto" w:fill="auto"/>
            <w:noWrap/>
            <w:vAlign w:val="center"/>
            <w:hideMark/>
          </w:tcPr>
          <w:p w14:paraId="5907DECB" w14:textId="2E265BC3"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0.8</w:t>
            </w:r>
          </w:p>
        </w:tc>
        <w:tc>
          <w:tcPr>
            <w:tcW w:w="414" w:type="pct"/>
            <w:tcBorders>
              <w:top w:val="nil"/>
              <w:left w:val="nil"/>
              <w:bottom w:val="single" w:sz="4" w:space="0" w:color="auto"/>
              <w:right w:val="nil"/>
            </w:tcBorders>
            <w:shd w:val="clear" w:color="auto" w:fill="auto"/>
            <w:noWrap/>
            <w:vAlign w:val="center"/>
            <w:hideMark/>
          </w:tcPr>
          <w:p w14:paraId="1DFAF5ED" w14:textId="565270F0"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40</w:t>
            </w:r>
          </w:p>
        </w:tc>
        <w:tc>
          <w:tcPr>
            <w:tcW w:w="388" w:type="pct"/>
            <w:tcBorders>
              <w:top w:val="nil"/>
              <w:left w:val="nil"/>
              <w:bottom w:val="single" w:sz="4" w:space="0" w:color="auto"/>
              <w:right w:val="nil"/>
            </w:tcBorders>
            <w:shd w:val="clear" w:color="auto" w:fill="auto"/>
            <w:noWrap/>
            <w:vAlign w:val="center"/>
            <w:hideMark/>
          </w:tcPr>
          <w:p w14:paraId="3FB95951" w14:textId="277C8382"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6.8</w:t>
            </w:r>
          </w:p>
        </w:tc>
        <w:tc>
          <w:tcPr>
            <w:tcW w:w="478" w:type="pct"/>
            <w:tcBorders>
              <w:top w:val="nil"/>
              <w:left w:val="nil"/>
              <w:bottom w:val="single" w:sz="4" w:space="0" w:color="auto"/>
              <w:right w:val="nil"/>
            </w:tcBorders>
            <w:shd w:val="clear" w:color="auto" w:fill="auto"/>
            <w:noWrap/>
            <w:vAlign w:val="center"/>
            <w:hideMark/>
          </w:tcPr>
          <w:p w14:paraId="44A4588F" w14:textId="3FCB7087" w:rsidR="00181D7A" w:rsidRPr="00F54907" w:rsidRDefault="00181D7A" w:rsidP="006B32E3">
            <w:pPr>
              <w:spacing w:after="0" w:line="240" w:lineRule="auto"/>
              <w:jc w:val="right"/>
              <w:rPr>
                <w:rFonts w:ascii="Arial" w:hAnsi="Arial" w:cs="Arial"/>
                <w:sz w:val="16"/>
                <w:szCs w:val="16"/>
              </w:rPr>
            </w:pPr>
            <w:r w:rsidRPr="00F54907">
              <w:rPr>
                <w:rFonts w:ascii="Arial" w:hAnsi="Arial" w:cs="Arial"/>
                <w:sz w:val="16"/>
                <w:szCs w:val="16"/>
              </w:rPr>
              <w:t>40</w:t>
            </w:r>
          </w:p>
        </w:tc>
        <w:tc>
          <w:tcPr>
            <w:tcW w:w="311" w:type="pct"/>
            <w:tcBorders>
              <w:top w:val="nil"/>
              <w:left w:val="nil"/>
              <w:bottom w:val="single" w:sz="4" w:space="0" w:color="auto"/>
              <w:right w:val="nil"/>
            </w:tcBorders>
            <w:shd w:val="clear" w:color="auto" w:fill="auto"/>
            <w:noWrap/>
            <w:vAlign w:val="center"/>
            <w:hideMark/>
          </w:tcPr>
          <w:p w14:paraId="6FE64182" w14:textId="6C6D5F47" w:rsidR="00181D7A" w:rsidRPr="00F54907" w:rsidRDefault="00181D7A" w:rsidP="00746D27">
            <w:pPr>
              <w:spacing w:after="0" w:line="240" w:lineRule="auto"/>
              <w:jc w:val="right"/>
              <w:rPr>
                <w:rFonts w:ascii="Arial" w:hAnsi="Arial" w:cs="Arial"/>
                <w:sz w:val="16"/>
                <w:szCs w:val="16"/>
              </w:rPr>
            </w:pPr>
            <w:r w:rsidRPr="00F54907">
              <w:rPr>
                <w:rFonts w:ascii="Arial" w:hAnsi="Arial" w:cs="Arial"/>
                <w:sz w:val="16"/>
                <w:szCs w:val="16"/>
              </w:rPr>
              <w:t>6.3</w:t>
            </w:r>
          </w:p>
        </w:tc>
        <w:tc>
          <w:tcPr>
            <w:tcW w:w="412" w:type="pct"/>
            <w:tcBorders>
              <w:top w:val="nil"/>
              <w:left w:val="nil"/>
              <w:bottom w:val="nil"/>
              <w:right w:val="nil"/>
            </w:tcBorders>
            <w:shd w:val="clear" w:color="auto" w:fill="E1E8EB"/>
            <w:noWrap/>
            <w:vAlign w:val="center"/>
            <w:hideMark/>
          </w:tcPr>
          <w:p w14:paraId="6F6C1714" w14:textId="0F0A6AE1"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52</w:t>
            </w:r>
          </w:p>
        </w:tc>
        <w:tc>
          <w:tcPr>
            <w:tcW w:w="322" w:type="pct"/>
            <w:tcBorders>
              <w:top w:val="nil"/>
              <w:left w:val="nil"/>
              <w:bottom w:val="nil"/>
              <w:right w:val="nil"/>
            </w:tcBorders>
            <w:shd w:val="clear" w:color="auto" w:fill="E1E8EB"/>
            <w:noWrap/>
            <w:vAlign w:val="center"/>
            <w:hideMark/>
          </w:tcPr>
          <w:p w14:paraId="20BE480A" w14:textId="4A5C1350"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4.5</w:t>
            </w:r>
          </w:p>
        </w:tc>
      </w:tr>
      <w:tr w:rsidR="00181D7A" w:rsidRPr="007D0FE9" w14:paraId="6140DF54" w14:textId="77777777" w:rsidTr="00405179">
        <w:trPr>
          <w:trHeight w:val="301"/>
        </w:trPr>
        <w:tc>
          <w:tcPr>
            <w:tcW w:w="1872" w:type="pct"/>
            <w:tcBorders>
              <w:top w:val="nil"/>
              <w:left w:val="nil"/>
              <w:bottom w:val="nil"/>
              <w:right w:val="nil"/>
            </w:tcBorders>
            <w:shd w:val="clear" w:color="auto" w:fill="auto"/>
            <w:noWrap/>
            <w:vAlign w:val="bottom"/>
            <w:hideMark/>
          </w:tcPr>
          <w:p w14:paraId="73F54BDB" w14:textId="3C4EB512" w:rsidR="00181D7A" w:rsidRPr="008F6203" w:rsidRDefault="00181D7A" w:rsidP="00746D27">
            <w:pPr>
              <w:spacing w:after="0" w:line="240" w:lineRule="auto"/>
              <w:jc w:val="left"/>
              <w:rPr>
                <w:rFonts w:ascii="Arial" w:hAnsi="Arial" w:cs="Arial"/>
                <w:i/>
                <w:iCs/>
                <w:color w:val="auto"/>
                <w:sz w:val="16"/>
                <w:szCs w:val="16"/>
              </w:rPr>
            </w:pPr>
            <w:r w:rsidRPr="00944CAF">
              <w:rPr>
                <w:rFonts w:ascii="Arial" w:hAnsi="Arial" w:cs="Arial"/>
                <w:i/>
                <w:iCs/>
                <w:color w:val="auto"/>
                <w:sz w:val="16"/>
                <w:szCs w:val="16"/>
              </w:rPr>
              <w:t>Sub</w:t>
            </w:r>
            <w:r w:rsidR="003E7C79">
              <w:rPr>
                <w:rFonts w:ascii="Arial" w:hAnsi="Arial" w:cs="Arial"/>
                <w:i/>
                <w:iCs/>
                <w:color w:val="auto"/>
                <w:sz w:val="16"/>
                <w:szCs w:val="16"/>
              </w:rPr>
              <w:t>–</w:t>
            </w:r>
            <w:r w:rsidRPr="008F6203">
              <w:rPr>
                <w:rFonts w:ascii="Arial" w:hAnsi="Arial" w:cs="Arial"/>
                <w:i/>
                <w:iCs/>
                <w:color w:val="auto"/>
                <w:sz w:val="16"/>
                <w:szCs w:val="16"/>
              </w:rPr>
              <w:t xml:space="preserve">total </w:t>
            </w:r>
            <w:r w:rsidR="00065800">
              <w:rPr>
                <w:rFonts w:ascii="Arial" w:hAnsi="Arial" w:cs="Arial"/>
                <w:i/>
                <w:iCs/>
                <w:color w:val="auto"/>
                <w:sz w:val="16"/>
                <w:szCs w:val="16"/>
              </w:rPr>
              <w:t>‘</w:t>
            </w:r>
            <w:r w:rsidRPr="008F6203">
              <w:rPr>
                <w:rFonts w:ascii="Arial" w:hAnsi="Arial" w:cs="Arial"/>
                <w:i/>
                <w:iCs/>
                <w:color w:val="auto"/>
                <w:sz w:val="16"/>
                <w:szCs w:val="16"/>
              </w:rPr>
              <w:t>For development</w:t>
            </w:r>
            <w:r w:rsidR="00065800">
              <w:rPr>
                <w:rFonts w:ascii="Arial" w:hAnsi="Arial" w:cs="Arial"/>
                <w:i/>
                <w:iCs/>
                <w:color w:val="auto"/>
                <w:sz w:val="16"/>
                <w:szCs w:val="16"/>
              </w:rPr>
              <w:t>’</w:t>
            </w:r>
          </w:p>
        </w:tc>
        <w:tc>
          <w:tcPr>
            <w:tcW w:w="433" w:type="pct"/>
            <w:tcBorders>
              <w:top w:val="nil"/>
              <w:left w:val="nil"/>
              <w:bottom w:val="single" w:sz="4" w:space="0" w:color="auto"/>
              <w:right w:val="nil"/>
            </w:tcBorders>
            <w:shd w:val="clear" w:color="000000" w:fill="FFFFFF"/>
            <w:noWrap/>
            <w:vAlign w:val="center"/>
            <w:hideMark/>
          </w:tcPr>
          <w:p w14:paraId="61DFCE2B" w14:textId="7CAC69F2"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8,421</w:t>
            </w:r>
          </w:p>
        </w:tc>
        <w:tc>
          <w:tcPr>
            <w:tcW w:w="369" w:type="pct"/>
            <w:tcBorders>
              <w:top w:val="nil"/>
              <w:left w:val="nil"/>
              <w:bottom w:val="single" w:sz="4" w:space="0" w:color="auto"/>
              <w:right w:val="nil"/>
            </w:tcBorders>
            <w:shd w:val="clear" w:color="auto" w:fill="auto"/>
            <w:noWrap/>
            <w:vAlign w:val="center"/>
            <w:hideMark/>
          </w:tcPr>
          <w:p w14:paraId="61F5425A" w14:textId="7D696C8F"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10.2</w:t>
            </w:r>
          </w:p>
        </w:tc>
        <w:tc>
          <w:tcPr>
            <w:tcW w:w="414" w:type="pct"/>
            <w:tcBorders>
              <w:top w:val="nil"/>
              <w:left w:val="nil"/>
              <w:bottom w:val="single" w:sz="4" w:space="0" w:color="auto"/>
              <w:right w:val="nil"/>
            </w:tcBorders>
            <w:shd w:val="clear" w:color="auto" w:fill="auto"/>
            <w:noWrap/>
            <w:vAlign w:val="center"/>
            <w:hideMark/>
          </w:tcPr>
          <w:p w14:paraId="18FF64C5" w14:textId="307CC6BB"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6,072</w:t>
            </w:r>
          </w:p>
        </w:tc>
        <w:tc>
          <w:tcPr>
            <w:tcW w:w="388" w:type="pct"/>
            <w:tcBorders>
              <w:top w:val="nil"/>
              <w:left w:val="nil"/>
              <w:bottom w:val="single" w:sz="4" w:space="0" w:color="auto"/>
              <w:right w:val="nil"/>
            </w:tcBorders>
            <w:shd w:val="clear" w:color="auto" w:fill="auto"/>
            <w:noWrap/>
            <w:vAlign w:val="center"/>
            <w:hideMark/>
          </w:tcPr>
          <w:p w14:paraId="18C98687" w14:textId="743F2257"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12.9</w:t>
            </w:r>
          </w:p>
        </w:tc>
        <w:tc>
          <w:tcPr>
            <w:tcW w:w="478" w:type="pct"/>
            <w:tcBorders>
              <w:top w:val="nil"/>
              <w:left w:val="nil"/>
              <w:bottom w:val="single" w:sz="4" w:space="0" w:color="auto"/>
              <w:right w:val="nil"/>
            </w:tcBorders>
            <w:shd w:val="clear" w:color="auto" w:fill="auto"/>
            <w:noWrap/>
            <w:vAlign w:val="center"/>
            <w:hideMark/>
          </w:tcPr>
          <w:p w14:paraId="063A9BEC" w14:textId="7AA8C22E" w:rsidR="00181D7A" w:rsidRPr="00F54907" w:rsidRDefault="00181D7A" w:rsidP="006B32E3">
            <w:pPr>
              <w:spacing w:after="0" w:line="240" w:lineRule="auto"/>
              <w:jc w:val="right"/>
              <w:rPr>
                <w:rFonts w:ascii="Arial" w:hAnsi="Arial" w:cs="Arial"/>
                <w:i/>
                <w:sz w:val="16"/>
                <w:szCs w:val="16"/>
              </w:rPr>
            </w:pPr>
            <w:r w:rsidRPr="00F54907">
              <w:rPr>
                <w:rFonts w:ascii="Arial" w:hAnsi="Arial" w:cs="Arial"/>
                <w:i/>
                <w:sz w:val="16"/>
                <w:szCs w:val="16"/>
              </w:rPr>
              <w:t>5,</w:t>
            </w:r>
            <w:r w:rsidRPr="00F54907">
              <w:rPr>
                <w:rFonts w:ascii="Arial" w:hAnsi="Arial" w:cs="Arial"/>
                <w:i/>
                <w:iCs/>
                <w:sz w:val="16"/>
                <w:szCs w:val="16"/>
              </w:rPr>
              <w:t>661</w:t>
            </w:r>
          </w:p>
        </w:tc>
        <w:tc>
          <w:tcPr>
            <w:tcW w:w="311" w:type="pct"/>
            <w:tcBorders>
              <w:top w:val="nil"/>
              <w:left w:val="nil"/>
              <w:bottom w:val="single" w:sz="4" w:space="0" w:color="auto"/>
              <w:right w:val="nil"/>
            </w:tcBorders>
            <w:shd w:val="clear" w:color="auto" w:fill="auto"/>
            <w:noWrap/>
            <w:vAlign w:val="center"/>
            <w:hideMark/>
          </w:tcPr>
          <w:p w14:paraId="117C6D07" w14:textId="01DE4D8F" w:rsidR="00181D7A" w:rsidRPr="00F54907" w:rsidRDefault="00181D7A" w:rsidP="00746D27">
            <w:pPr>
              <w:spacing w:after="0" w:line="240" w:lineRule="auto"/>
              <w:jc w:val="right"/>
              <w:rPr>
                <w:rFonts w:ascii="Arial" w:hAnsi="Arial" w:cs="Arial"/>
                <w:i/>
                <w:sz w:val="16"/>
                <w:szCs w:val="16"/>
              </w:rPr>
            </w:pPr>
            <w:r w:rsidRPr="00F54907">
              <w:rPr>
                <w:rFonts w:ascii="Arial" w:hAnsi="Arial" w:cs="Arial"/>
                <w:i/>
                <w:sz w:val="16"/>
                <w:szCs w:val="16"/>
              </w:rPr>
              <w:t>12.1</w:t>
            </w:r>
          </w:p>
        </w:tc>
        <w:tc>
          <w:tcPr>
            <w:tcW w:w="412" w:type="pct"/>
            <w:tcBorders>
              <w:top w:val="single" w:sz="4" w:space="0" w:color="auto"/>
              <w:left w:val="nil"/>
              <w:bottom w:val="single" w:sz="4" w:space="0" w:color="auto"/>
              <w:right w:val="nil"/>
            </w:tcBorders>
            <w:shd w:val="clear" w:color="auto" w:fill="E1E8EB"/>
            <w:noWrap/>
            <w:vAlign w:val="center"/>
            <w:hideMark/>
          </w:tcPr>
          <w:p w14:paraId="6D6F532C" w14:textId="31F239D1"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3,026</w:t>
            </w:r>
          </w:p>
        </w:tc>
        <w:tc>
          <w:tcPr>
            <w:tcW w:w="322" w:type="pct"/>
            <w:tcBorders>
              <w:top w:val="single" w:sz="4" w:space="0" w:color="auto"/>
              <w:left w:val="nil"/>
              <w:bottom w:val="single" w:sz="4" w:space="0" w:color="auto"/>
              <w:right w:val="nil"/>
            </w:tcBorders>
            <w:shd w:val="clear" w:color="auto" w:fill="E1E8EB"/>
            <w:noWrap/>
            <w:vAlign w:val="center"/>
            <w:hideMark/>
          </w:tcPr>
          <w:p w14:paraId="62D6B093" w14:textId="4B5613D0"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8.8</w:t>
            </w:r>
          </w:p>
        </w:tc>
      </w:tr>
      <w:tr w:rsidR="00181D7A" w:rsidRPr="007D0FE9" w14:paraId="35DA2F0B" w14:textId="77777777" w:rsidTr="00405179">
        <w:trPr>
          <w:trHeight w:val="301"/>
        </w:trPr>
        <w:tc>
          <w:tcPr>
            <w:tcW w:w="1872" w:type="pct"/>
            <w:tcBorders>
              <w:top w:val="nil"/>
              <w:left w:val="nil"/>
              <w:bottom w:val="nil"/>
              <w:right w:val="nil"/>
            </w:tcBorders>
            <w:shd w:val="clear" w:color="auto" w:fill="auto"/>
            <w:vAlign w:val="bottom"/>
            <w:hideMark/>
          </w:tcPr>
          <w:p w14:paraId="10C470E3" w14:textId="7CDA1C74" w:rsidR="00181D7A" w:rsidRPr="008F6203" w:rsidRDefault="00181D7A"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Combination E</w:t>
            </w:r>
            <w:r w:rsidRPr="00622391">
              <w:rPr>
                <w:rFonts w:ascii="Arial" w:hAnsi="Arial" w:cs="Arial"/>
                <w:color w:val="auto"/>
                <w:sz w:val="16"/>
                <w:szCs w:val="16"/>
              </w:rPr>
              <w:t>Cs</w:t>
            </w:r>
          </w:p>
        </w:tc>
        <w:tc>
          <w:tcPr>
            <w:tcW w:w="433" w:type="pct"/>
            <w:tcBorders>
              <w:top w:val="nil"/>
              <w:left w:val="nil"/>
              <w:bottom w:val="nil"/>
              <w:right w:val="nil"/>
            </w:tcBorders>
            <w:shd w:val="clear" w:color="auto" w:fill="auto"/>
            <w:noWrap/>
            <w:vAlign w:val="center"/>
            <w:hideMark/>
          </w:tcPr>
          <w:p w14:paraId="2A0EA7EF" w14:textId="77777777" w:rsidR="00181D7A" w:rsidRPr="00F54907" w:rsidRDefault="00181D7A" w:rsidP="00746D27">
            <w:pPr>
              <w:spacing w:after="0" w:line="240" w:lineRule="auto"/>
              <w:jc w:val="right"/>
              <w:rPr>
                <w:rFonts w:ascii="Times New Roman" w:hAnsi="Times New Roman"/>
                <w:color w:val="auto"/>
              </w:rPr>
            </w:pPr>
          </w:p>
        </w:tc>
        <w:tc>
          <w:tcPr>
            <w:tcW w:w="369" w:type="pct"/>
            <w:tcBorders>
              <w:top w:val="nil"/>
              <w:left w:val="nil"/>
              <w:bottom w:val="nil"/>
              <w:right w:val="nil"/>
            </w:tcBorders>
            <w:shd w:val="clear" w:color="auto" w:fill="auto"/>
            <w:noWrap/>
            <w:vAlign w:val="center"/>
            <w:hideMark/>
          </w:tcPr>
          <w:p w14:paraId="0F4D3DB1" w14:textId="77777777" w:rsidR="00181D7A" w:rsidRPr="00F54907" w:rsidRDefault="00181D7A" w:rsidP="00746D27">
            <w:pPr>
              <w:spacing w:after="0" w:line="240" w:lineRule="auto"/>
              <w:jc w:val="right"/>
              <w:rPr>
                <w:rFonts w:ascii="Times New Roman" w:hAnsi="Times New Roman"/>
                <w:color w:val="auto"/>
              </w:rPr>
            </w:pPr>
          </w:p>
        </w:tc>
        <w:tc>
          <w:tcPr>
            <w:tcW w:w="414" w:type="pct"/>
            <w:tcBorders>
              <w:top w:val="nil"/>
              <w:left w:val="nil"/>
              <w:bottom w:val="nil"/>
              <w:right w:val="nil"/>
            </w:tcBorders>
            <w:shd w:val="clear" w:color="auto" w:fill="auto"/>
            <w:noWrap/>
            <w:vAlign w:val="center"/>
            <w:hideMark/>
          </w:tcPr>
          <w:p w14:paraId="214455D1" w14:textId="0B39A045" w:rsidR="00181D7A" w:rsidRPr="00F54907" w:rsidRDefault="00181D7A" w:rsidP="00746D27">
            <w:pPr>
              <w:spacing w:after="0" w:line="240" w:lineRule="auto"/>
              <w:jc w:val="right"/>
              <w:rPr>
                <w:rFonts w:ascii="Times New Roman" w:hAnsi="Times New Roman"/>
                <w:color w:val="auto"/>
              </w:rPr>
            </w:pPr>
          </w:p>
        </w:tc>
        <w:tc>
          <w:tcPr>
            <w:tcW w:w="388" w:type="pct"/>
            <w:tcBorders>
              <w:top w:val="nil"/>
              <w:left w:val="nil"/>
              <w:bottom w:val="nil"/>
              <w:right w:val="nil"/>
            </w:tcBorders>
            <w:shd w:val="clear" w:color="auto" w:fill="auto"/>
            <w:noWrap/>
            <w:vAlign w:val="center"/>
            <w:hideMark/>
          </w:tcPr>
          <w:p w14:paraId="559CF456" w14:textId="77777777" w:rsidR="00181D7A" w:rsidRPr="00F54907" w:rsidRDefault="00181D7A" w:rsidP="00746D27">
            <w:pPr>
              <w:spacing w:after="0" w:line="240" w:lineRule="auto"/>
              <w:jc w:val="right"/>
              <w:rPr>
                <w:rFonts w:ascii="Times New Roman" w:hAnsi="Times New Roman"/>
                <w:color w:val="auto"/>
              </w:rPr>
            </w:pPr>
          </w:p>
        </w:tc>
        <w:tc>
          <w:tcPr>
            <w:tcW w:w="478" w:type="pct"/>
            <w:tcBorders>
              <w:top w:val="nil"/>
              <w:left w:val="nil"/>
              <w:bottom w:val="nil"/>
              <w:right w:val="nil"/>
            </w:tcBorders>
            <w:shd w:val="clear" w:color="auto" w:fill="auto"/>
            <w:noWrap/>
            <w:vAlign w:val="center"/>
            <w:hideMark/>
          </w:tcPr>
          <w:p w14:paraId="0156770A" w14:textId="77777777" w:rsidR="00181D7A" w:rsidRPr="00F54907" w:rsidRDefault="00181D7A" w:rsidP="00746D27">
            <w:pPr>
              <w:spacing w:after="0" w:line="240" w:lineRule="auto"/>
              <w:jc w:val="right"/>
              <w:rPr>
                <w:rFonts w:ascii="Times New Roman" w:hAnsi="Times New Roman"/>
                <w:color w:val="auto"/>
              </w:rPr>
            </w:pPr>
          </w:p>
        </w:tc>
        <w:tc>
          <w:tcPr>
            <w:tcW w:w="311" w:type="pct"/>
            <w:tcBorders>
              <w:top w:val="nil"/>
              <w:left w:val="nil"/>
              <w:bottom w:val="nil"/>
              <w:right w:val="nil"/>
            </w:tcBorders>
            <w:shd w:val="clear" w:color="auto" w:fill="auto"/>
            <w:noWrap/>
            <w:vAlign w:val="center"/>
            <w:hideMark/>
          </w:tcPr>
          <w:p w14:paraId="6D216E68" w14:textId="77777777" w:rsidR="00181D7A" w:rsidRPr="00F54907" w:rsidRDefault="00181D7A" w:rsidP="00746D27">
            <w:pPr>
              <w:spacing w:after="0" w:line="240" w:lineRule="auto"/>
              <w:jc w:val="right"/>
              <w:rPr>
                <w:rFonts w:ascii="Times New Roman" w:hAnsi="Times New Roman"/>
                <w:color w:val="auto"/>
              </w:rPr>
            </w:pPr>
          </w:p>
        </w:tc>
        <w:tc>
          <w:tcPr>
            <w:tcW w:w="412" w:type="pct"/>
            <w:tcBorders>
              <w:top w:val="nil"/>
              <w:left w:val="nil"/>
              <w:right w:val="nil"/>
            </w:tcBorders>
            <w:shd w:val="clear" w:color="auto" w:fill="E1E8EB"/>
            <w:noWrap/>
            <w:vAlign w:val="center"/>
            <w:hideMark/>
          </w:tcPr>
          <w:p w14:paraId="36957954" w14:textId="77777777" w:rsidR="00181D7A" w:rsidRPr="00944CAF" w:rsidRDefault="00181D7A" w:rsidP="00746D27">
            <w:pPr>
              <w:spacing w:after="0" w:line="240" w:lineRule="auto"/>
              <w:jc w:val="right"/>
              <w:rPr>
                <w:rFonts w:ascii="Arial" w:hAnsi="Arial" w:cs="Arial"/>
                <w:i/>
                <w:iCs/>
                <w:color w:val="FF0000"/>
                <w:sz w:val="16"/>
                <w:szCs w:val="16"/>
              </w:rPr>
            </w:pPr>
            <w:r w:rsidRPr="00944CAF">
              <w:rPr>
                <w:rFonts w:ascii="Arial" w:hAnsi="Arial" w:cs="Arial"/>
                <w:i/>
                <w:iCs/>
                <w:color w:val="FF0000"/>
                <w:sz w:val="16"/>
                <w:szCs w:val="16"/>
              </w:rPr>
              <w:t> </w:t>
            </w:r>
          </w:p>
        </w:tc>
        <w:tc>
          <w:tcPr>
            <w:tcW w:w="322" w:type="pct"/>
            <w:tcBorders>
              <w:top w:val="nil"/>
              <w:left w:val="nil"/>
              <w:right w:val="nil"/>
            </w:tcBorders>
            <w:shd w:val="clear" w:color="auto" w:fill="E1E8EB"/>
            <w:noWrap/>
            <w:vAlign w:val="center"/>
            <w:hideMark/>
          </w:tcPr>
          <w:p w14:paraId="1F5C5FF6" w14:textId="77777777" w:rsidR="00181D7A" w:rsidRPr="008F6203" w:rsidRDefault="00181D7A" w:rsidP="00746D27">
            <w:pPr>
              <w:spacing w:after="0" w:line="240" w:lineRule="auto"/>
              <w:jc w:val="right"/>
              <w:rPr>
                <w:rFonts w:ascii="Arial" w:hAnsi="Arial" w:cs="Arial"/>
                <w:i/>
                <w:iCs/>
                <w:color w:val="FF0000"/>
                <w:sz w:val="16"/>
                <w:szCs w:val="16"/>
              </w:rPr>
            </w:pPr>
            <w:r w:rsidRPr="008F6203">
              <w:rPr>
                <w:rFonts w:ascii="Arial" w:hAnsi="Arial" w:cs="Arial"/>
                <w:i/>
                <w:iCs/>
                <w:color w:val="FF0000"/>
                <w:sz w:val="16"/>
                <w:szCs w:val="16"/>
              </w:rPr>
              <w:t> </w:t>
            </w:r>
          </w:p>
        </w:tc>
      </w:tr>
      <w:tr w:rsidR="00181D7A" w:rsidRPr="007D0FE9" w14:paraId="758F774F" w14:textId="77777777" w:rsidTr="00405179">
        <w:trPr>
          <w:trHeight w:val="301"/>
        </w:trPr>
        <w:tc>
          <w:tcPr>
            <w:tcW w:w="1872" w:type="pct"/>
            <w:tcBorders>
              <w:top w:val="nil"/>
              <w:left w:val="nil"/>
              <w:bottom w:val="single" w:sz="4" w:space="0" w:color="auto"/>
              <w:right w:val="nil"/>
            </w:tcBorders>
            <w:shd w:val="clear" w:color="auto" w:fill="auto"/>
            <w:vAlign w:val="bottom"/>
            <w:hideMark/>
          </w:tcPr>
          <w:p w14:paraId="0E4B8833" w14:textId="7E0E6A55" w:rsidR="00181D7A" w:rsidRPr="008F6203" w:rsidRDefault="003E7C79" w:rsidP="00746D27">
            <w:pPr>
              <w:spacing w:after="0" w:line="240" w:lineRule="auto"/>
              <w:jc w:val="left"/>
              <w:rPr>
                <w:rFonts w:ascii="Arial" w:hAnsi="Arial" w:cs="Arial"/>
                <w:color w:val="auto"/>
                <w:sz w:val="16"/>
                <w:szCs w:val="16"/>
              </w:rPr>
            </w:pPr>
            <w:r>
              <w:rPr>
                <w:rFonts w:ascii="Arial" w:hAnsi="Arial" w:cs="Arial"/>
                <w:color w:val="auto"/>
                <w:sz w:val="16"/>
                <w:szCs w:val="16"/>
              </w:rPr>
              <w:t>–</w:t>
            </w:r>
            <w:r w:rsidR="00181D7A" w:rsidRPr="00944CAF">
              <w:rPr>
                <w:rFonts w:ascii="Arial" w:hAnsi="Arial" w:cs="Arial"/>
                <w:color w:val="auto"/>
                <w:sz w:val="16"/>
                <w:szCs w:val="16"/>
              </w:rPr>
              <w:t xml:space="preserve"> established dwelling / vacant lan</w:t>
            </w:r>
            <w:r w:rsidR="00181D7A" w:rsidRPr="008F6203">
              <w:rPr>
                <w:rFonts w:ascii="Arial" w:hAnsi="Arial" w:cs="Arial"/>
                <w:color w:val="auto"/>
                <w:sz w:val="16"/>
                <w:szCs w:val="16"/>
              </w:rPr>
              <w:t>d / new dwellings</w:t>
            </w:r>
          </w:p>
        </w:tc>
        <w:tc>
          <w:tcPr>
            <w:tcW w:w="433" w:type="pct"/>
            <w:tcBorders>
              <w:top w:val="nil"/>
              <w:left w:val="nil"/>
              <w:bottom w:val="single" w:sz="4" w:space="0" w:color="auto"/>
              <w:right w:val="nil"/>
            </w:tcBorders>
            <w:shd w:val="clear" w:color="auto" w:fill="auto"/>
            <w:noWrap/>
            <w:vAlign w:val="center"/>
            <w:hideMark/>
          </w:tcPr>
          <w:p w14:paraId="6B2E186C" w14:textId="77777777" w:rsidR="00181D7A" w:rsidRPr="00F54907" w:rsidRDefault="00181D7A" w:rsidP="00746D27">
            <w:pPr>
              <w:spacing w:after="0" w:line="240" w:lineRule="auto"/>
              <w:jc w:val="right"/>
              <w:rPr>
                <w:rFonts w:ascii="Arial" w:hAnsi="Arial" w:cs="Arial"/>
                <w:i/>
                <w:color w:val="auto"/>
                <w:sz w:val="16"/>
                <w:szCs w:val="16"/>
              </w:rPr>
            </w:pPr>
            <w:proofErr w:type="spellStart"/>
            <w:r w:rsidRPr="00F54907">
              <w:rPr>
                <w:rFonts w:ascii="Arial" w:hAnsi="Arial" w:cs="Arial"/>
                <w:i/>
                <w:color w:val="auto"/>
                <w:sz w:val="16"/>
                <w:szCs w:val="16"/>
              </w:rPr>
              <w:t>na</w:t>
            </w:r>
            <w:proofErr w:type="spellEnd"/>
          </w:p>
        </w:tc>
        <w:tc>
          <w:tcPr>
            <w:tcW w:w="369" w:type="pct"/>
            <w:tcBorders>
              <w:top w:val="nil"/>
              <w:left w:val="nil"/>
              <w:bottom w:val="single" w:sz="4" w:space="0" w:color="auto"/>
              <w:right w:val="nil"/>
            </w:tcBorders>
            <w:shd w:val="clear" w:color="auto" w:fill="auto"/>
            <w:vAlign w:val="center"/>
            <w:hideMark/>
          </w:tcPr>
          <w:p w14:paraId="626BCCFD" w14:textId="77777777" w:rsidR="00181D7A" w:rsidRPr="00F54907" w:rsidRDefault="00181D7A" w:rsidP="00746D27">
            <w:pPr>
              <w:spacing w:after="0" w:line="240" w:lineRule="auto"/>
              <w:jc w:val="right"/>
              <w:rPr>
                <w:rFonts w:ascii="Arial" w:hAnsi="Arial" w:cs="Arial"/>
                <w:i/>
                <w:color w:val="auto"/>
                <w:sz w:val="16"/>
                <w:szCs w:val="16"/>
              </w:rPr>
            </w:pPr>
            <w:proofErr w:type="spellStart"/>
            <w:r w:rsidRPr="00F54907">
              <w:rPr>
                <w:rFonts w:ascii="Arial" w:hAnsi="Arial" w:cs="Arial"/>
                <w:i/>
                <w:color w:val="auto"/>
                <w:sz w:val="16"/>
                <w:szCs w:val="16"/>
              </w:rPr>
              <w:t>na</w:t>
            </w:r>
            <w:proofErr w:type="spellEnd"/>
          </w:p>
        </w:tc>
        <w:tc>
          <w:tcPr>
            <w:tcW w:w="414" w:type="pct"/>
            <w:tcBorders>
              <w:top w:val="nil"/>
              <w:left w:val="nil"/>
              <w:bottom w:val="single" w:sz="4" w:space="0" w:color="auto"/>
              <w:right w:val="nil"/>
            </w:tcBorders>
            <w:shd w:val="clear" w:color="auto" w:fill="auto"/>
            <w:noWrap/>
            <w:vAlign w:val="center"/>
            <w:hideMark/>
          </w:tcPr>
          <w:p w14:paraId="5CA3EA16" w14:textId="1AD17BBA"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126</w:t>
            </w:r>
          </w:p>
        </w:tc>
        <w:tc>
          <w:tcPr>
            <w:tcW w:w="388" w:type="pct"/>
            <w:tcBorders>
              <w:top w:val="nil"/>
              <w:left w:val="nil"/>
              <w:bottom w:val="single" w:sz="4" w:space="0" w:color="auto"/>
              <w:right w:val="nil"/>
            </w:tcBorders>
            <w:shd w:val="clear" w:color="auto" w:fill="auto"/>
            <w:vAlign w:val="center"/>
            <w:hideMark/>
          </w:tcPr>
          <w:p w14:paraId="17584894" w14:textId="05A85B33" w:rsidR="00181D7A" w:rsidRPr="00F54907" w:rsidRDefault="00181D7A" w:rsidP="00746D27">
            <w:pPr>
              <w:spacing w:after="0" w:line="240" w:lineRule="auto"/>
              <w:jc w:val="right"/>
              <w:rPr>
                <w:rFonts w:ascii="Arial" w:hAnsi="Arial" w:cs="Arial"/>
                <w:i/>
                <w:color w:val="auto"/>
                <w:sz w:val="16"/>
                <w:szCs w:val="16"/>
              </w:rPr>
            </w:pPr>
            <w:r w:rsidRPr="00F54907">
              <w:rPr>
                <w:rFonts w:ascii="Arial" w:hAnsi="Arial" w:cs="Arial"/>
                <w:i/>
                <w:color w:val="auto"/>
                <w:sz w:val="16"/>
                <w:szCs w:val="16"/>
              </w:rPr>
              <w:t>0.1</w:t>
            </w:r>
          </w:p>
        </w:tc>
        <w:tc>
          <w:tcPr>
            <w:tcW w:w="478" w:type="pct"/>
            <w:tcBorders>
              <w:top w:val="nil"/>
              <w:left w:val="nil"/>
              <w:bottom w:val="single" w:sz="4" w:space="0" w:color="auto"/>
              <w:right w:val="nil"/>
            </w:tcBorders>
            <w:shd w:val="clear" w:color="000000" w:fill="FFFFFF"/>
            <w:vAlign w:val="center"/>
            <w:hideMark/>
          </w:tcPr>
          <w:p w14:paraId="30E50F89" w14:textId="26BF7491"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291</w:t>
            </w:r>
          </w:p>
        </w:tc>
        <w:tc>
          <w:tcPr>
            <w:tcW w:w="311" w:type="pct"/>
            <w:tcBorders>
              <w:top w:val="nil"/>
              <w:left w:val="nil"/>
              <w:bottom w:val="single" w:sz="4" w:space="0" w:color="auto"/>
              <w:right w:val="nil"/>
            </w:tcBorders>
            <w:shd w:val="clear" w:color="000000" w:fill="FFFFFF"/>
            <w:vAlign w:val="center"/>
            <w:hideMark/>
          </w:tcPr>
          <w:p w14:paraId="5E91D655" w14:textId="19E7ABA1"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0.4</w:t>
            </w:r>
          </w:p>
        </w:tc>
        <w:tc>
          <w:tcPr>
            <w:tcW w:w="412" w:type="pct"/>
            <w:tcBorders>
              <w:top w:val="nil"/>
              <w:left w:val="nil"/>
              <w:bottom w:val="single" w:sz="4" w:space="0" w:color="auto"/>
              <w:right w:val="nil"/>
            </w:tcBorders>
            <w:shd w:val="clear" w:color="auto" w:fill="E1E8EB"/>
            <w:noWrap/>
            <w:vAlign w:val="center"/>
            <w:hideMark/>
          </w:tcPr>
          <w:p w14:paraId="1BD8535F" w14:textId="67B007DE"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692</w:t>
            </w:r>
          </w:p>
        </w:tc>
        <w:tc>
          <w:tcPr>
            <w:tcW w:w="322" w:type="pct"/>
            <w:tcBorders>
              <w:top w:val="nil"/>
              <w:left w:val="nil"/>
              <w:bottom w:val="single" w:sz="4" w:space="0" w:color="auto"/>
              <w:right w:val="nil"/>
            </w:tcBorders>
            <w:shd w:val="clear" w:color="auto" w:fill="E1E8EB"/>
            <w:noWrap/>
            <w:vAlign w:val="center"/>
            <w:hideMark/>
          </w:tcPr>
          <w:p w14:paraId="55032AD8" w14:textId="672ABB51" w:rsidR="00181D7A" w:rsidRPr="00F54907" w:rsidRDefault="00181D7A"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0.7</w:t>
            </w:r>
          </w:p>
        </w:tc>
      </w:tr>
      <w:tr w:rsidR="00181D7A" w:rsidRPr="007D0FE9" w14:paraId="790FB838" w14:textId="77777777" w:rsidTr="00405179">
        <w:trPr>
          <w:trHeight w:val="301"/>
        </w:trPr>
        <w:tc>
          <w:tcPr>
            <w:tcW w:w="1872" w:type="pct"/>
            <w:tcBorders>
              <w:top w:val="single" w:sz="4" w:space="0" w:color="auto"/>
              <w:left w:val="nil"/>
              <w:bottom w:val="single" w:sz="4" w:space="0" w:color="auto"/>
              <w:right w:val="nil"/>
            </w:tcBorders>
            <w:shd w:val="clear" w:color="auto" w:fill="auto"/>
            <w:noWrap/>
            <w:vAlign w:val="bottom"/>
            <w:hideMark/>
          </w:tcPr>
          <w:p w14:paraId="1BE0FF8C" w14:textId="77777777" w:rsidR="00181D7A" w:rsidRPr="00944CAF" w:rsidRDefault="00181D7A" w:rsidP="00746D27">
            <w:pPr>
              <w:spacing w:after="0" w:line="240" w:lineRule="auto"/>
              <w:jc w:val="left"/>
              <w:rPr>
                <w:rFonts w:ascii="Arial" w:hAnsi="Arial" w:cs="Arial"/>
                <w:b/>
                <w:bCs/>
                <w:sz w:val="16"/>
                <w:szCs w:val="16"/>
              </w:rPr>
            </w:pPr>
            <w:r w:rsidRPr="00944CAF">
              <w:rPr>
                <w:rFonts w:ascii="Arial" w:hAnsi="Arial" w:cs="Arial"/>
                <w:b/>
                <w:bCs/>
                <w:sz w:val="16"/>
                <w:szCs w:val="16"/>
              </w:rPr>
              <w:t xml:space="preserve">Total residential </w:t>
            </w:r>
          </w:p>
        </w:tc>
        <w:tc>
          <w:tcPr>
            <w:tcW w:w="433" w:type="pct"/>
            <w:tcBorders>
              <w:top w:val="nil"/>
              <w:left w:val="nil"/>
              <w:bottom w:val="single" w:sz="4" w:space="0" w:color="auto"/>
              <w:right w:val="nil"/>
            </w:tcBorders>
            <w:shd w:val="clear" w:color="000000" w:fill="FFFFFF"/>
            <w:noWrap/>
            <w:vAlign w:val="center"/>
            <w:hideMark/>
          </w:tcPr>
          <w:p w14:paraId="38BE8EC6" w14:textId="402E5AFF" w:rsidR="00181D7A" w:rsidRPr="00F54907" w:rsidRDefault="00181D7A" w:rsidP="00746D27">
            <w:pPr>
              <w:spacing w:after="0" w:line="240" w:lineRule="auto"/>
              <w:jc w:val="right"/>
              <w:rPr>
                <w:rFonts w:ascii="Arial" w:hAnsi="Arial" w:cs="Arial"/>
                <w:b/>
                <w:color w:val="auto"/>
                <w:sz w:val="16"/>
                <w:szCs w:val="16"/>
              </w:rPr>
            </w:pPr>
            <w:r w:rsidRPr="00F54907">
              <w:rPr>
                <w:rFonts w:ascii="Arial" w:hAnsi="Arial" w:cs="Arial"/>
                <w:b/>
                <w:color w:val="auto"/>
                <w:sz w:val="16"/>
                <w:szCs w:val="16"/>
              </w:rPr>
              <w:t>10,036</w:t>
            </w:r>
          </w:p>
        </w:tc>
        <w:tc>
          <w:tcPr>
            <w:tcW w:w="369" w:type="pct"/>
            <w:tcBorders>
              <w:top w:val="nil"/>
              <w:left w:val="nil"/>
              <w:bottom w:val="single" w:sz="4" w:space="0" w:color="auto"/>
              <w:right w:val="nil"/>
            </w:tcBorders>
            <w:shd w:val="clear" w:color="auto" w:fill="auto"/>
            <w:noWrap/>
            <w:vAlign w:val="center"/>
            <w:hideMark/>
          </w:tcPr>
          <w:p w14:paraId="01781F38" w14:textId="4D65C360" w:rsidR="00181D7A" w:rsidRPr="00F54907" w:rsidRDefault="00181D7A" w:rsidP="00746D27">
            <w:pPr>
              <w:spacing w:after="0" w:line="240" w:lineRule="auto"/>
              <w:jc w:val="right"/>
              <w:rPr>
                <w:rFonts w:ascii="Arial" w:hAnsi="Arial" w:cs="Arial"/>
                <w:b/>
                <w:color w:val="auto"/>
                <w:sz w:val="16"/>
                <w:szCs w:val="16"/>
              </w:rPr>
            </w:pPr>
            <w:r w:rsidRPr="00F54907">
              <w:rPr>
                <w:rFonts w:ascii="Arial" w:hAnsi="Arial" w:cs="Arial"/>
                <w:b/>
                <w:color w:val="auto"/>
                <w:sz w:val="16"/>
                <w:szCs w:val="16"/>
              </w:rPr>
              <w:t>12.5</w:t>
            </w:r>
          </w:p>
        </w:tc>
        <w:tc>
          <w:tcPr>
            <w:tcW w:w="414" w:type="pct"/>
            <w:tcBorders>
              <w:top w:val="nil"/>
              <w:left w:val="nil"/>
              <w:bottom w:val="single" w:sz="4" w:space="0" w:color="auto"/>
              <w:right w:val="nil"/>
            </w:tcBorders>
            <w:shd w:val="clear" w:color="000000" w:fill="FFFFFF"/>
            <w:noWrap/>
            <w:vAlign w:val="center"/>
            <w:hideMark/>
          </w:tcPr>
          <w:p w14:paraId="78526049" w14:textId="2E333199" w:rsidR="00181D7A" w:rsidRPr="00F54907" w:rsidRDefault="00181D7A" w:rsidP="00746D27">
            <w:pPr>
              <w:spacing w:after="0" w:line="240" w:lineRule="auto"/>
              <w:jc w:val="right"/>
              <w:rPr>
                <w:rFonts w:ascii="Arial" w:hAnsi="Arial" w:cs="Arial"/>
                <w:b/>
                <w:color w:val="auto"/>
                <w:sz w:val="16"/>
                <w:szCs w:val="16"/>
              </w:rPr>
            </w:pPr>
            <w:r w:rsidRPr="00F54907">
              <w:rPr>
                <w:rFonts w:ascii="Arial" w:hAnsi="Arial" w:cs="Arial"/>
                <w:b/>
                <w:color w:val="auto"/>
                <w:sz w:val="16"/>
                <w:szCs w:val="16"/>
              </w:rPr>
              <w:t>7,511</w:t>
            </w:r>
          </w:p>
        </w:tc>
        <w:tc>
          <w:tcPr>
            <w:tcW w:w="388" w:type="pct"/>
            <w:tcBorders>
              <w:top w:val="nil"/>
              <w:left w:val="nil"/>
              <w:bottom w:val="single" w:sz="4" w:space="0" w:color="auto"/>
              <w:right w:val="nil"/>
            </w:tcBorders>
            <w:shd w:val="clear" w:color="auto" w:fill="auto"/>
            <w:noWrap/>
            <w:vAlign w:val="center"/>
            <w:hideMark/>
          </w:tcPr>
          <w:p w14:paraId="0B44D286" w14:textId="61A14759" w:rsidR="00181D7A" w:rsidRPr="00F54907" w:rsidRDefault="00181D7A" w:rsidP="00746D27">
            <w:pPr>
              <w:spacing w:after="0" w:line="240" w:lineRule="auto"/>
              <w:jc w:val="right"/>
              <w:rPr>
                <w:rFonts w:ascii="Arial" w:hAnsi="Arial" w:cs="Arial"/>
                <w:b/>
                <w:color w:val="auto"/>
                <w:sz w:val="16"/>
                <w:szCs w:val="16"/>
              </w:rPr>
            </w:pPr>
            <w:r w:rsidRPr="00F54907">
              <w:rPr>
                <w:rFonts w:ascii="Arial" w:hAnsi="Arial" w:cs="Arial"/>
                <w:b/>
                <w:color w:val="auto"/>
                <w:sz w:val="16"/>
                <w:szCs w:val="16"/>
              </w:rPr>
              <w:t>14.8</w:t>
            </w:r>
          </w:p>
        </w:tc>
        <w:tc>
          <w:tcPr>
            <w:tcW w:w="478" w:type="pct"/>
            <w:tcBorders>
              <w:top w:val="nil"/>
              <w:left w:val="nil"/>
              <w:bottom w:val="single" w:sz="4" w:space="0" w:color="auto"/>
              <w:right w:val="nil"/>
            </w:tcBorders>
            <w:shd w:val="clear" w:color="000000" w:fill="FFFFFF"/>
            <w:noWrap/>
            <w:vAlign w:val="center"/>
            <w:hideMark/>
          </w:tcPr>
          <w:p w14:paraId="6A4D2363" w14:textId="033B1A6C" w:rsidR="00181D7A" w:rsidRPr="00F54907" w:rsidRDefault="00181D7A" w:rsidP="00746D27">
            <w:pPr>
              <w:spacing w:after="0" w:line="240" w:lineRule="auto"/>
              <w:jc w:val="right"/>
              <w:rPr>
                <w:rFonts w:ascii="Arial" w:hAnsi="Arial" w:cs="Arial"/>
                <w:b/>
                <w:color w:val="auto"/>
                <w:sz w:val="16"/>
                <w:szCs w:val="16"/>
              </w:rPr>
            </w:pPr>
            <w:r w:rsidRPr="00F54907">
              <w:rPr>
                <w:rFonts w:ascii="Arial" w:hAnsi="Arial" w:cs="Arial"/>
                <w:b/>
                <w:color w:val="auto"/>
                <w:sz w:val="16"/>
                <w:szCs w:val="16"/>
              </w:rPr>
              <w:t>7,056</w:t>
            </w:r>
          </w:p>
        </w:tc>
        <w:tc>
          <w:tcPr>
            <w:tcW w:w="311" w:type="pct"/>
            <w:tcBorders>
              <w:top w:val="nil"/>
              <w:left w:val="nil"/>
              <w:bottom w:val="single" w:sz="4" w:space="0" w:color="auto"/>
              <w:right w:val="nil"/>
            </w:tcBorders>
            <w:shd w:val="clear" w:color="auto" w:fill="auto"/>
            <w:noWrap/>
            <w:vAlign w:val="center"/>
            <w:hideMark/>
          </w:tcPr>
          <w:p w14:paraId="2C537C76" w14:textId="0D7142BB" w:rsidR="00181D7A" w:rsidRPr="00F54907" w:rsidRDefault="00181D7A" w:rsidP="00746D27">
            <w:pPr>
              <w:spacing w:after="0" w:line="240" w:lineRule="auto"/>
              <w:jc w:val="right"/>
              <w:rPr>
                <w:rFonts w:ascii="Arial" w:hAnsi="Arial" w:cs="Arial"/>
                <w:b/>
                <w:color w:val="auto"/>
                <w:sz w:val="16"/>
                <w:szCs w:val="16"/>
              </w:rPr>
            </w:pPr>
            <w:r w:rsidRPr="00F54907">
              <w:rPr>
                <w:rFonts w:ascii="Arial" w:hAnsi="Arial" w:cs="Arial"/>
                <w:b/>
                <w:color w:val="auto"/>
                <w:sz w:val="16"/>
                <w:szCs w:val="16"/>
              </w:rPr>
              <w:t>17.1</w:t>
            </w:r>
          </w:p>
        </w:tc>
        <w:tc>
          <w:tcPr>
            <w:tcW w:w="412" w:type="pct"/>
            <w:tcBorders>
              <w:top w:val="single" w:sz="4" w:space="0" w:color="auto"/>
              <w:left w:val="nil"/>
              <w:bottom w:val="single" w:sz="4" w:space="0" w:color="auto"/>
              <w:right w:val="nil"/>
            </w:tcBorders>
            <w:shd w:val="clear" w:color="auto" w:fill="E1E8EB"/>
            <w:noWrap/>
            <w:vAlign w:val="center"/>
            <w:hideMark/>
          </w:tcPr>
          <w:p w14:paraId="19DA7923" w14:textId="2239E107" w:rsidR="00181D7A" w:rsidRPr="00F54907" w:rsidRDefault="00181D7A" w:rsidP="00746D27">
            <w:pPr>
              <w:spacing w:after="0" w:line="240" w:lineRule="auto"/>
              <w:jc w:val="right"/>
              <w:rPr>
                <w:rFonts w:ascii="Arial" w:hAnsi="Arial" w:cs="Arial"/>
                <w:b/>
                <w:sz w:val="16"/>
                <w:szCs w:val="16"/>
              </w:rPr>
            </w:pPr>
            <w:r w:rsidRPr="00F54907">
              <w:rPr>
                <w:rFonts w:ascii="Arial" w:hAnsi="Arial" w:cs="Arial"/>
                <w:b/>
                <w:sz w:val="16"/>
                <w:szCs w:val="16"/>
              </w:rPr>
              <w:t>4,384</w:t>
            </w:r>
          </w:p>
        </w:tc>
        <w:tc>
          <w:tcPr>
            <w:tcW w:w="322" w:type="pct"/>
            <w:tcBorders>
              <w:top w:val="single" w:sz="4" w:space="0" w:color="auto"/>
              <w:left w:val="nil"/>
              <w:bottom w:val="single" w:sz="4" w:space="0" w:color="auto"/>
              <w:right w:val="nil"/>
            </w:tcBorders>
            <w:shd w:val="clear" w:color="auto" w:fill="E1E8EB"/>
            <w:noWrap/>
            <w:vAlign w:val="center"/>
            <w:hideMark/>
          </w:tcPr>
          <w:p w14:paraId="6D65E504" w14:textId="650A9AF7" w:rsidR="00181D7A" w:rsidRPr="00F54907" w:rsidRDefault="00181D7A" w:rsidP="00746D27">
            <w:pPr>
              <w:spacing w:after="0" w:line="240" w:lineRule="auto"/>
              <w:jc w:val="right"/>
              <w:rPr>
                <w:rFonts w:ascii="Arial" w:hAnsi="Arial" w:cs="Arial"/>
                <w:b/>
                <w:sz w:val="16"/>
                <w:szCs w:val="16"/>
              </w:rPr>
            </w:pPr>
            <w:r w:rsidRPr="00F54907">
              <w:rPr>
                <w:rFonts w:ascii="Arial" w:hAnsi="Arial" w:cs="Arial"/>
                <w:b/>
                <w:sz w:val="16"/>
                <w:szCs w:val="16"/>
              </w:rPr>
              <w:t>10.4</w:t>
            </w:r>
          </w:p>
        </w:tc>
      </w:tr>
    </w:tbl>
    <w:p w14:paraId="394C5262" w14:textId="136A2150" w:rsidR="00F07785" w:rsidRDefault="00746D27" w:rsidP="00802E3D">
      <w:pPr>
        <w:pStyle w:val="ChartandTableFootnoteAlpha"/>
        <w:numPr>
          <w:ilvl w:val="0"/>
          <w:numId w:val="0"/>
        </w:numPr>
      </w:pPr>
      <w:r w:rsidRPr="00BF48CD">
        <w:t xml:space="preserve">Before republishing this data or comparing between years, thoroughly review the methodological and data caveats in Appendix </w:t>
      </w:r>
      <w:r w:rsidRPr="00A77B99">
        <w:t>B.</w:t>
      </w:r>
      <w:r w:rsidRPr="00BF48CD">
        <w:t xml:space="preserve"> </w:t>
      </w:r>
    </w:p>
    <w:p w14:paraId="698CBAE0" w14:textId="2F3857EF" w:rsidR="00F40B56" w:rsidRDefault="00F40B56">
      <w:pPr>
        <w:spacing w:after="0" w:line="240" w:lineRule="auto"/>
        <w:jc w:val="left"/>
      </w:pPr>
      <w:r>
        <w:br w:type="page"/>
      </w:r>
    </w:p>
    <w:p w14:paraId="4865E9CD" w14:textId="5DB72541" w:rsidR="00F07785" w:rsidRPr="00D76ED2" w:rsidRDefault="00F07785" w:rsidP="00D76ED2">
      <w:pPr>
        <w:pStyle w:val="TableMainHeading"/>
      </w:pPr>
      <w:bookmarkStart w:id="139" w:name="_Toc89939948"/>
      <w:r w:rsidRPr="00D76ED2">
        <w:lastRenderedPageBreak/>
        <w:t xml:space="preserve">Table </w:t>
      </w:r>
      <w:fldSimple w:instr=" STYLEREF 1 \s ">
        <w:r w:rsidR="0019342F">
          <w:rPr>
            <w:noProof/>
          </w:rPr>
          <w:t>3</w:t>
        </w:r>
      </w:fldSimple>
      <w:r w:rsidR="009812FE" w:rsidRPr="00D76ED2">
        <w:t>.</w:t>
      </w:r>
      <w:fldSimple w:instr=" SEQ Table \* ARABIC \s 1 ">
        <w:r w:rsidR="0019342F">
          <w:rPr>
            <w:noProof/>
          </w:rPr>
          <w:t>14</w:t>
        </w:r>
      </w:fldSimple>
      <w:r w:rsidRPr="00D76ED2">
        <w:t xml:space="preserve">: State and territory distribution of proposed investment in residential real estate in </w:t>
      </w:r>
      <w:r w:rsidR="00D76ED2">
        <w:t>2020</w:t>
      </w:r>
      <w:r w:rsidR="00D76ED2">
        <w:noBreakHyphen/>
        <w:t>21</w:t>
      </w:r>
      <w:bookmarkEnd w:id="139"/>
    </w:p>
    <w:tbl>
      <w:tblPr>
        <w:tblW w:w="5000" w:type="pct"/>
        <w:tblLook w:val="04A0" w:firstRow="1" w:lastRow="0" w:firstColumn="1" w:lastColumn="0" w:noHBand="0" w:noVBand="1"/>
      </w:tblPr>
      <w:tblGrid>
        <w:gridCol w:w="1629"/>
        <w:gridCol w:w="1374"/>
        <w:gridCol w:w="274"/>
        <w:gridCol w:w="1180"/>
        <w:gridCol w:w="1877"/>
        <w:gridCol w:w="261"/>
        <w:gridCol w:w="1115"/>
      </w:tblGrid>
      <w:tr w:rsidR="00746D27" w:rsidRPr="000D482C" w14:paraId="434F0753" w14:textId="77777777" w:rsidTr="00F07785">
        <w:trPr>
          <w:trHeight w:val="225"/>
        </w:trPr>
        <w:tc>
          <w:tcPr>
            <w:tcW w:w="1056" w:type="pct"/>
            <w:tcBorders>
              <w:top w:val="single" w:sz="4" w:space="0" w:color="auto"/>
              <w:left w:val="nil"/>
              <w:bottom w:val="nil"/>
              <w:right w:val="nil"/>
            </w:tcBorders>
            <w:shd w:val="clear" w:color="000000" w:fill="FFFFFF"/>
            <w:noWrap/>
            <w:vAlign w:val="center"/>
            <w:hideMark/>
          </w:tcPr>
          <w:p w14:paraId="42C73CFB" w14:textId="77777777" w:rsidR="00746D27" w:rsidRPr="000D482C" w:rsidRDefault="00746D27" w:rsidP="00746D27">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891" w:type="pct"/>
            <w:tcBorders>
              <w:top w:val="single" w:sz="4" w:space="0" w:color="auto"/>
              <w:left w:val="nil"/>
              <w:bottom w:val="nil"/>
              <w:right w:val="nil"/>
            </w:tcBorders>
            <w:shd w:val="clear" w:color="000000" w:fill="FFFFFF"/>
            <w:noWrap/>
            <w:vAlign w:val="center"/>
            <w:hideMark/>
          </w:tcPr>
          <w:p w14:paraId="707B2FFD" w14:textId="77777777" w:rsidR="00746D27" w:rsidRPr="000D482C" w:rsidRDefault="00746D27" w:rsidP="00746D27">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178" w:type="pct"/>
            <w:tcBorders>
              <w:top w:val="single" w:sz="4" w:space="0" w:color="auto"/>
              <w:left w:val="nil"/>
              <w:bottom w:val="nil"/>
              <w:right w:val="nil"/>
            </w:tcBorders>
            <w:shd w:val="clear" w:color="000000" w:fill="FFFFFF"/>
            <w:noWrap/>
            <w:vAlign w:val="center"/>
            <w:hideMark/>
          </w:tcPr>
          <w:p w14:paraId="40ECEFB3" w14:textId="77777777" w:rsidR="00746D27" w:rsidRPr="000D482C" w:rsidRDefault="00746D27" w:rsidP="00746D27">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1982" w:type="pct"/>
            <w:gridSpan w:val="2"/>
            <w:tcBorders>
              <w:top w:val="single" w:sz="4" w:space="0" w:color="auto"/>
              <w:left w:val="nil"/>
              <w:bottom w:val="nil"/>
              <w:right w:val="nil"/>
            </w:tcBorders>
            <w:shd w:val="clear" w:color="000000" w:fill="FFFFFF"/>
            <w:noWrap/>
            <w:vAlign w:val="center"/>
            <w:hideMark/>
          </w:tcPr>
          <w:p w14:paraId="5CB48A5B" w14:textId="77777777" w:rsidR="00746D27" w:rsidRPr="000D482C" w:rsidRDefault="00746D27" w:rsidP="00746D27">
            <w:pPr>
              <w:spacing w:after="0" w:line="240" w:lineRule="auto"/>
              <w:jc w:val="center"/>
              <w:rPr>
                <w:rFonts w:ascii="Arial" w:hAnsi="Arial" w:cs="Arial"/>
                <w:color w:val="auto"/>
                <w:sz w:val="16"/>
                <w:szCs w:val="16"/>
              </w:rPr>
            </w:pPr>
            <w:r w:rsidRPr="000D482C">
              <w:rPr>
                <w:rFonts w:ascii="Arial" w:hAnsi="Arial" w:cs="Arial"/>
                <w:color w:val="auto"/>
                <w:sz w:val="16"/>
                <w:szCs w:val="16"/>
              </w:rPr>
              <w:t>Residential</w:t>
            </w:r>
          </w:p>
        </w:tc>
        <w:tc>
          <w:tcPr>
            <w:tcW w:w="169" w:type="pct"/>
            <w:tcBorders>
              <w:top w:val="single" w:sz="4" w:space="0" w:color="auto"/>
              <w:left w:val="nil"/>
              <w:bottom w:val="nil"/>
              <w:right w:val="nil"/>
            </w:tcBorders>
            <w:shd w:val="clear" w:color="000000" w:fill="FFFFFF"/>
            <w:noWrap/>
            <w:vAlign w:val="center"/>
            <w:hideMark/>
          </w:tcPr>
          <w:p w14:paraId="152CA738" w14:textId="77777777" w:rsidR="00746D27" w:rsidRPr="000D482C" w:rsidRDefault="00746D27" w:rsidP="00746D27">
            <w:pPr>
              <w:spacing w:after="0" w:line="240" w:lineRule="auto"/>
              <w:jc w:val="center"/>
              <w:rPr>
                <w:rFonts w:ascii="Arial" w:hAnsi="Arial" w:cs="Arial"/>
                <w:color w:val="auto"/>
                <w:sz w:val="16"/>
                <w:szCs w:val="16"/>
              </w:rPr>
            </w:pPr>
            <w:r w:rsidRPr="000D482C">
              <w:rPr>
                <w:rFonts w:ascii="Arial" w:hAnsi="Arial" w:cs="Arial"/>
                <w:color w:val="auto"/>
                <w:sz w:val="16"/>
                <w:szCs w:val="16"/>
              </w:rPr>
              <w:t> </w:t>
            </w:r>
          </w:p>
        </w:tc>
        <w:tc>
          <w:tcPr>
            <w:tcW w:w="723" w:type="pct"/>
            <w:tcBorders>
              <w:top w:val="single" w:sz="4" w:space="0" w:color="auto"/>
              <w:left w:val="nil"/>
              <w:bottom w:val="nil"/>
              <w:right w:val="nil"/>
            </w:tcBorders>
            <w:shd w:val="clear" w:color="000000" w:fill="FFFFFF"/>
            <w:noWrap/>
            <w:vAlign w:val="center"/>
            <w:hideMark/>
          </w:tcPr>
          <w:p w14:paraId="6D17C0DE" w14:textId="77777777" w:rsidR="00746D27" w:rsidRPr="000D482C" w:rsidRDefault="00746D27" w:rsidP="00746D27">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r>
      <w:tr w:rsidR="00851C08" w:rsidRPr="000D482C" w14:paraId="289860DB" w14:textId="77777777" w:rsidTr="00F07785">
        <w:trPr>
          <w:trHeight w:val="225"/>
        </w:trPr>
        <w:tc>
          <w:tcPr>
            <w:tcW w:w="1056" w:type="pct"/>
            <w:tcBorders>
              <w:top w:val="nil"/>
              <w:left w:val="nil"/>
              <w:bottom w:val="nil"/>
              <w:right w:val="nil"/>
            </w:tcBorders>
            <w:shd w:val="clear" w:color="000000" w:fill="FFFFFF"/>
            <w:noWrap/>
            <w:vAlign w:val="center"/>
            <w:hideMark/>
          </w:tcPr>
          <w:p w14:paraId="49D8CC99" w14:textId="77777777" w:rsidR="00746D27" w:rsidRPr="000D482C" w:rsidRDefault="00746D27" w:rsidP="00746D27">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891" w:type="pct"/>
            <w:tcBorders>
              <w:top w:val="nil"/>
              <w:left w:val="nil"/>
              <w:bottom w:val="nil"/>
              <w:right w:val="nil"/>
            </w:tcBorders>
            <w:shd w:val="clear" w:color="000000" w:fill="FFFFFF"/>
            <w:noWrap/>
            <w:vAlign w:val="center"/>
            <w:hideMark/>
          </w:tcPr>
          <w:p w14:paraId="1D2DF46F" w14:textId="39F6B16C" w:rsidR="00746D27" w:rsidRPr="000D482C" w:rsidRDefault="008C5286" w:rsidP="00746D27">
            <w:pPr>
              <w:spacing w:after="0" w:line="240" w:lineRule="auto"/>
              <w:jc w:val="right"/>
              <w:rPr>
                <w:rFonts w:ascii="Arial" w:hAnsi="Arial" w:cs="Arial"/>
                <w:color w:val="auto"/>
                <w:sz w:val="16"/>
                <w:szCs w:val="16"/>
              </w:rPr>
            </w:pPr>
            <w:r>
              <w:rPr>
                <w:rFonts w:ascii="Arial" w:hAnsi="Arial" w:cs="Arial"/>
                <w:color w:val="auto"/>
                <w:sz w:val="16"/>
                <w:szCs w:val="16"/>
              </w:rPr>
              <w:t>No.</w:t>
            </w:r>
            <w:r w:rsidR="00746D27" w:rsidRPr="000D482C">
              <w:rPr>
                <w:rFonts w:ascii="Arial" w:hAnsi="Arial" w:cs="Arial"/>
                <w:color w:val="auto"/>
                <w:sz w:val="16"/>
                <w:szCs w:val="16"/>
              </w:rPr>
              <w:t xml:space="preserve"> of</w:t>
            </w:r>
          </w:p>
        </w:tc>
        <w:tc>
          <w:tcPr>
            <w:tcW w:w="178" w:type="pct"/>
            <w:tcBorders>
              <w:top w:val="nil"/>
              <w:left w:val="nil"/>
              <w:bottom w:val="nil"/>
              <w:right w:val="nil"/>
            </w:tcBorders>
            <w:shd w:val="clear" w:color="000000" w:fill="FFFFFF"/>
            <w:noWrap/>
            <w:vAlign w:val="center"/>
            <w:hideMark/>
          </w:tcPr>
          <w:p w14:paraId="0706FA8E" w14:textId="77777777" w:rsidR="00746D27" w:rsidRPr="000D482C" w:rsidRDefault="00746D27" w:rsidP="00746D27">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765" w:type="pct"/>
            <w:tcBorders>
              <w:top w:val="nil"/>
              <w:left w:val="nil"/>
              <w:bottom w:val="nil"/>
              <w:right w:val="nil"/>
            </w:tcBorders>
            <w:shd w:val="clear" w:color="000000" w:fill="FFFFFF"/>
            <w:noWrap/>
            <w:vAlign w:val="center"/>
            <w:hideMark/>
          </w:tcPr>
          <w:p w14:paraId="31C6BDDA" w14:textId="77777777" w:rsidR="00746D27" w:rsidRPr="000D482C" w:rsidRDefault="00746D27" w:rsidP="00746D27">
            <w:pPr>
              <w:spacing w:after="0" w:line="240" w:lineRule="auto"/>
              <w:jc w:val="right"/>
              <w:rPr>
                <w:rFonts w:ascii="Arial" w:hAnsi="Arial" w:cs="Arial"/>
                <w:color w:val="auto"/>
                <w:sz w:val="16"/>
                <w:szCs w:val="16"/>
              </w:rPr>
            </w:pPr>
            <w:r w:rsidRPr="000D482C">
              <w:rPr>
                <w:rFonts w:ascii="Arial" w:hAnsi="Arial" w:cs="Arial"/>
                <w:color w:val="auto"/>
                <w:sz w:val="16"/>
                <w:szCs w:val="16"/>
              </w:rPr>
              <w:t>Developed</w:t>
            </w:r>
          </w:p>
        </w:tc>
        <w:tc>
          <w:tcPr>
            <w:tcW w:w="1217" w:type="pct"/>
            <w:tcBorders>
              <w:top w:val="nil"/>
              <w:left w:val="nil"/>
              <w:bottom w:val="nil"/>
              <w:right w:val="nil"/>
            </w:tcBorders>
            <w:shd w:val="clear" w:color="000000" w:fill="FFFFFF"/>
            <w:noWrap/>
            <w:vAlign w:val="center"/>
            <w:hideMark/>
          </w:tcPr>
          <w:p w14:paraId="306E2ABD" w14:textId="77777777" w:rsidR="00746D27" w:rsidRPr="000D482C" w:rsidRDefault="00746D27" w:rsidP="00746D27">
            <w:pPr>
              <w:spacing w:after="0" w:line="240" w:lineRule="auto"/>
              <w:jc w:val="right"/>
              <w:rPr>
                <w:rFonts w:ascii="Arial" w:hAnsi="Arial" w:cs="Arial"/>
                <w:color w:val="auto"/>
                <w:sz w:val="16"/>
                <w:szCs w:val="16"/>
              </w:rPr>
            </w:pPr>
            <w:r w:rsidRPr="000D482C">
              <w:rPr>
                <w:rFonts w:ascii="Arial" w:hAnsi="Arial" w:cs="Arial"/>
                <w:color w:val="auto"/>
                <w:sz w:val="16"/>
                <w:szCs w:val="16"/>
              </w:rPr>
              <w:t>For development</w:t>
            </w:r>
          </w:p>
        </w:tc>
        <w:tc>
          <w:tcPr>
            <w:tcW w:w="169" w:type="pct"/>
            <w:tcBorders>
              <w:top w:val="nil"/>
              <w:left w:val="nil"/>
              <w:bottom w:val="nil"/>
              <w:right w:val="nil"/>
            </w:tcBorders>
            <w:shd w:val="clear" w:color="000000" w:fill="FFFFFF"/>
            <w:noWrap/>
            <w:vAlign w:val="center"/>
            <w:hideMark/>
          </w:tcPr>
          <w:p w14:paraId="0D6A66A3" w14:textId="77777777" w:rsidR="00746D27" w:rsidRPr="000D482C" w:rsidRDefault="00746D27" w:rsidP="00746D27">
            <w:pPr>
              <w:spacing w:after="0" w:line="240" w:lineRule="auto"/>
              <w:jc w:val="right"/>
              <w:rPr>
                <w:rFonts w:ascii="Arial" w:hAnsi="Arial" w:cs="Arial"/>
                <w:color w:val="auto"/>
                <w:sz w:val="16"/>
                <w:szCs w:val="16"/>
              </w:rPr>
            </w:pPr>
            <w:r w:rsidRPr="000D482C">
              <w:rPr>
                <w:rFonts w:ascii="Arial" w:hAnsi="Arial" w:cs="Arial"/>
                <w:color w:val="auto"/>
                <w:sz w:val="16"/>
                <w:szCs w:val="16"/>
              </w:rPr>
              <w:t> </w:t>
            </w:r>
          </w:p>
        </w:tc>
        <w:tc>
          <w:tcPr>
            <w:tcW w:w="723" w:type="pct"/>
            <w:tcBorders>
              <w:top w:val="nil"/>
              <w:left w:val="nil"/>
              <w:bottom w:val="nil"/>
              <w:right w:val="nil"/>
            </w:tcBorders>
            <w:shd w:val="clear" w:color="000000" w:fill="FFFFFF"/>
            <w:noWrap/>
            <w:vAlign w:val="center"/>
            <w:hideMark/>
          </w:tcPr>
          <w:p w14:paraId="45F023C0" w14:textId="77777777" w:rsidR="00746D27" w:rsidRPr="000D482C" w:rsidRDefault="00746D27" w:rsidP="00746D27">
            <w:pPr>
              <w:spacing w:after="0" w:line="240" w:lineRule="auto"/>
              <w:jc w:val="right"/>
              <w:rPr>
                <w:rFonts w:ascii="Arial" w:hAnsi="Arial" w:cs="Arial"/>
                <w:color w:val="auto"/>
                <w:sz w:val="16"/>
                <w:szCs w:val="16"/>
              </w:rPr>
            </w:pPr>
            <w:r w:rsidRPr="000D482C">
              <w:rPr>
                <w:rFonts w:ascii="Arial" w:hAnsi="Arial" w:cs="Arial"/>
                <w:color w:val="auto"/>
                <w:sz w:val="16"/>
                <w:szCs w:val="16"/>
              </w:rPr>
              <w:t>Total</w:t>
            </w:r>
          </w:p>
        </w:tc>
      </w:tr>
      <w:tr w:rsidR="00851C08" w:rsidRPr="000D482C" w14:paraId="7CEB2180" w14:textId="77777777" w:rsidTr="00F07785">
        <w:trPr>
          <w:trHeight w:val="225"/>
        </w:trPr>
        <w:tc>
          <w:tcPr>
            <w:tcW w:w="1056" w:type="pct"/>
            <w:tcBorders>
              <w:top w:val="nil"/>
              <w:left w:val="nil"/>
              <w:bottom w:val="single" w:sz="4" w:space="0" w:color="auto"/>
              <w:right w:val="nil"/>
            </w:tcBorders>
            <w:shd w:val="clear" w:color="000000" w:fill="FFFFFF"/>
            <w:noWrap/>
            <w:vAlign w:val="center"/>
            <w:hideMark/>
          </w:tcPr>
          <w:p w14:paraId="78C87ECE" w14:textId="77777777" w:rsidR="00746D27" w:rsidRPr="000D482C" w:rsidRDefault="00746D27" w:rsidP="00746D27">
            <w:pPr>
              <w:spacing w:after="0" w:line="240" w:lineRule="auto"/>
              <w:jc w:val="left"/>
              <w:rPr>
                <w:rFonts w:ascii="Arial" w:hAnsi="Arial" w:cs="Arial"/>
                <w:color w:val="auto"/>
                <w:sz w:val="16"/>
                <w:szCs w:val="16"/>
              </w:rPr>
            </w:pPr>
            <w:r w:rsidRPr="000D482C">
              <w:rPr>
                <w:rFonts w:ascii="Arial" w:hAnsi="Arial" w:cs="Arial"/>
                <w:color w:val="auto"/>
                <w:sz w:val="16"/>
                <w:szCs w:val="16"/>
              </w:rPr>
              <w:t>Location</w:t>
            </w:r>
          </w:p>
        </w:tc>
        <w:tc>
          <w:tcPr>
            <w:tcW w:w="891" w:type="pct"/>
            <w:tcBorders>
              <w:top w:val="nil"/>
              <w:left w:val="nil"/>
              <w:bottom w:val="single" w:sz="4" w:space="0" w:color="auto"/>
              <w:right w:val="nil"/>
            </w:tcBorders>
            <w:shd w:val="clear" w:color="000000" w:fill="FFFFFF"/>
            <w:noWrap/>
            <w:vAlign w:val="center"/>
            <w:hideMark/>
          </w:tcPr>
          <w:p w14:paraId="3EB5AF74" w14:textId="77777777" w:rsidR="00746D27" w:rsidRPr="000D482C" w:rsidRDefault="00746D27" w:rsidP="00746D27">
            <w:pPr>
              <w:spacing w:after="0" w:line="240" w:lineRule="auto"/>
              <w:jc w:val="right"/>
              <w:rPr>
                <w:rFonts w:ascii="Arial" w:hAnsi="Arial" w:cs="Arial"/>
                <w:color w:val="auto"/>
                <w:sz w:val="16"/>
                <w:szCs w:val="16"/>
              </w:rPr>
            </w:pPr>
            <w:r w:rsidRPr="000D482C">
              <w:rPr>
                <w:rFonts w:ascii="Arial" w:hAnsi="Arial" w:cs="Arial"/>
                <w:color w:val="auto"/>
                <w:sz w:val="16"/>
                <w:szCs w:val="16"/>
              </w:rPr>
              <w:t>approvals</w:t>
            </w:r>
          </w:p>
        </w:tc>
        <w:tc>
          <w:tcPr>
            <w:tcW w:w="178" w:type="pct"/>
            <w:tcBorders>
              <w:top w:val="nil"/>
              <w:left w:val="nil"/>
              <w:bottom w:val="nil"/>
              <w:right w:val="nil"/>
            </w:tcBorders>
            <w:shd w:val="clear" w:color="000000" w:fill="FFFFFF"/>
            <w:noWrap/>
            <w:vAlign w:val="center"/>
            <w:hideMark/>
          </w:tcPr>
          <w:p w14:paraId="5B18D07A" w14:textId="77777777" w:rsidR="00746D27" w:rsidRPr="000D482C" w:rsidRDefault="00746D27" w:rsidP="00746D27">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765" w:type="pct"/>
            <w:tcBorders>
              <w:top w:val="nil"/>
              <w:left w:val="nil"/>
              <w:bottom w:val="single" w:sz="4" w:space="0" w:color="auto"/>
              <w:right w:val="nil"/>
            </w:tcBorders>
            <w:shd w:val="clear" w:color="000000" w:fill="FFFFFF"/>
            <w:noWrap/>
            <w:vAlign w:val="center"/>
            <w:hideMark/>
          </w:tcPr>
          <w:p w14:paraId="6202C244" w14:textId="77777777" w:rsidR="00746D27" w:rsidRPr="000D482C" w:rsidRDefault="00746D27" w:rsidP="00746D27">
            <w:pPr>
              <w:spacing w:after="0" w:line="240" w:lineRule="auto"/>
              <w:jc w:val="right"/>
              <w:rPr>
                <w:rFonts w:ascii="Arial" w:hAnsi="Arial" w:cs="Arial"/>
                <w:color w:val="auto"/>
                <w:sz w:val="16"/>
                <w:szCs w:val="16"/>
              </w:rPr>
            </w:pPr>
            <w:r w:rsidRPr="000D482C">
              <w:rPr>
                <w:rFonts w:ascii="Arial" w:hAnsi="Arial" w:cs="Arial"/>
                <w:color w:val="auto"/>
                <w:sz w:val="16"/>
                <w:szCs w:val="16"/>
              </w:rPr>
              <w:t xml:space="preserve">$b </w:t>
            </w:r>
          </w:p>
        </w:tc>
        <w:tc>
          <w:tcPr>
            <w:tcW w:w="1217" w:type="pct"/>
            <w:tcBorders>
              <w:top w:val="nil"/>
              <w:left w:val="nil"/>
              <w:bottom w:val="single" w:sz="4" w:space="0" w:color="auto"/>
              <w:right w:val="nil"/>
            </w:tcBorders>
            <w:shd w:val="clear" w:color="000000" w:fill="FFFFFF"/>
            <w:noWrap/>
            <w:vAlign w:val="center"/>
            <w:hideMark/>
          </w:tcPr>
          <w:p w14:paraId="1EE3A4C3" w14:textId="77777777" w:rsidR="00746D27" w:rsidRPr="000D482C" w:rsidRDefault="00746D27" w:rsidP="00746D27">
            <w:pPr>
              <w:spacing w:after="0" w:line="240" w:lineRule="auto"/>
              <w:jc w:val="right"/>
              <w:rPr>
                <w:rFonts w:ascii="Arial" w:hAnsi="Arial" w:cs="Arial"/>
                <w:color w:val="auto"/>
                <w:sz w:val="16"/>
                <w:szCs w:val="16"/>
              </w:rPr>
            </w:pPr>
            <w:r w:rsidRPr="000D482C">
              <w:rPr>
                <w:rFonts w:ascii="Arial" w:hAnsi="Arial" w:cs="Arial"/>
                <w:color w:val="auto"/>
                <w:sz w:val="16"/>
                <w:szCs w:val="16"/>
              </w:rPr>
              <w:t xml:space="preserve">$b </w:t>
            </w:r>
          </w:p>
        </w:tc>
        <w:tc>
          <w:tcPr>
            <w:tcW w:w="169" w:type="pct"/>
            <w:tcBorders>
              <w:top w:val="nil"/>
              <w:left w:val="nil"/>
              <w:bottom w:val="nil"/>
              <w:right w:val="nil"/>
            </w:tcBorders>
            <w:shd w:val="clear" w:color="000000" w:fill="FFFFFF"/>
            <w:noWrap/>
            <w:vAlign w:val="center"/>
            <w:hideMark/>
          </w:tcPr>
          <w:p w14:paraId="1E34A28F" w14:textId="77777777" w:rsidR="00746D27" w:rsidRPr="000D482C" w:rsidRDefault="00746D27" w:rsidP="00746D27">
            <w:pPr>
              <w:spacing w:after="0" w:line="240" w:lineRule="auto"/>
              <w:jc w:val="right"/>
              <w:rPr>
                <w:rFonts w:ascii="Arial" w:hAnsi="Arial" w:cs="Arial"/>
                <w:color w:val="auto"/>
                <w:sz w:val="16"/>
                <w:szCs w:val="16"/>
              </w:rPr>
            </w:pPr>
            <w:r w:rsidRPr="000D482C">
              <w:rPr>
                <w:rFonts w:ascii="Arial" w:hAnsi="Arial" w:cs="Arial"/>
                <w:color w:val="auto"/>
                <w:sz w:val="16"/>
                <w:szCs w:val="16"/>
              </w:rPr>
              <w:t> </w:t>
            </w:r>
          </w:p>
        </w:tc>
        <w:tc>
          <w:tcPr>
            <w:tcW w:w="723" w:type="pct"/>
            <w:tcBorders>
              <w:top w:val="nil"/>
              <w:left w:val="nil"/>
              <w:bottom w:val="single" w:sz="4" w:space="0" w:color="auto"/>
              <w:right w:val="nil"/>
            </w:tcBorders>
            <w:shd w:val="clear" w:color="000000" w:fill="FFFFFF"/>
            <w:noWrap/>
            <w:vAlign w:val="center"/>
            <w:hideMark/>
          </w:tcPr>
          <w:p w14:paraId="644D19FE" w14:textId="77777777" w:rsidR="00746D27" w:rsidRPr="000D482C" w:rsidRDefault="00746D27" w:rsidP="00746D27">
            <w:pPr>
              <w:spacing w:after="0" w:line="240" w:lineRule="auto"/>
              <w:jc w:val="right"/>
              <w:rPr>
                <w:rFonts w:ascii="Arial" w:hAnsi="Arial" w:cs="Arial"/>
                <w:color w:val="auto"/>
                <w:sz w:val="16"/>
                <w:szCs w:val="16"/>
              </w:rPr>
            </w:pPr>
            <w:r w:rsidRPr="000D482C">
              <w:rPr>
                <w:rFonts w:ascii="Arial" w:hAnsi="Arial" w:cs="Arial"/>
                <w:color w:val="auto"/>
                <w:sz w:val="16"/>
                <w:szCs w:val="16"/>
              </w:rPr>
              <w:t xml:space="preserve">$b </w:t>
            </w:r>
          </w:p>
        </w:tc>
      </w:tr>
      <w:tr w:rsidR="00851C08" w:rsidRPr="000D482C" w14:paraId="22CF7306" w14:textId="77777777" w:rsidTr="00F07785">
        <w:trPr>
          <w:trHeight w:val="225"/>
        </w:trPr>
        <w:tc>
          <w:tcPr>
            <w:tcW w:w="1056" w:type="pct"/>
            <w:tcBorders>
              <w:top w:val="nil"/>
              <w:left w:val="nil"/>
              <w:bottom w:val="nil"/>
              <w:right w:val="nil"/>
            </w:tcBorders>
            <w:shd w:val="clear" w:color="000000" w:fill="FFFFFF"/>
            <w:noWrap/>
            <w:vAlign w:val="center"/>
            <w:hideMark/>
          </w:tcPr>
          <w:p w14:paraId="637131D8"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ACT</w:t>
            </w:r>
          </w:p>
        </w:tc>
        <w:tc>
          <w:tcPr>
            <w:tcW w:w="891" w:type="pct"/>
            <w:tcBorders>
              <w:top w:val="nil"/>
              <w:left w:val="nil"/>
              <w:bottom w:val="nil"/>
              <w:right w:val="nil"/>
            </w:tcBorders>
            <w:shd w:val="clear" w:color="000000" w:fill="FFFFFF"/>
            <w:noWrap/>
            <w:vAlign w:val="center"/>
            <w:hideMark/>
          </w:tcPr>
          <w:p w14:paraId="08921F89" w14:textId="53AB9B47" w:rsidR="00746D27" w:rsidRPr="00F73E73" w:rsidRDefault="00746D27" w:rsidP="00746D27">
            <w:pPr>
              <w:spacing w:after="0" w:line="240" w:lineRule="auto"/>
              <w:jc w:val="right"/>
              <w:rPr>
                <w:rFonts w:ascii="Arial" w:hAnsi="Arial" w:cs="Arial"/>
                <w:color w:val="auto"/>
                <w:sz w:val="16"/>
                <w:szCs w:val="16"/>
              </w:rPr>
            </w:pPr>
            <w:r w:rsidRPr="00F73E73">
              <w:rPr>
                <w:rFonts w:ascii="Arial" w:hAnsi="Arial" w:cs="Arial"/>
                <w:color w:val="auto"/>
                <w:sz w:val="16"/>
                <w:szCs w:val="16"/>
              </w:rPr>
              <w:t xml:space="preserve">                    </w:t>
            </w:r>
            <w:r w:rsidR="00851C08" w:rsidRPr="00F73E73">
              <w:rPr>
                <w:rFonts w:ascii="Arial" w:hAnsi="Arial" w:cs="Arial"/>
                <w:color w:val="auto"/>
                <w:sz w:val="16"/>
                <w:szCs w:val="16"/>
              </w:rPr>
              <w:t>282</w:t>
            </w:r>
            <w:r w:rsidRPr="00F73E73">
              <w:rPr>
                <w:rFonts w:ascii="Arial" w:hAnsi="Arial" w:cs="Arial"/>
                <w:color w:val="auto"/>
                <w:sz w:val="16"/>
                <w:szCs w:val="16"/>
              </w:rPr>
              <w:t xml:space="preserve"> </w:t>
            </w:r>
          </w:p>
        </w:tc>
        <w:tc>
          <w:tcPr>
            <w:tcW w:w="178" w:type="pct"/>
            <w:tcBorders>
              <w:top w:val="nil"/>
              <w:left w:val="nil"/>
              <w:bottom w:val="nil"/>
              <w:right w:val="nil"/>
            </w:tcBorders>
            <w:shd w:val="clear" w:color="000000" w:fill="FFFFFF"/>
            <w:noWrap/>
            <w:vAlign w:val="center"/>
            <w:hideMark/>
          </w:tcPr>
          <w:p w14:paraId="68D08C1B" w14:textId="77777777" w:rsidR="00746D27" w:rsidRPr="00944CAF" w:rsidRDefault="00746D27" w:rsidP="00746D27">
            <w:pPr>
              <w:spacing w:after="0" w:line="240" w:lineRule="auto"/>
              <w:jc w:val="right"/>
              <w:rPr>
                <w:rFonts w:ascii="Arial" w:hAnsi="Arial" w:cs="Arial"/>
                <w:color w:val="auto"/>
                <w:sz w:val="16"/>
                <w:szCs w:val="16"/>
              </w:rPr>
            </w:pPr>
            <w:r w:rsidRPr="00944CAF">
              <w:rPr>
                <w:rFonts w:ascii="Arial" w:hAnsi="Arial" w:cs="Arial"/>
                <w:color w:val="auto"/>
                <w:sz w:val="16"/>
                <w:szCs w:val="16"/>
              </w:rPr>
              <w:t> </w:t>
            </w:r>
          </w:p>
        </w:tc>
        <w:tc>
          <w:tcPr>
            <w:tcW w:w="765" w:type="pct"/>
            <w:tcBorders>
              <w:top w:val="nil"/>
              <w:left w:val="nil"/>
              <w:bottom w:val="nil"/>
              <w:right w:val="nil"/>
            </w:tcBorders>
            <w:shd w:val="clear" w:color="000000" w:fill="FFFFFF"/>
            <w:noWrap/>
            <w:vAlign w:val="center"/>
            <w:hideMark/>
          </w:tcPr>
          <w:p w14:paraId="239BD0A3" w14:textId="77777777" w:rsidR="00746D27" w:rsidRPr="00F73E73" w:rsidRDefault="00746D27" w:rsidP="00746D27">
            <w:pPr>
              <w:spacing w:after="0" w:line="240" w:lineRule="auto"/>
              <w:jc w:val="right"/>
              <w:rPr>
                <w:rFonts w:ascii="Arial" w:hAnsi="Arial" w:cs="Arial"/>
                <w:color w:val="auto"/>
                <w:sz w:val="16"/>
                <w:szCs w:val="16"/>
              </w:rPr>
            </w:pPr>
            <w:r w:rsidRPr="00F73E73">
              <w:rPr>
                <w:rFonts w:ascii="Arial" w:hAnsi="Arial" w:cs="Arial"/>
                <w:color w:val="auto"/>
                <w:sz w:val="16"/>
                <w:szCs w:val="16"/>
              </w:rPr>
              <w:t>0.0</w:t>
            </w:r>
          </w:p>
        </w:tc>
        <w:tc>
          <w:tcPr>
            <w:tcW w:w="1217" w:type="pct"/>
            <w:tcBorders>
              <w:top w:val="nil"/>
              <w:left w:val="nil"/>
              <w:bottom w:val="nil"/>
              <w:right w:val="nil"/>
            </w:tcBorders>
            <w:shd w:val="clear" w:color="000000" w:fill="FFFFFF"/>
            <w:noWrap/>
            <w:vAlign w:val="center"/>
            <w:hideMark/>
          </w:tcPr>
          <w:p w14:paraId="2B9FB51D" w14:textId="77777777" w:rsidR="00746D27" w:rsidRPr="00F73E73" w:rsidRDefault="00746D27" w:rsidP="00746D27">
            <w:pPr>
              <w:spacing w:after="0" w:line="240" w:lineRule="auto"/>
              <w:jc w:val="right"/>
              <w:rPr>
                <w:rFonts w:ascii="Arial" w:hAnsi="Arial" w:cs="Arial"/>
                <w:color w:val="auto"/>
                <w:sz w:val="16"/>
                <w:szCs w:val="16"/>
              </w:rPr>
            </w:pPr>
            <w:r w:rsidRPr="00F73E73">
              <w:rPr>
                <w:rFonts w:ascii="Arial" w:hAnsi="Arial" w:cs="Arial"/>
                <w:color w:val="auto"/>
                <w:sz w:val="16"/>
                <w:szCs w:val="16"/>
              </w:rPr>
              <w:t>0.3</w:t>
            </w:r>
          </w:p>
        </w:tc>
        <w:tc>
          <w:tcPr>
            <w:tcW w:w="169" w:type="pct"/>
            <w:tcBorders>
              <w:top w:val="nil"/>
              <w:left w:val="nil"/>
              <w:bottom w:val="nil"/>
              <w:right w:val="nil"/>
            </w:tcBorders>
            <w:shd w:val="clear" w:color="000000" w:fill="FFFFFF"/>
            <w:noWrap/>
            <w:vAlign w:val="center"/>
            <w:hideMark/>
          </w:tcPr>
          <w:p w14:paraId="28F3E058" w14:textId="77777777" w:rsidR="00746D27" w:rsidRPr="00944CAF" w:rsidRDefault="00746D27" w:rsidP="00746D27">
            <w:pPr>
              <w:spacing w:after="0" w:line="240" w:lineRule="auto"/>
              <w:jc w:val="right"/>
              <w:rPr>
                <w:rFonts w:ascii="Arial" w:hAnsi="Arial" w:cs="Arial"/>
                <w:color w:val="auto"/>
                <w:sz w:val="16"/>
                <w:szCs w:val="16"/>
              </w:rPr>
            </w:pPr>
            <w:r w:rsidRPr="00944CAF">
              <w:rPr>
                <w:rFonts w:ascii="Arial" w:hAnsi="Arial" w:cs="Arial"/>
                <w:color w:val="auto"/>
                <w:sz w:val="16"/>
                <w:szCs w:val="16"/>
              </w:rPr>
              <w:t> </w:t>
            </w:r>
          </w:p>
        </w:tc>
        <w:tc>
          <w:tcPr>
            <w:tcW w:w="723" w:type="pct"/>
            <w:tcBorders>
              <w:top w:val="nil"/>
              <w:left w:val="nil"/>
              <w:bottom w:val="nil"/>
              <w:right w:val="nil"/>
            </w:tcBorders>
            <w:shd w:val="clear" w:color="000000" w:fill="FFFFFF"/>
            <w:noWrap/>
            <w:vAlign w:val="center"/>
            <w:hideMark/>
          </w:tcPr>
          <w:p w14:paraId="2EF25C66" w14:textId="77777777" w:rsidR="00746D27" w:rsidRPr="00F73E73" w:rsidRDefault="00746D27" w:rsidP="00746D27">
            <w:pPr>
              <w:spacing w:after="0" w:line="240" w:lineRule="auto"/>
              <w:jc w:val="right"/>
              <w:rPr>
                <w:rFonts w:ascii="Arial" w:hAnsi="Arial" w:cs="Arial"/>
                <w:color w:val="auto"/>
                <w:sz w:val="16"/>
                <w:szCs w:val="16"/>
              </w:rPr>
            </w:pPr>
            <w:r w:rsidRPr="00F73E73">
              <w:rPr>
                <w:rFonts w:ascii="Arial" w:hAnsi="Arial" w:cs="Arial"/>
                <w:color w:val="auto"/>
                <w:sz w:val="16"/>
                <w:szCs w:val="16"/>
              </w:rPr>
              <w:t>0.3</w:t>
            </w:r>
          </w:p>
        </w:tc>
      </w:tr>
      <w:tr w:rsidR="00851C08" w:rsidRPr="000D482C" w14:paraId="74C3EDA6" w14:textId="77777777" w:rsidTr="00F07785">
        <w:trPr>
          <w:trHeight w:val="225"/>
        </w:trPr>
        <w:tc>
          <w:tcPr>
            <w:tcW w:w="1056" w:type="pct"/>
            <w:tcBorders>
              <w:top w:val="nil"/>
              <w:left w:val="nil"/>
              <w:bottom w:val="nil"/>
              <w:right w:val="nil"/>
            </w:tcBorders>
            <w:shd w:val="clear" w:color="000000" w:fill="FFFFFF"/>
            <w:noWrap/>
            <w:vAlign w:val="center"/>
            <w:hideMark/>
          </w:tcPr>
          <w:p w14:paraId="0B7C68FA"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NSW</w:t>
            </w:r>
          </w:p>
        </w:tc>
        <w:tc>
          <w:tcPr>
            <w:tcW w:w="891" w:type="pct"/>
            <w:tcBorders>
              <w:top w:val="nil"/>
              <w:left w:val="nil"/>
              <w:bottom w:val="nil"/>
              <w:right w:val="nil"/>
            </w:tcBorders>
            <w:shd w:val="clear" w:color="000000" w:fill="FFFFFF"/>
            <w:noWrap/>
            <w:vAlign w:val="center"/>
            <w:hideMark/>
          </w:tcPr>
          <w:p w14:paraId="3ED3F059" w14:textId="1C23BB2C" w:rsidR="00746D27" w:rsidRPr="00F73E73" w:rsidRDefault="00851C08" w:rsidP="00746D27">
            <w:pPr>
              <w:spacing w:after="0" w:line="240" w:lineRule="auto"/>
              <w:jc w:val="right"/>
              <w:rPr>
                <w:rFonts w:ascii="Arial" w:hAnsi="Arial" w:cs="Arial"/>
                <w:color w:val="auto"/>
                <w:sz w:val="16"/>
                <w:szCs w:val="16"/>
              </w:rPr>
            </w:pPr>
            <w:r w:rsidRPr="00F73E73">
              <w:rPr>
                <w:rFonts w:ascii="Arial" w:hAnsi="Arial" w:cs="Arial"/>
                <w:color w:val="auto"/>
                <w:sz w:val="16"/>
                <w:szCs w:val="16"/>
              </w:rPr>
              <w:t>730</w:t>
            </w:r>
          </w:p>
        </w:tc>
        <w:tc>
          <w:tcPr>
            <w:tcW w:w="178" w:type="pct"/>
            <w:tcBorders>
              <w:top w:val="nil"/>
              <w:left w:val="nil"/>
              <w:bottom w:val="nil"/>
              <w:right w:val="nil"/>
            </w:tcBorders>
            <w:shd w:val="clear" w:color="000000" w:fill="FFFFFF"/>
            <w:noWrap/>
            <w:vAlign w:val="center"/>
            <w:hideMark/>
          </w:tcPr>
          <w:p w14:paraId="63B862A4"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 </w:t>
            </w:r>
          </w:p>
        </w:tc>
        <w:tc>
          <w:tcPr>
            <w:tcW w:w="765" w:type="pct"/>
            <w:tcBorders>
              <w:top w:val="nil"/>
              <w:left w:val="nil"/>
              <w:bottom w:val="nil"/>
              <w:right w:val="nil"/>
            </w:tcBorders>
            <w:shd w:val="clear" w:color="000000" w:fill="FFFFFF"/>
            <w:noWrap/>
            <w:vAlign w:val="center"/>
            <w:hideMark/>
          </w:tcPr>
          <w:p w14:paraId="33AD2564" w14:textId="311CFBB9" w:rsidR="00746D27" w:rsidRPr="00F73E73" w:rsidRDefault="00851C08" w:rsidP="00746D27">
            <w:pPr>
              <w:spacing w:after="0" w:line="240" w:lineRule="auto"/>
              <w:jc w:val="right"/>
              <w:rPr>
                <w:rFonts w:ascii="Arial" w:hAnsi="Arial" w:cs="Arial"/>
                <w:color w:val="auto"/>
                <w:sz w:val="16"/>
                <w:szCs w:val="16"/>
              </w:rPr>
            </w:pPr>
            <w:r w:rsidRPr="00F73E73">
              <w:rPr>
                <w:rFonts w:ascii="Arial" w:hAnsi="Arial" w:cs="Arial"/>
                <w:color w:val="auto"/>
                <w:sz w:val="16"/>
                <w:szCs w:val="16"/>
              </w:rPr>
              <w:t>0.2</w:t>
            </w:r>
          </w:p>
        </w:tc>
        <w:tc>
          <w:tcPr>
            <w:tcW w:w="1217" w:type="pct"/>
            <w:tcBorders>
              <w:top w:val="nil"/>
              <w:left w:val="nil"/>
              <w:bottom w:val="nil"/>
              <w:right w:val="nil"/>
            </w:tcBorders>
            <w:shd w:val="clear" w:color="000000" w:fill="FFFFFF"/>
            <w:noWrap/>
            <w:vAlign w:val="center"/>
            <w:hideMark/>
          </w:tcPr>
          <w:p w14:paraId="148031D1" w14:textId="0844C39F" w:rsidR="00746D27" w:rsidRPr="00F73E73" w:rsidRDefault="00851C08" w:rsidP="00746D27">
            <w:pPr>
              <w:spacing w:after="0" w:line="240" w:lineRule="auto"/>
              <w:jc w:val="right"/>
              <w:rPr>
                <w:rFonts w:ascii="Arial" w:hAnsi="Arial" w:cs="Arial"/>
                <w:color w:val="auto"/>
                <w:sz w:val="16"/>
                <w:szCs w:val="16"/>
              </w:rPr>
            </w:pPr>
            <w:r w:rsidRPr="00F73E73">
              <w:rPr>
                <w:rFonts w:ascii="Arial" w:hAnsi="Arial" w:cs="Arial"/>
                <w:color w:val="auto"/>
                <w:sz w:val="16"/>
                <w:szCs w:val="16"/>
              </w:rPr>
              <w:t>1.5</w:t>
            </w:r>
          </w:p>
        </w:tc>
        <w:tc>
          <w:tcPr>
            <w:tcW w:w="169" w:type="pct"/>
            <w:tcBorders>
              <w:top w:val="nil"/>
              <w:left w:val="nil"/>
              <w:bottom w:val="nil"/>
              <w:right w:val="nil"/>
            </w:tcBorders>
            <w:shd w:val="clear" w:color="000000" w:fill="FFFFFF"/>
            <w:noWrap/>
            <w:vAlign w:val="center"/>
            <w:hideMark/>
          </w:tcPr>
          <w:p w14:paraId="1503D327" w14:textId="4B17C826" w:rsidR="00746D27" w:rsidRPr="00944CAF" w:rsidRDefault="00746D27" w:rsidP="00746D27">
            <w:pPr>
              <w:spacing w:after="0" w:line="240" w:lineRule="auto"/>
              <w:jc w:val="left"/>
              <w:rPr>
                <w:rFonts w:ascii="Arial" w:hAnsi="Arial" w:cs="Arial"/>
                <w:color w:val="auto"/>
                <w:sz w:val="16"/>
                <w:szCs w:val="16"/>
              </w:rPr>
            </w:pPr>
          </w:p>
        </w:tc>
        <w:tc>
          <w:tcPr>
            <w:tcW w:w="723" w:type="pct"/>
            <w:tcBorders>
              <w:top w:val="nil"/>
              <w:left w:val="nil"/>
              <w:bottom w:val="nil"/>
              <w:right w:val="nil"/>
            </w:tcBorders>
            <w:shd w:val="clear" w:color="000000" w:fill="FFFFFF"/>
            <w:noWrap/>
            <w:vAlign w:val="center"/>
            <w:hideMark/>
          </w:tcPr>
          <w:p w14:paraId="4EC849CC" w14:textId="4330EBEC" w:rsidR="00746D27" w:rsidRPr="00F73E73" w:rsidRDefault="00851C08" w:rsidP="00746D27">
            <w:pPr>
              <w:spacing w:after="0" w:line="240" w:lineRule="auto"/>
              <w:jc w:val="right"/>
              <w:rPr>
                <w:rFonts w:ascii="Arial" w:hAnsi="Arial" w:cs="Arial"/>
                <w:color w:val="auto"/>
                <w:sz w:val="16"/>
                <w:szCs w:val="16"/>
              </w:rPr>
            </w:pPr>
            <w:r w:rsidRPr="00F73E73">
              <w:rPr>
                <w:rFonts w:ascii="Arial" w:hAnsi="Arial" w:cs="Arial"/>
                <w:color w:val="auto"/>
                <w:sz w:val="16"/>
                <w:szCs w:val="16"/>
              </w:rPr>
              <w:t>1.</w:t>
            </w:r>
            <w:r w:rsidR="00AD7983" w:rsidRPr="00F73E73">
              <w:rPr>
                <w:rFonts w:ascii="Arial" w:hAnsi="Arial" w:cs="Arial"/>
                <w:color w:val="auto"/>
                <w:sz w:val="16"/>
                <w:szCs w:val="16"/>
              </w:rPr>
              <w:t>7</w:t>
            </w:r>
          </w:p>
        </w:tc>
      </w:tr>
      <w:tr w:rsidR="00851C08" w:rsidRPr="000D482C" w14:paraId="283F569B" w14:textId="77777777" w:rsidTr="00F07785">
        <w:trPr>
          <w:trHeight w:val="225"/>
        </w:trPr>
        <w:tc>
          <w:tcPr>
            <w:tcW w:w="1056" w:type="pct"/>
            <w:tcBorders>
              <w:top w:val="nil"/>
              <w:left w:val="nil"/>
              <w:bottom w:val="nil"/>
              <w:right w:val="nil"/>
            </w:tcBorders>
            <w:shd w:val="clear" w:color="000000" w:fill="FFFFFF"/>
            <w:noWrap/>
            <w:vAlign w:val="center"/>
            <w:hideMark/>
          </w:tcPr>
          <w:p w14:paraId="1B80F1A4"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NT</w:t>
            </w:r>
          </w:p>
        </w:tc>
        <w:tc>
          <w:tcPr>
            <w:tcW w:w="891" w:type="pct"/>
            <w:tcBorders>
              <w:top w:val="nil"/>
              <w:left w:val="nil"/>
              <w:bottom w:val="nil"/>
              <w:right w:val="nil"/>
            </w:tcBorders>
            <w:shd w:val="clear" w:color="000000" w:fill="FFFFFF"/>
            <w:noWrap/>
            <w:vAlign w:val="center"/>
            <w:hideMark/>
          </w:tcPr>
          <w:p w14:paraId="3CC2EFA1" w14:textId="3050E255" w:rsidR="00746D27" w:rsidRPr="00F73E73" w:rsidRDefault="00851C08" w:rsidP="00746D27">
            <w:pPr>
              <w:spacing w:after="0" w:line="240" w:lineRule="auto"/>
              <w:jc w:val="right"/>
              <w:rPr>
                <w:rFonts w:ascii="Arial" w:hAnsi="Arial" w:cs="Arial"/>
                <w:color w:val="auto"/>
                <w:sz w:val="16"/>
                <w:szCs w:val="16"/>
              </w:rPr>
            </w:pPr>
            <w:r w:rsidRPr="00F73E73">
              <w:rPr>
                <w:rFonts w:ascii="Arial" w:hAnsi="Arial" w:cs="Arial"/>
                <w:color w:val="auto"/>
                <w:sz w:val="16"/>
                <w:szCs w:val="16"/>
              </w:rPr>
              <w:t>24</w:t>
            </w:r>
          </w:p>
        </w:tc>
        <w:tc>
          <w:tcPr>
            <w:tcW w:w="178" w:type="pct"/>
            <w:tcBorders>
              <w:top w:val="nil"/>
              <w:left w:val="nil"/>
              <w:bottom w:val="nil"/>
              <w:right w:val="nil"/>
            </w:tcBorders>
            <w:shd w:val="clear" w:color="000000" w:fill="FFFFFF"/>
            <w:noWrap/>
            <w:vAlign w:val="center"/>
            <w:hideMark/>
          </w:tcPr>
          <w:p w14:paraId="1D6FBF2B"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 </w:t>
            </w:r>
          </w:p>
        </w:tc>
        <w:tc>
          <w:tcPr>
            <w:tcW w:w="765" w:type="pct"/>
            <w:tcBorders>
              <w:top w:val="nil"/>
              <w:left w:val="nil"/>
              <w:bottom w:val="nil"/>
              <w:right w:val="nil"/>
            </w:tcBorders>
            <w:shd w:val="clear" w:color="000000" w:fill="FFFFFF"/>
            <w:noWrap/>
            <w:vAlign w:val="center"/>
            <w:hideMark/>
          </w:tcPr>
          <w:p w14:paraId="630599A1" w14:textId="77777777" w:rsidR="00746D27" w:rsidRPr="00BB4A0D" w:rsidRDefault="00746D27" w:rsidP="00746D27">
            <w:pPr>
              <w:spacing w:after="0" w:line="240" w:lineRule="auto"/>
              <w:jc w:val="right"/>
              <w:rPr>
                <w:rFonts w:ascii="Arial" w:hAnsi="Arial" w:cs="Arial"/>
                <w:color w:val="auto"/>
                <w:sz w:val="16"/>
                <w:szCs w:val="16"/>
              </w:rPr>
            </w:pPr>
            <w:r w:rsidRPr="00BB4A0D">
              <w:rPr>
                <w:rFonts w:ascii="Arial" w:hAnsi="Arial" w:cs="Arial"/>
                <w:color w:val="auto"/>
                <w:sz w:val="16"/>
                <w:szCs w:val="16"/>
              </w:rPr>
              <w:t>0.0</w:t>
            </w:r>
          </w:p>
        </w:tc>
        <w:tc>
          <w:tcPr>
            <w:tcW w:w="1217" w:type="pct"/>
            <w:tcBorders>
              <w:top w:val="nil"/>
              <w:left w:val="nil"/>
              <w:bottom w:val="nil"/>
              <w:right w:val="nil"/>
            </w:tcBorders>
            <w:shd w:val="clear" w:color="000000" w:fill="FFFFFF"/>
            <w:noWrap/>
            <w:vAlign w:val="center"/>
            <w:hideMark/>
          </w:tcPr>
          <w:p w14:paraId="68E39A7D" w14:textId="77777777" w:rsidR="00746D27" w:rsidRPr="00BB4A0D" w:rsidRDefault="00746D27" w:rsidP="00746D27">
            <w:pPr>
              <w:spacing w:after="0" w:line="240" w:lineRule="auto"/>
              <w:jc w:val="right"/>
              <w:rPr>
                <w:rFonts w:ascii="Arial" w:hAnsi="Arial" w:cs="Arial"/>
                <w:color w:val="auto"/>
                <w:sz w:val="16"/>
                <w:szCs w:val="16"/>
              </w:rPr>
            </w:pPr>
            <w:r w:rsidRPr="00BB4A0D">
              <w:rPr>
                <w:rFonts w:ascii="Arial" w:hAnsi="Arial" w:cs="Arial"/>
                <w:color w:val="auto"/>
                <w:sz w:val="16"/>
                <w:szCs w:val="16"/>
              </w:rPr>
              <w:t>0.0</w:t>
            </w:r>
          </w:p>
        </w:tc>
        <w:tc>
          <w:tcPr>
            <w:tcW w:w="169" w:type="pct"/>
            <w:tcBorders>
              <w:top w:val="nil"/>
              <w:left w:val="nil"/>
              <w:bottom w:val="nil"/>
              <w:right w:val="nil"/>
            </w:tcBorders>
            <w:shd w:val="clear" w:color="000000" w:fill="FFFFFF"/>
            <w:noWrap/>
            <w:vAlign w:val="center"/>
            <w:hideMark/>
          </w:tcPr>
          <w:p w14:paraId="7EAAA7EA"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 </w:t>
            </w:r>
          </w:p>
        </w:tc>
        <w:tc>
          <w:tcPr>
            <w:tcW w:w="723" w:type="pct"/>
            <w:tcBorders>
              <w:top w:val="nil"/>
              <w:left w:val="nil"/>
              <w:bottom w:val="nil"/>
              <w:right w:val="nil"/>
            </w:tcBorders>
            <w:shd w:val="clear" w:color="000000" w:fill="FFFFFF"/>
            <w:noWrap/>
            <w:vAlign w:val="center"/>
            <w:hideMark/>
          </w:tcPr>
          <w:p w14:paraId="73F8BB88" w14:textId="77777777" w:rsidR="00746D27" w:rsidRPr="00BB4A0D" w:rsidRDefault="00746D27" w:rsidP="00746D27">
            <w:pPr>
              <w:spacing w:after="0" w:line="240" w:lineRule="auto"/>
              <w:jc w:val="right"/>
              <w:rPr>
                <w:rFonts w:ascii="Arial" w:hAnsi="Arial" w:cs="Arial"/>
                <w:color w:val="auto"/>
                <w:sz w:val="16"/>
                <w:szCs w:val="16"/>
              </w:rPr>
            </w:pPr>
            <w:r w:rsidRPr="00BB4A0D">
              <w:rPr>
                <w:rFonts w:ascii="Arial" w:hAnsi="Arial" w:cs="Arial"/>
                <w:color w:val="auto"/>
                <w:sz w:val="16"/>
                <w:szCs w:val="16"/>
              </w:rPr>
              <w:t>0.0</w:t>
            </w:r>
          </w:p>
        </w:tc>
      </w:tr>
      <w:tr w:rsidR="00851C08" w:rsidRPr="000D482C" w14:paraId="7C33935B" w14:textId="77777777" w:rsidTr="00F07785">
        <w:trPr>
          <w:trHeight w:val="225"/>
        </w:trPr>
        <w:tc>
          <w:tcPr>
            <w:tcW w:w="1056" w:type="pct"/>
            <w:tcBorders>
              <w:top w:val="nil"/>
              <w:left w:val="nil"/>
              <w:bottom w:val="nil"/>
              <w:right w:val="nil"/>
            </w:tcBorders>
            <w:shd w:val="clear" w:color="000000" w:fill="FFFFFF"/>
            <w:noWrap/>
            <w:vAlign w:val="center"/>
            <w:hideMark/>
          </w:tcPr>
          <w:p w14:paraId="20EA3813"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Qld</w:t>
            </w:r>
          </w:p>
        </w:tc>
        <w:tc>
          <w:tcPr>
            <w:tcW w:w="891" w:type="pct"/>
            <w:tcBorders>
              <w:top w:val="nil"/>
              <w:left w:val="nil"/>
              <w:bottom w:val="nil"/>
              <w:right w:val="nil"/>
            </w:tcBorders>
            <w:shd w:val="clear" w:color="000000" w:fill="FFFFFF"/>
            <w:noWrap/>
            <w:vAlign w:val="center"/>
            <w:hideMark/>
          </w:tcPr>
          <w:p w14:paraId="5475FA7B" w14:textId="3EB2146E" w:rsidR="00746D27" w:rsidRPr="00BB4A0D" w:rsidRDefault="00851C08" w:rsidP="00746D27">
            <w:pPr>
              <w:spacing w:after="0" w:line="240" w:lineRule="auto"/>
              <w:jc w:val="right"/>
              <w:rPr>
                <w:rFonts w:ascii="Arial" w:hAnsi="Arial" w:cs="Arial"/>
                <w:color w:val="auto"/>
                <w:sz w:val="16"/>
                <w:szCs w:val="16"/>
              </w:rPr>
            </w:pPr>
            <w:r w:rsidRPr="00BB4A0D">
              <w:rPr>
                <w:rFonts w:ascii="Arial" w:hAnsi="Arial" w:cs="Arial"/>
                <w:color w:val="auto"/>
                <w:sz w:val="16"/>
                <w:szCs w:val="16"/>
              </w:rPr>
              <w:t>930</w:t>
            </w:r>
          </w:p>
        </w:tc>
        <w:tc>
          <w:tcPr>
            <w:tcW w:w="178" w:type="pct"/>
            <w:tcBorders>
              <w:top w:val="nil"/>
              <w:left w:val="nil"/>
              <w:bottom w:val="nil"/>
              <w:right w:val="nil"/>
            </w:tcBorders>
            <w:shd w:val="clear" w:color="000000" w:fill="FFFFFF"/>
            <w:noWrap/>
            <w:vAlign w:val="center"/>
            <w:hideMark/>
          </w:tcPr>
          <w:p w14:paraId="4D1728C2"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 </w:t>
            </w:r>
          </w:p>
        </w:tc>
        <w:tc>
          <w:tcPr>
            <w:tcW w:w="765" w:type="pct"/>
            <w:tcBorders>
              <w:top w:val="nil"/>
              <w:left w:val="nil"/>
              <w:bottom w:val="nil"/>
              <w:right w:val="nil"/>
            </w:tcBorders>
            <w:shd w:val="clear" w:color="000000" w:fill="FFFFFF"/>
            <w:noWrap/>
            <w:vAlign w:val="center"/>
            <w:hideMark/>
          </w:tcPr>
          <w:p w14:paraId="0C837FC8" w14:textId="5EB7A62A" w:rsidR="00746D27" w:rsidRPr="00BB4A0D" w:rsidRDefault="0052710D" w:rsidP="00746D27">
            <w:pPr>
              <w:spacing w:after="0" w:line="240" w:lineRule="auto"/>
              <w:jc w:val="right"/>
              <w:rPr>
                <w:rFonts w:ascii="Arial" w:hAnsi="Arial" w:cs="Arial"/>
                <w:color w:val="auto"/>
                <w:sz w:val="16"/>
                <w:szCs w:val="16"/>
              </w:rPr>
            </w:pPr>
            <w:r w:rsidRPr="00BB4A0D">
              <w:rPr>
                <w:rFonts w:ascii="Arial" w:hAnsi="Arial" w:cs="Arial"/>
                <w:color w:val="auto"/>
                <w:sz w:val="16"/>
                <w:szCs w:val="16"/>
              </w:rPr>
              <w:t>0</w:t>
            </w:r>
            <w:r w:rsidR="00851C08" w:rsidRPr="00BB4A0D">
              <w:rPr>
                <w:rFonts w:ascii="Arial" w:hAnsi="Arial" w:cs="Arial"/>
                <w:color w:val="auto"/>
                <w:sz w:val="16"/>
                <w:szCs w:val="16"/>
              </w:rPr>
              <w:t>.1</w:t>
            </w:r>
          </w:p>
        </w:tc>
        <w:tc>
          <w:tcPr>
            <w:tcW w:w="1217" w:type="pct"/>
            <w:tcBorders>
              <w:top w:val="nil"/>
              <w:left w:val="nil"/>
              <w:bottom w:val="nil"/>
              <w:right w:val="nil"/>
            </w:tcBorders>
            <w:shd w:val="clear" w:color="000000" w:fill="FFFFFF"/>
            <w:noWrap/>
            <w:vAlign w:val="center"/>
            <w:hideMark/>
          </w:tcPr>
          <w:p w14:paraId="2BC9E550" w14:textId="0F368E0E" w:rsidR="00746D27" w:rsidRPr="00BB4A0D" w:rsidRDefault="00851C08" w:rsidP="00746D27">
            <w:pPr>
              <w:spacing w:after="0" w:line="240" w:lineRule="auto"/>
              <w:jc w:val="right"/>
              <w:rPr>
                <w:rFonts w:ascii="Arial" w:hAnsi="Arial" w:cs="Arial"/>
                <w:color w:val="auto"/>
                <w:sz w:val="16"/>
                <w:szCs w:val="16"/>
              </w:rPr>
            </w:pPr>
            <w:r w:rsidRPr="00BB4A0D">
              <w:rPr>
                <w:rFonts w:ascii="Arial" w:hAnsi="Arial" w:cs="Arial"/>
                <w:color w:val="auto"/>
                <w:sz w:val="16"/>
                <w:szCs w:val="16"/>
              </w:rPr>
              <w:t>0.6</w:t>
            </w:r>
          </w:p>
        </w:tc>
        <w:tc>
          <w:tcPr>
            <w:tcW w:w="169" w:type="pct"/>
            <w:tcBorders>
              <w:top w:val="nil"/>
              <w:left w:val="nil"/>
              <w:bottom w:val="nil"/>
              <w:right w:val="nil"/>
            </w:tcBorders>
            <w:shd w:val="clear" w:color="000000" w:fill="FFFFFF"/>
            <w:noWrap/>
            <w:vAlign w:val="center"/>
            <w:hideMark/>
          </w:tcPr>
          <w:p w14:paraId="7B6EF6BD"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 </w:t>
            </w:r>
          </w:p>
        </w:tc>
        <w:tc>
          <w:tcPr>
            <w:tcW w:w="723" w:type="pct"/>
            <w:tcBorders>
              <w:top w:val="nil"/>
              <w:left w:val="nil"/>
              <w:bottom w:val="nil"/>
              <w:right w:val="nil"/>
            </w:tcBorders>
            <w:shd w:val="clear" w:color="000000" w:fill="FFFFFF"/>
            <w:noWrap/>
            <w:vAlign w:val="center"/>
            <w:hideMark/>
          </w:tcPr>
          <w:p w14:paraId="6AFCB834" w14:textId="51D28579" w:rsidR="00746D27" w:rsidRPr="00BB4A0D" w:rsidRDefault="00AD7983" w:rsidP="00746D27">
            <w:pPr>
              <w:spacing w:after="0" w:line="240" w:lineRule="auto"/>
              <w:jc w:val="right"/>
              <w:rPr>
                <w:rFonts w:ascii="Arial" w:hAnsi="Arial" w:cs="Arial"/>
                <w:color w:val="auto"/>
                <w:sz w:val="16"/>
                <w:szCs w:val="16"/>
              </w:rPr>
            </w:pPr>
            <w:r w:rsidRPr="00BB4A0D">
              <w:rPr>
                <w:rFonts w:ascii="Arial" w:hAnsi="Arial" w:cs="Arial"/>
                <w:color w:val="auto"/>
                <w:sz w:val="16"/>
                <w:szCs w:val="16"/>
              </w:rPr>
              <w:t>0</w:t>
            </w:r>
            <w:r w:rsidR="00851C08" w:rsidRPr="00BB4A0D">
              <w:rPr>
                <w:rFonts w:ascii="Arial" w:hAnsi="Arial" w:cs="Arial"/>
                <w:color w:val="auto"/>
                <w:sz w:val="16"/>
                <w:szCs w:val="16"/>
              </w:rPr>
              <w:t>.7</w:t>
            </w:r>
          </w:p>
        </w:tc>
      </w:tr>
      <w:tr w:rsidR="00851C08" w:rsidRPr="000D482C" w14:paraId="5DF555FB" w14:textId="77777777" w:rsidTr="00F07785">
        <w:trPr>
          <w:trHeight w:val="225"/>
        </w:trPr>
        <w:tc>
          <w:tcPr>
            <w:tcW w:w="1056" w:type="pct"/>
            <w:tcBorders>
              <w:top w:val="nil"/>
              <w:left w:val="nil"/>
              <w:bottom w:val="nil"/>
              <w:right w:val="nil"/>
            </w:tcBorders>
            <w:shd w:val="clear" w:color="000000" w:fill="FFFFFF"/>
            <w:noWrap/>
            <w:vAlign w:val="center"/>
            <w:hideMark/>
          </w:tcPr>
          <w:p w14:paraId="61A8FC9F"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SA</w:t>
            </w:r>
          </w:p>
        </w:tc>
        <w:tc>
          <w:tcPr>
            <w:tcW w:w="891" w:type="pct"/>
            <w:tcBorders>
              <w:top w:val="nil"/>
              <w:left w:val="nil"/>
              <w:bottom w:val="nil"/>
              <w:right w:val="nil"/>
            </w:tcBorders>
            <w:shd w:val="clear" w:color="000000" w:fill="FFFFFF"/>
            <w:noWrap/>
            <w:vAlign w:val="center"/>
            <w:hideMark/>
          </w:tcPr>
          <w:p w14:paraId="2AF055A0" w14:textId="65EFEEE4" w:rsidR="00746D27" w:rsidRPr="00BB4A0D" w:rsidRDefault="00851C08" w:rsidP="00746D27">
            <w:pPr>
              <w:spacing w:after="0" w:line="240" w:lineRule="auto"/>
              <w:jc w:val="right"/>
              <w:rPr>
                <w:rFonts w:ascii="Arial" w:hAnsi="Arial" w:cs="Arial"/>
                <w:color w:val="auto"/>
                <w:sz w:val="16"/>
                <w:szCs w:val="16"/>
              </w:rPr>
            </w:pPr>
            <w:r w:rsidRPr="00BB4A0D">
              <w:rPr>
                <w:rFonts w:ascii="Arial" w:hAnsi="Arial" w:cs="Arial"/>
                <w:color w:val="auto"/>
                <w:sz w:val="16"/>
                <w:szCs w:val="16"/>
              </w:rPr>
              <w:t>286</w:t>
            </w:r>
          </w:p>
        </w:tc>
        <w:tc>
          <w:tcPr>
            <w:tcW w:w="178" w:type="pct"/>
            <w:tcBorders>
              <w:top w:val="nil"/>
              <w:left w:val="nil"/>
              <w:bottom w:val="nil"/>
              <w:right w:val="nil"/>
            </w:tcBorders>
            <w:shd w:val="clear" w:color="000000" w:fill="FFFFFF"/>
            <w:noWrap/>
            <w:vAlign w:val="center"/>
            <w:hideMark/>
          </w:tcPr>
          <w:p w14:paraId="6111AA3F"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 </w:t>
            </w:r>
          </w:p>
        </w:tc>
        <w:tc>
          <w:tcPr>
            <w:tcW w:w="765" w:type="pct"/>
            <w:tcBorders>
              <w:top w:val="nil"/>
              <w:left w:val="nil"/>
              <w:bottom w:val="nil"/>
              <w:right w:val="nil"/>
            </w:tcBorders>
            <w:shd w:val="clear" w:color="000000" w:fill="FFFFFF"/>
            <w:noWrap/>
            <w:vAlign w:val="center"/>
            <w:hideMark/>
          </w:tcPr>
          <w:p w14:paraId="7DBD2BE4" w14:textId="6C362F47" w:rsidR="00746D27" w:rsidRPr="00BB4A0D" w:rsidRDefault="00851C08" w:rsidP="00746D27">
            <w:pPr>
              <w:spacing w:after="0" w:line="240" w:lineRule="auto"/>
              <w:jc w:val="right"/>
              <w:rPr>
                <w:rFonts w:ascii="Arial" w:hAnsi="Arial" w:cs="Arial"/>
                <w:color w:val="auto"/>
                <w:sz w:val="16"/>
                <w:szCs w:val="16"/>
              </w:rPr>
            </w:pPr>
            <w:r w:rsidRPr="00BB4A0D">
              <w:rPr>
                <w:rFonts w:ascii="Arial" w:hAnsi="Arial" w:cs="Arial"/>
                <w:color w:val="auto"/>
                <w:sz w:val="16"/>
                <w:szCs w:val="16"/>
              </w:rPr>
              <w:t>0.0</w:t>
            </w:r>
          </w:p>
        </w:tc>
        <w:tc>
          <w:tcPr>
            <w:tcW w:w="1217" w:type="pct"/>
            <w:tcBorders>
              <w:top w:val="nil"/>
              <w:left w:val="nil"/>
              <w:bottom w:val="nil"/>
              <w:right w:val="nil"/>
            </w:tcBorders>
            <w:shd w:val="clear" w:color="000000" w:fill="FFFFFF"/>
            <w:noWrap/>
            <w:vAlign w:val="center"/>
            <w:hideMark/>
          </w:tcPr>
          <w:p w14:paraId="5D49D771" w14:textId="77777777" w:rsidR="00746D27" w:rsidRPr="00BB4A0D" w:rsidRDefault="00851C08" w:rsidP="00746D27">
            <w:pPr>
              <w:spacing w:after="0" w:line="240" w:lineRule="auto"/>
              <w:jc w:val="right"/>
              <w:rPr>
                <w:rFonts w:ascii="Arial" w:hAnsi="Arial" w:cs="Arial"/>
                <w:color w:val="auto"/>
                <w:sz w:val="16"/>
                <w:szCs w:val="16"/>
              </w:rPr>
            </w:pPr>
            <w:r w:rsidRPr="00BB4A0D">
              <w:rPr>
                <w:rFonts w:ascii="Arial" w:hAnsi="Arial" w:cs="Arial"/>
                <w:color w:val="auto"/>
                <w:sz w:val="16"/>
                <w:szCs w:val="16"/>
              </w:rPr>
              <w:t>0.1</w:t>
            </w:r>
          </w:p>
        </w:tc>
        <w:tc>
          <w:tcPr>
            <w:tcW w:w="169" w:type="pct"/>
            <w:tcBorders>
              <w:top w:val="nil"/>
              <w:left w:val="nil"/>
              <w:bottom w:val="nil"/>
              <w:right w:val="nil"/>
            </w:tcBorders>
            <w:shd w:val="clear" w:color="000000" w:fill="FFFFFF"/>
            <w:noWrap/>
            <w:vAlign w:val="center"/>
            <w:hideMark/>
          </w:tcPr>
          <w:p w14:paraId="74DAEF93"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 </w:t>
            </w:r>
          </w:p>
        </w:tc>
        <w:tc>
          <w:tcPr>
            <w:tcW w:w="723" w:type="pct"/>
            <w:tcBorders>
              <w:top w:val="nil"/>
              <w:left w:val="nil"/>
              <w:bottom w:val="nil"/>
              <w:right w:val="nil"/>
            </w:tcBorders>
            <w:shd w:val="clear" w:color="000000" w:fill="FFFFFF"/>
            <w:noWrap/>
            <w:vAlign w:val="center"/>
            <w:hideMark/>
          </w:tcPr>
          <w:p w14:paraId="0E25DF54" w14:textId="77777777" w:rsidR="00746D27" w:rsidRPr="00BB4A0D" w:rsidRDefault="00851C08" w:rsidP="00746D27">
            <w:pPr>
              <w:spacing w:after="0" w:line="240" w:lineRule="auto"/>
              <w:jc w:val="right"/>
              <w:rPr>
                <w:rFonts w:ascii="Arial" w:hAnsi="Arial" w:cs="Arial"/>
                <w:color w:val="auto"/>
                <w:sz w:val="16"/>
                <w:szCs w:val="16"/>
              </w:rPr>
            </w:pPr>
            <w:r w:rsidRPr="00BB4A0D">
              <w:rPr>
                <w:rFonts w:ascii="Arial" w:hAnsi="Arial" w:cs="Arial"/>
                <w:color w:val="auto"/>
                <w:sz w:val="16"/>
                <w:szCs w:val="16"/>
              </w:rPr>
              <w:t>0.2</w:t>
            </w:r>
          </w:p>
        </w:tc>
      </w:tr>
      <w:tr w:rsidR="00851C08" w:rsidRPr="000D482C" w14:paraId="702037E7" w14:textId="77777777" w:rsidTr="00F07785">
        <w:trPr>
          <w:trHeight w:val="225"/>
        </w:trPr>
        <w:tc>
          <w:tcPr>
            <w:tcW w:w="1056" w:type="pct"/>
            <w:tcBorders>
              <w:top w:val="nil"/>
              <w:left w:val="nil"/>
              <w:bottom w:val="nil"/>
              <w:right w:val="nil"/>
            </w:tcBorders>
            <w:shd w:val="clear" w:color="000000" w:fill="FFFFFF"/>
            <w:noWrap/>
            <w:vAlign w:val="center"/>
            <w:hideMark/>
          </w:tcPr>
          <w:p w14:paraId="27F06E6E"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Tas.</w:t>
            </w:r>
          </w:p>
        </w:tc>
        <w:tc>
          <w:tcPr>
            <w:tcW w:w="891" w:type="pct"/>
            <w:tcBorders>
              <w:top w:val="nil"/>
              <w:left w:val="nil"/>
              <w:bottom w:val="nil"/>
              <w:right w:val="nil"/>
            </w:tcBorders>
            <w:shd w:val="clear" w:color="000000" w:fill="FFFFFF"/>
            <w:noWrap/>
            <w:vAlign w:val="center"/>
            <w:hideMark/>
          </w:tcPr>
          <w:p w14:paraId="4DC9292F" w14:textId="6ED30E69" w:rsidR="00746D27" w:rsidRPr="007B3E80" w:rsidRDefault="00851C08" w:rsidP="00746D27">
            <w:pPr>
              <w:spacing w:after="0" w:line="240" w:lineRule="auto"/>
              <w:jc w:val="right"/>
              <w:rPr>
                <w:rFonts w:ascii="Arial" w:hAnsi="Arial" w:cs="Arial"/>
                <w:color w:val="auto"/>
                <w:sz w:val="16"/>
                <w:szCs w:val="16"/>
              </w:rPr>
            </w:pPr>
            <w:r w:rsidRPr="007B3E80">
              <w:rPr>
                <w:rFonts w:ascii="Arial" w:hAnsi="Arial" w:cs="Arial"/>
                <w:color w:val="auto"/>
                <w:sz w:val="16"/>
                <w:szCs w:val="16"/>
              </w:rPr>
              <w:t>124</w:t>
            </w:r>
          </w:p>
        </w:tc>
        <w:tc>
          <w:tcPr>
            <w:tcW w:w="178" w:type="pct"/>
            <w:tcBorders>
              <w:top w:val="nil"/>
              <w:left w:val="nil"/>
              <w:bottom w:val="nil"/>
              <w:right w:val="nil"/>
            </w:tcBorders>
            <w:shd w:val="clear" w:color="000000" w:fill="FFFFFF"/>
            <w:noWrap/>
            <w:vAlign w:val="center"/>
            <w:hideMark/>
          </w:tcPr>
          <w:p w14:paraId="393DC4E5"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 </w:t>
            </w:r>
          </w:p>
        </w:tc>
        <w:tc>
          <w:tcPr>
            <w:tcW w:w="765" w:type="pct"/>
            <w:tcBorders>
              <w:top w:val="nil"/>
              <w:left w:val="nil"/>
              <w:bottom w:val="nil"/>
              <w:right w:val="nil"/>
            </w:tcBorders>
            <w:shd w:val="clear" w:color="000000" w:fill="FFFFFF"/>
            <w:noWrap/>
            <w:vAlign w:val="center"/>
            <w:hideMark/>
          </w:tcPr>
          <w:p w14:paraId="11B75059" w14:textId="20DEC7AF" w:rsidR="00746D27" w:rsidRPr="00F54907" w:rsidRDefault="00851C08"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1217" w:type="pct"/>
            <w:tcBorders>
              <w:top w:val="nil"/>
              <w:left w:val="nil"/>
              <w:bottom w:val="nil"/>
              <w:right w:val="nil"/>
            </w:tcBorders>
            <w:shd w:val="clear" w:color="000000" w:fill="FFFFFF"/>
            <w:noWrap/>
            <w:vAlign w:val="center"/>
            <w:hideMark/>
          </w:tcPr>
          <w:p w14:paraId="409220ED" w14:textId="0BF67984" w:rsidR="00746D27" w:rsidRPr="00F54907" w:rsidRDefault="00851C08"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169" w:type="pct"/>
            <w:tcBorders>
              <w:top w:val="nil"/>
              <w:left w:val="nil"/>
              <w:bottom w:val="nil"/>
              <w:right w:val="nil"/>
            </w:tcBorders>
            <w:shd w:val="clear" w:color="000000" w:fill="FFFFFF"/>
            <w:noWrap/>
            <w:vAlign w:val="center"/>
            <w:hideMark/>
          </w:tcPr>
          <w:p w14:paraId="4105FF96"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 </w:t>
            </w:r>
          </w:p>
        </w:tc>
        <w:tc>
          <w:tcPr>
            <w:tcW w:w="723" w:type="pct"/>
            <w:tcBorders>
              <w:top w:val="nil"/>
              <w:left w:val="nil"/>
              <w:bottom w:val="nil"/>
              <w:right w:val="nil"/>
            </w:tcBorders>
            <w:shd w:val="clear" w:color="000000" w:fill="FFFFFF"/>
            <w:noWrap/>
            <w:vAlign w:val="center"/>
            <w:hideMark/>
          </w:tcPr>
          <w:p w14:paraId="1E2AEF04" w14:textId="77777777" w:rsidR="00746D27" w:rsidRPr="00F54907" w:rsidRDefault="00851C08"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0.1</w:t>
            </w:r>
          </w:p>
        </w:tc>
      </w:tr>
      <w:tr w:rsidR="00851C08" w:rsidRPr="000D482C" w14:paraId="66A8E103" w14:textId="77777777" w:rsidTr="00F07785">
        <w:trPr>
          <w:trHeight w:val="225"/>
        </w:trPr>
        <w:tc>
          <w:tcPr>
            <w:tcW w:w="1056" w:type="pct"/>
            <w:tcBorders>
              <w:top w:val="nil"/>
              <w:left w:val="nil"/>
              <w:bottom w:val="nil"/>
              <w:right w:val="nil"/>
            </w:tcBorders>
            <w:shd w:val="clear" w:color="000000" w:fill="FFFFFF"/>
            <w:noWrap/>
            <w:vAlign w:val="center"/>
            <w:hideMark/>
          </w:tcPr>
          <w:p w14:paraId="1F0D95C0"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Vic.</w:t>
            </w:r>
          </w:p>
        </w:tc>
        <w:tc>
          <w:tcPr>
            <w:tcW w:w="891" w:type="pct"/>
            <w:tcBorders>
              <w:top w:val="nil"/>
              <w:left w:val="nil"/>
              <w:bottom w:val="nil"/>
              <w:right w:val="nil"/>
            </w:tcBorders>
            <w:shd w:val="clear" w:color="000000" w:fill="FFFFFF"/>
            <w:noWrap/>
            <w:vAlign w:val="center"/>
            <w:hideMark/>
          </w:tcPr>
          <w:p w14:paraId="6736B1E7" w14:textId="633A6A79" w:rsidR="00746D27" w:rsidRPr="00F54907" w:rsidRDefault="00851C08"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1619</w:t>
            </w:r>
          </w:p>
        </w:tc>
        <w:tc>
          <w:tcPr>
            <w:tcW w:w="178" w:type="pct"/>
            <w:tcBorders>
              <w:top w:val="nil"/>
              <w:left w:val="nil"/>
              <w:bottom w:val="nil"/>
              <w:right w:val="nil"/>
            </w:tcBorders>
            <w:shd w:val="clear" w:color="000000" w:fill="FFFFFF"/>
            <w:noWrap/>
            <w:vAlign w:val="center"/>
            <w:hideMark/>
          </w:tcPr>
          <w:p w14:paraId="3853CBE0" w14:textId="238AAF66" w:rsidR="00746D27" w:rsidRPr="00944CAF" w:rsidRDefault="00746D27" w:rsidP="00746D27">
            <w:pPr>
              <w:spacing w:after="0" w:line="240" w:lineRule="auto"/>
              <w:jc w:val="left"/>
              <w:rPr>
                <w:rFonts w:ascii="Arial" w:hAnsi="Arial" w:cs="Arial"/>
                <w:color w:val="auto"/>
                <w:sz w:val="16"/>
                <w:szCs w:val="16"/>
              </w:rPr>
            </w:pPr>
          </w:p>
        </w:tc>
        <w:tc>
          <w:tcPr>
            <w:tcW w:w="765" w:type="pct"/>
            <w:tcBorders>
              <w:top w:val="nil"/>
              <w:left w:val="nil"/>
              <w:bottom w:val="nil"/>
              <w:right w:val="nil"/>
            </w:tcBorders>
            <w:shd w:val="clear" w:color="000000" w:fill="FFFFFF"/>
            <w:noWrap/>
            <w:vAlign w:val="center"/>
            <w:hideMark/>
          </w:tcPr>
          <w:p w14:paraId="01C12BDE" w14:textId="3A019CEE" w:rsidR="00746D27" w:rsidRPr="00F54907" w:rsidRDefault="00851C08"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0.4</w:t>
            </w:r>
          </w:p>
        </w:tc>
        <w:tc>
          <w:tcPr>
            <w:tcW w:w="1217" w:type="pct"/>
            <w:tcBorders>
              <w:top w:val="nil"/>
              <w:left w:val="nil"/>
              <w:bottom w:val="nil"/>
              <w:right w:val="nil"/>
            </w:tcBorders>
            <w:shd w:val="clear" w:color="000000" w:fill="FFFFFF"/>
            <w:noWrap/>
            <w:vAlign w:val="center"/>
            <w:hideMark/>
          </w:tcPr>
          <w:p w14:paraId="6ABC8ECE" w14:textId="27B26991" w:rsidR="00746D27" w:rsidRPr="00F54907" w:rsidRDefault="00851C08"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2.2</w:t>
            </w:r>
          </w:p>
        </w:tc>
        <w:tc>
          <w:tcPr>
            <w:tcW w:w="169" w:type="pct"/>
            <w:tcBorders>
              <w:top w:val="nil"/>
              <w:left w:val="nil"/>
              <w:bottom w:val="nil"/>
              <w:right w:val="nil"/>
            </w:tcBorders>
            <w:shd w:val="clear" w:color="000000" w:fill="FFFFFF"/>
            <w:noWrap/>
            <w:vAlign w:val="center"/>
            <w:hideMark/>
          </w:tcPr>
          <w:p w14:paraId="5EBF66A7"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 </w:t>
            </w:r>
          </w:p>
        </w:tc>
        <w:tc>
          <w:tcPr>
            <w:tcW w:w="723" w:type="pct"/>
            <w:tcBorders>
              <w:top w:val="nil"/>
              <w:left w:val="nil"/>
              <w:bottom w:val="nil"/>
              <w:right w:val="nil"/>
            </w:tcBorders>
            <w:shd w:val="clear" w:color="000000" w:fill="FFFFFF"/>
            <w:noWrap/>
            <w:vAlign w:val="center"/>
            <w:hideMark/>
          </w:tcPr>
          <w:p w14:paraId="6FD20223" w14:textId="7B575629" w:rsidR="00746D27" w:rsidRPr="00F54907" w:rsidRDefault="00851C08"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2.6</w:t>
            </w:r>
          </w:p>
        </w:tc>
      </w:tr>
      <w:tr w:rsidR="00851C08" w:rsidRPr="000D482C" w14:paraId="4AB124AB" w14:textId="77777777" w:rsidTr="00F07785">
        <w:trPr>
          <w:trHeight w:val="225"/>
        </w:trPr>
        <w:tc>
          <w:tcPr>
            <w:tcW w:w="1056" w:type="pct"/>
            <w:tcBorders>
              <w:top w:val="nil"/>
              <w:left w:val="nil"/>
              <w:bottom w:val="nil"/>
              <w:right w:val="nil"/>
            </w:tcBorders>
            <w:shd w:val="clear" w:color="000000" w:fill="FFFFFF"/>
            <w:noWrap/>
            <w:vAlign w:val="center"/>
            <w:hideMark/>
          </w:tcPr>
          <w:p w14:paraId="77CD2A4B"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WA</w:t>
            </w:r>
          </w:p>
        </w:tc>
        <w:tc>
          <w:tcPr>
            <w:tcW w:w="891" w:type="pct"/>
            <w:tcBorders>
              <w:top w:val="nil"/>
              <w:left w:val="nil"/>
              <w:bottom w:val="nil"/>
              <w:right w:val="nil"/>
            </w:tcBorders>
            <w:shd w:val="clear" w:color="000000" w:fill="FFFFFF"/>
            <w:noWrap/>
            <w:vAlign w:val="center"/>
            <w:hideMark/>
          </w:tcPr>
          <w:p w14:paraId="14DC8944" w14:textId="2BB64A0F" w:rsidR="00746D27" w:rsidRPr="00F54907" w:rsidRDefault="00851C08"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336</w:t>
            </w:r>
          </w:p>
        </w:tc>
        <w:tc>
          <w:tcPr>
            <w:tcW w:w="178" w:type="pct"/>
            <w:tcBorders>
              <w:top w:val="nil"/>
              <w:left w:val="nil"/>
              <w:bottom w:val="nil"/>
              <w:right w:val="nil"/>
            </w:tcBorders>
            <w:shd w:val="clear" w:color="000000" w:fill="FFFFFF"/>
            <w:noWrap/>
            <w:vAlign w:val="center"/>
            <w:hideMark/>
          </w:tcPr>
          <w:p w14:paraId="6B8ABFA8" w14:textId="0DD7D794" w:rsidR="00746D27" w:rsidRPr="00944CAF" w:rsidRDefault="00746D27" w:rsidP="00746D27">
            <w:pPr>
              <w:spacing w:after="0" w:line="240" w:lineRule="auto"/>
              <w:jc w:val="left"/>
              <w:rPr>
                <w:rFonts w:ascii="Arial" w:hAnsi="Arial" w:cs="Arial"/>
                <w:color w:val="auto"/>
                <w:sz w:val="16"/>
                <w:szCs w:val="16"/>
              </w:rPr>
            </w:pPr>
          </w:p>
        </w:tc>
        <w:tc>
          <w:tcPr>
            <w:tcW w:w="765" w:type="pct"/>
            <w:tcBorders>
              <w:top w:val="nil"/>
              <w:left w:val="nil"/>
              <w:bottom w:val="nil"/>
              <w:right w:val="nil"/>
            </w:tcBorders>
            <w:shd w:val="clear" w:color="000000" w:fill="FFFFFF"/>
            <w:noWrap/>
            <w:vAlign w:val="center"/>
            <w:hideMark/>
          </w:tcPr>
          <w:p w14:paraId="44E77496" w14:textId="77777777" w:rsidR="00746D27" w:rsidRPr="00F54907" w:rsidRDefault="00746D27"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0.1</w:t>
            </w:r>
          </w:p>
        </w:tc>
        <w:tc>
          <w:tcPr>
            <w:tcW w:w="1217" w:type="pct"/>
            <w:tcBorders>
              <w:top w:val="nil"/>
              <w:left w:val="nil"/>
              <w:bottom w:val="nil"/>
              <w:right w:val="nil"/>
            </w:tcBorders>
            <w:shd w:val="clear" w:color="000000" w:fill="FFFFFF"/>
            <w:noWrap/>
            <w:vAlign w:val="center"/>
            <w:hideMark/>
          </w:tcPr>
          <w:p w14:paraId="7E706F56" w14:textId="665E7805" w:rsidR="00746D27" w:rsidRPr="00F54907" w:rsidRDefault="0044729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0.2</w:t>
            </w:r>
          </w:p>
        </w:tc>
        <w:tc>
          <w:tcPr>
            <w:tcW w:w="169" w:type="pct"/>
            <w:tcBorders>
              <w:top w:val="nil"/>
              <w:left w:val="nil"/>
              <w:bottom w:val="nil"/>
              <w:right w:val="nil"/>
            </w:tcBorders>
            <w:shd w:val="clear" w:color="000000" w:fill="FFFFFF"/>
            <w:noWrap/>
            <w:vAlign w:val="center"/>
            <w:hideMark/>
          </w:tcPr>
          <w:p w14:paraId="3A6C3612"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 </w:t>
            </w:r>
          </w:p>
        </w:tc>
        <w:tc>
          <w:tcPr>
            <w:tcW w:w="723" w:type="pct"/>
            <w:tcBorders>
              <w:top w:val="nil"/>
              <w:left w:val="nil"/>
              <w:bottom w:val="nil"/>
              <w:right w:val="nil"/>
            </w:tcBorders>
            <w:shd w:val="clear" w:color="000000" w:fill="FFFFFF"/>
            <w:noWrap/>
            <w:vAlign w:val="center"/>
            <w:hideMark/>
          </w:tcPr>
          <w:p w14:paraId="646325E1" w14:textId="0EEC8285" w:rsidR="00746D27" w:rsidRPr="00F54907" w:rsidRDefault="0044729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0.2</w:t>
            </w:r>
          </w:p>
        </w:tc>
      </w:tr>
      <w:tr w:rsidR="00851C08" w:rsidRPr="000D482C" w14:paraId="252C8552" w14:textId="77777777" w:rsidTr="00F07785">
        <w:trPr>
          <w:trHeight w:val="225"/>
        </w:trPr>
        <w:tc>
          <w:tcPr>
            <w:tcW w:w="1056" w:type="pct"/>
            <w:tcBorders>
              <w:top w:val="nil"/>
              <w:left w:val="nil"/>
              <w:bottom w:val="single" w:sz="4" w:space="0" w:color="auto"/>
              <w:right w:val="nil"/>
            </w:tcBorders>
            <w:shd w:val="clear" w:color="000000" w:fill="FFFFFF"/>
            <w:noWrap/>
            <w:vAlign w:val="center"/>
            <w:hideMark/>
          </w:tcPr>
          <w:p w14:paraId="08D89E99"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Various</w:t>
            </w:r>
          </w:p>
        </w:tc>
        <w:tc>
          <w:tcPr>
            <w:tcW w:w="891" w:type="pct"/>
            <w:tcBorders>
              <w:top w:val="nil"/>
              <w:left w:val="nil"/>
              <w:bottom w:val="single" w:sz="4" w:space="0" w:color="auto"/>
              <w:right w:val="nil"/>
            </w:tcBorders>
            <w:shd w:val="clear" w:color="000000" w:fill="FFFFFF"/>
            <w:noWrap/>
            <w:vAlign w:val="center"/>
            <w:hideMark/>
          </w:tcPr>
          <w:p w14:paraId="79490B53" w14:textId="63F4FE7A" w:rsidR="00746D27" w:rsidRPr="00F54907" w:rsidRDefault="0044729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5</w:t>
            </w:r>
            <w:r w:rsidR="0052710D" w:rsidRPr="00F54907">
              <w:rPr>
                <w:rFonts w:ascii="Arial" w:hAnsi="Arial" w:cs="Arial"/>
                <w:color w:val="auto"/>
                <w:sz w:val="16"/>
                <w:szCs w:val="16"/>
              </w:rPr>
              <w:t>3</w:t>
            </w:r>
          </w:p>
        </w:tc>
        <w:tc>
          <w:tcPr>
            <w:tcW w:w="178" w:type="pct"/>
            <w:tcBorders>
              <w:top w:val="nil"/>
              <w:left w:val="nil"/>
              <w:bottom w:val="single" w:sz="4" w:space="0" w:color="auto"/>
              <w:right w:val="nil"/>
            </w:tcBorders>
            <w:shd w:val="clear" w:color="000000" w:fill="FFFFFF"/>
            <w:noWrap/>
            <w:vAlign w:val="center"/>
            <w:hideMark/>
          </w:tcPr>
          <w:p w14:paraId="024474C1" w14:textId="77777777" w:rsidR="00746D27" w:rsidRPr="00944CAF" w:rsidRDefault="00746D27" w:rsidP="00746D27">
            <w:pPr>
              <w:spacing w:after="0" w:line="240" w:lineRule="auto"/>
              <w:jc w:val="left"/>
              <w:rPr>
                <w:rFonts w:ascii="Arial" w:hAnsi="Arial" w:cs="Arial"/>
                <w:color w:val="auto"/>
                <w:sz w:val="16"/>
                <w:szCs w:val="16"/>
              </w:rPr>
            </w:pPr>
            <w:r w:rsidRPr="00944CAF">
              <w:rPr>
                <w:rFonts w:ascii="Arial" w:hAnsi="Arial" w:cs="Arial"/>
                <w:color w:val="auto"/>
                <w:sz w:val="16"/>
                <w:szCs w:val="16"/>
              </w:rPr>
              <w:t> </w:t>
            </w:r>
          </w:p>
        </w:tc>
        <w:tc>
          <w:tcPr>
            <w:tcW w:w="765" w:type="pct"/>
            <w:tcBorders>
              <w:top w:val="nil"/>
              <w:left w:val="nil"/>
              <w:bottom w:val="single" w:sz="4" w:space="0" w:color="auto"/>
              <w:right w:val="nil"/>
            </w:tcBorders>
            <w:shd w:val="clear" w:color="000000" w:fill="FFFFFF"/>
            <w:noWrap/>
            <w:vAlign w:val="center"/>
            <w:hideMark/>
          </w:tcPr>
          <w:p w14:paraId="173FBE7F" w14:textId="400F2FF5" w:rsidR="00746D27" w:rsidRPr="00F54907" w:rsidRDefault="006F0F28"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2</w:t>
            </w:r>
            <w:r w:rsidR="00447294" w:rsidRPr="00F54907">
              <w:rPr>
                <w:rFonts w:ascii="Arial" w:hAnsi="Arial" w:cs="Arial"/>
                <w:color w:val="auto"/>
                <w:sz w:val="16"/>
                <w:szCs w:val="16"/>
              </w:rPr>
              <w:t>.0</w:t>
            </w:r>
          </w:p>
        </w:tc>
        <w:tc>
          <w:tcPr>
            <w:tcW w:w="1217" w:type="pct"/>
            <w:tcBorders>
              <w:top w:val="nil"/>
              <w:left w:val="nil"/>
              <w:bottom w:val="single" w:sz="4" w:space="0" w:color="auto"/>
              <w:right w:val="nil"/>
            </w:tcBorders>
            <w:shd w:val="clear" w:color="000000" w:fill="FFFFFF"/>
            <w:noWrap/>
            <w:vAlign w:val="center"/>
            <w:hideMark/>
          </w:tcPr>
          <w:p w14:paraId="037BD254" w14:textId="0221E05A" w:rsidR="00746D27" w:rsidRPr="00F54907" w:rsidRDefault="00AD7983"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2</w:t>
            </w:r>
            <w:r w:rsidR="00447294" w:rsidRPr="00F54907">
              <w:rPr>
                <w:rFonts w:ascii="Arial" w:hAnsi="Arial" w:cs="Arial"/>
                <w:color w:val="auto"/>
                <w:sz w:val="16"/>
                <w:szCs w:val="16"/>
              </w:rPr>
              <w:t>.</w:t>
            </w:r>
            <w:r w:rsidRPr="00F54907">
              <w:rPr>
                <w:rFonts w:ascii="Arial" w:hAnsi="Arial" w:cs="Arial"/>
                <w:color w:val="auto"/>
                <w:sz w:val="16"/>
                <w:szCs w:val="16"/>
              </w:rPr>
              <w:t>6</w:t>
            </w:r>
          </w:p>
        </w:tc>
        <w:tc>
          <w:tcPr>
            <w:tcW w:w="169" w:type="pct"/>
            <w:tcBorders>
              <w:top w:val="nil"/>
              <w:left w:val="nil"/>
              <w:bottom w:val="single" w:sz="4" w:space="0" w:color="auto"/>
              <w:right w:val="nil"/>
            </w:tcBorders>
            <w:shd w:val="clear" w:color="000000" w:fill="FFFFFF"/>
            <w:noWrap/>
            <w:vAlign w:val="center"/>
            <w:hideMark/>
          </w:tcPr>
          <w:p w14:paraId="40408FDF" w14:textId="77777777" w:rsidR="00746D27" w:rsidRPr="00944CAF" w:rsidRDefault="00746D27" w:rsidP="00746D27">
            <w:pPr>
              <w:spacing w:after="0" w:line="240" w:lineRule="auto"/>
              <w:jc w:val="right"/>
              <w:rPr>
                <w:rFonts w:ascii="Arial" w:hAnsi="Arial" w:cs="Arial"/>
                <w:color w:val="auto"/>
                <w:sz w:val="16"/>
                <w:szCs w:val="16"/>
              </w:rPr>
            </w:pPr>
            <w:r w:rsidRPr="00944CAF">
              <w:rPr>
                <w:rFonts w:ascii="Arial" w:hAnsi="Arial" w:cs="Arial"/>
                <w:color w:val="auto"/>
                <w:sz w:val="16"/>
                <w:szCs w:val="16"/>
              </w:rPr>
              <w:t> </w:t>
            </w:r>
          </w:p>
        </w:tc>
        <w:tc>
          <w:tcPr>
            <w:tcW w:w="723" w:type="pct"/>
            <w:tcBorders>
              <w:top w:val="nil"/>
              <w:left w:val="nil"/>
              <w:bottom w:val="single" w:sz="4" w:space="0" w:color="auto"/>
              <w:right w:val="nil"/>
            </w:tcBorders>
            <w:shd w:val="clear" w:color="000000" w:fill="FFFFFF"/>
            <w:noWrap/>
            <w:vAlign w:val="center"/>
            <w:hideMark/>
          </w:tcPr>
          <w:p w14:paraId="07DC3010" w14:textId="20AEBEA7" w:rsidR="00746D27" w:rsidRPr="00F54907" w:rsidRDefault="00AD7983"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4</w:t>
            </w:r>
            <w:r w:rsidR="00447294" w:rsidRPr="00F54907">
              <w:rPr>
                <w:rFonts w:ascii="Arial" w:hAnsi="Arial" w:cs="Arial"/>
                <w:color w:val="auto"/>
                <w:sz w:val="16"/>
                <w:szCs w:val="16"/>
              </w:rPr>
              <w:t>.</w:t>
            </w:r>
            <w:r w:rsidRPr="00F54907">
              <w:rPr>
                <w:rFonts w:ascii="Arial" w:hAnsi="Arial" w:cs="Arial"/>
                <w:color w:val="auto"/>
                <w:sz w:val="16"/>
                <w:szCs w:val="16"/>
              </w:rPr>
              <w:t>6</w:t>
            </w:r>
          </w:p>
        </w:tc>
      </w:tr>
      <w:tr w:rsidR="00851C08" w:rsidRPr="000D482C" w14:paraId="0F02D00D" w14:textId="77777777" w:rsidTr="00F07785">
        <w:trPr>
          <w:trHeight w:val="225"/>
        </w:trPr>
        <w:tc>
          <w:tcPr>
            <w:tcW w:w="1056" w:type="pct"/>
            <w:tcBorders>
              <w:top w:val="single" w:sz="4" w:space="0" w:color="auto"/>
              <w:left w:val="nil"/>
              <w:bottom w:val="single" w:sz="4" w:space="0" w:color="auto"/>
              <w:right w:val="nil"/>
            </w:tcBorders>
            <w:shd w:val="clear" w:color="000000" w:fill="FFFFFF"/>
            <w:noWrap/>
            <w:vAlign w:val="center"/>
            <w:hideMark/>
          </w:tcPr>
          <w:p w14:paraId="38035469" w14:textId="77777777" w:rsidR="00746D27" w:rsidRPr="00944CAF" w:rsidRDefault="00746D27" w:rsidP="00746D27">
            <w:pPr>
              <w:spacing w:after="0" w:line="240" w:lineRule="auto"/>
              <w:jc w:val="left"/>
              <w:rPr>
                <w:rFonts w:ascii="Arial" w:hAnsi="Arial" w:cs="Arial"/>
                <w:b/>
                <w:bCs/>
                <w:color w:val="auto"/>
                <w:sz w:val="16"/>
                <w:szCs w:val="16"/>
              </w:rPr>
            </w:pPr>
            <w:r w:rsidRPr="00944CAF">
              <w:rPr>
                <w:rFonts w:ascii="Arial" w:hAnsi="Arial" w:cs="Arial"/>
                <w:b/>
                <w:bCs/>
                <w:color w:val="auto"/>
                <w:sz w:val="16"/>
                <w:szCs w:val="16"/>
              </w:rPr>
              <w:t>Total</w:t>
            </w:r>
          </w:p>
        </w:tc>
        <w:tc>
          <w:tcPr>
            <w:tcW w:w="891" w:type="pct"/>
            <w:tcBorders>
              <w:top w:val="single" w:sz="4" w:space="0" w:color="auto"/>
              <w:left w:val="nil"/>
              <w:bottom w:val="single" w:sz="4" w:space="0" w:color="auto"/>
              <w:right w:val="nil"/>
            </w:tcBorders>
            <w:shd w:val="clear" w:color="000000" w:fill="FFFFFF"/>
            <w:noWrap/>
            <w:vAlign w:val="center"/>
            <w:hideMark/>
          </w:tcPr>
          <w:p w14:paraId="72CA0DC4" w14:textId="016C1B93" w:rsidR="00746D27" w:rsidRPr="00F54907" w:rsidRDefault="00447294" w:rsidP="00746D27">
            <w:pPr>
              <w:spacing w:after="0" w:line="240" w:lineRule="auto"/>
              <w:jc w:val="right"/>
              <w:rPr>
                <w:rFonts w:ascii="Arial" w:hAnsi="Arial" w:cs="Arial"/>
                <w:b/>
                <w:color w:val="auto"/>
                <w:sz w:val="16"/>
                <w:szCs w:val="16"/>
              </w:rPr>
            </w:pPr>
            <w:r w:rsidRPr="00F54907">
              <w:rPr>
                <w:rFonts w:ascii="Arial" w:hAnsi="Arial" w:cs="Arial"/>
                <w:b/>
                <w:color w:val="auto"/>
                <w:sz w:val="16"/>
                <w:szCs w:val="16"/>
              </w:rPr>
              <w:t>4,38</w:t>
            </w:r>
            <w:r w:rsidR="0052710D" w:rsidRPr="00F54907">
              <w:rPr>
                <w:rFonts w:ascii="Arial" w:hAnsi="Arial" w:cs="Arial"/>
                <w:b/>
                <w:color w:val="auto"/>
                <w:sz w:val="16"/>
                <w:szCs w:val="16"/>
              </w:rPr>
              <w:t>4</w:t>
            </w:r>
          </w:p>
        </w:tc>
        <w:tc>
          <w:tcPr>
            <w:tcW w:w="178" w:type="pct"/>
            <w:tcBorders>
              <w:top w:val="single" w:sz="4" w:space="0" w:color="auto"/>
              <w:left w:val="nil"/>
              <w:bottom w:val="single" w:sz="4" w:space="0" w:color="auto"/>
              <w:right w:val="nil"/>
            </w:tcBorders>
            <w:shd w:val="clear" w:color="000000" w:fill="FFFFFF"/>
            <w:noWrap/>
            <w:vAlign w:val="center"/>
            <w:hideMark/>
          </w:tcPr>
          <w:p w14:paraId="4C7F1F4C" w14:textId="77777777" w:rsidR="00746D27" w:rsidRPr="00944CAF" w:rsidRDefault="00746D27" w:rsidP="00746D27">
            <w:pPr>
              <w:spacing w:after="0" w:line="240" w:lineRule="auto"/>
              <w:jc w:val="left"/>
              <w:rPr>
                <w:rFonts w:ascii="Arial" w:hAnsi="Arial" w:cs="Arial"/>
                <w:b/>
                <w:bCs/>
                <w:color w:val="auto"/>
                <w:sz w:val="16"/>
                <w:szCs w:val="16"/>
              </w:rPr>
            </w:pPr>
            <w:r w:rsidRPr="00944CAF">
              <w:rPr>
                <w:rFonts w:ascii="Arial" w:hAnsi="Arial" w:cs="Arial"/>
                <w:b/>
                <w:bCs/>
                <w:color w:val="auto"/>
                <w:sz w:val="16"/>
                <w:szCs w:val="16"/>
              </w:rPr>
              <w:t> </w:t>
            </w:r>
          </w:p>
        </w:tc>
        <w:tc>
          <w:tcPr>
            <w:tcW w:w="765" w:type="pct"/>
            <w:tcBorders>
              <w:top w:val="single" w:sz="4" w:space="0" w:color="auto"/>
              <w:left w:val="nil"/>
              <w:bottom w:val="single" w:sz="4" w:space="0" w:color="auto"/>
              <w:right w:val="nil"/>
            </w:tcBorders>
            <w:shd w:val="clear" w:color="000000" w:fill="FFFFFF"/>
            <w:noWrap/>
            <w:vAlign w:val="center"/>
            <w:hideMark/>
          </w:tcPr>
          <w:p w14:paraId="43E093A1" w14:textId="26306D68" w:rsidR="00746D27" w:rsidRPr="00F54907" w:rsidRDefault="006F0F28" w:rsidP="00746D27">
            <w:pPr>
              <w:spacing w:after="0" w:line="240" w:lineRule="auto"/>
              <w:jc w:val="right"/>
              <w:rPr>
                <w:rFonts w:ascii="Arial" w:hAnsi="Arial" w:cs="Arial"/>
                <w:b/>
                <w:color w:val="auto"/>
                <w:sz w:val="16"/>
                <w:szCs w:val="16"/>
              </w:rPr>
            </w:pPr>
            <w:r w:rsidRPr="00F54907">
              <w:rPr>
                <w:rFonts w:ascii="Arial" w:hAnsi="Arial" w:cs="Arial"/>
                <w:b/>
                <w:color w:val="auto"/>
                <w:sz w:val="16"/>
                <w:szCs w:val="16"/>
              </w:rPr>
              <w:t>2</w:t>
            </w:r>
            <w:r w:rsidR="00447294" w:rsidRPr="00F54907">
              <w:rPr>
                <w:rFonts w:ascii="Arial" w:hAnsi="Arial" w:cs="Arial"/>
                <w:b/>
                <w:color w:val="auto"/>
                <w:sz w:val="16"/>
                <w:szCs w:val="16"/>
              </w:rPr>
              <w:t>.8</w:t>
            </w:r>
          </w:p>
        </w:tc>
        <w:tc>
          <w:tcPr>
            <w:tcW w:w="1217" w:type="pct"/>
            <w:tcBorders>
              <w:top w:val="single" w:sz="4" w:space="0" w:color="auto"/>
              <w:left w:val="nil"/>
              <w:bottom w:val="single" w:sz="4" w:space="0" w:color="auto"/>
              <w:right w:val="nil"/>
            </w:tcBorders>
            <w:shd w:val="clear" w:color="000000" w:fill="FFFFFF"/>
            <w:noWrap/>
            <w:vAlign w:val="center"/>
            <w:hideMark/>
          </w:tcPr>
          <w:p w14:paraId="198C6C58" w14:textId="5C577735" w:rsidR="00746D27" w:rsidRPr="00F54907" w:rsidRDefault="00AD7983" w:rsidP="00746D27">
            <w:pPr>
              <w:spacing w:after="0" w:line="240" w:lineRule="auto"/>
              <w:jc w:val="right"/>
              <w:rPr>
                <w:rFonts w:ascii="Arial" w:hAnsi="Arial" w:cs="Arial"/>
                <w:b/>
                <w:color w:val="auto"/>
                <w:sz w:val="16"/>
                <w:szCs w:val="16"/>
              </w:rPr>
            </w:pPr>
            <w:r w:rsidRPr="00F54907">
              <w:rPr>
                <w:rFonts w:ascii="Arial" w:hAnsi="Arial" w:cs="Arial"/>
                <w:b/>
                <w:color w:val="auto"/>
                <w:sz w:val="16"/>
                <w:szCs w:val="16"/>
              </w:rPr>
              <w:t>7</w:t>
            </w:r>
            <w:r w:rsidR="00447294" w:rsidRPr="00F54907">
              <w:rPr>
                <w:rFonts w:ascii="Arial" w:hAnsi="Arial" w:cs="Arial"/>
                <w:b/>
                <w:color w:val="auto"/>
                <w:sz w:val="16"/>
                <w:szCs w:val="16"/>
              </w:rPr>
              <w:t>.</w:t>
            </w:r>
            <w:r w:rsidRPr="00F54907">
              <w:rPr>
                <w:rFonts w:ascii="Arial" w:hAnsi="Arial" w:cs="Arial"/>
                <w:b/>
                <w:color w:val="auto"/>
                <w:sz w:val="16"/>
                <w:szCs w:val="16"/>
              </w:rPr>
              <w:t>6</w:t>
            </w:r>
          </w:p>
        </w:tc>
        <w:tc>
          <w:tcPr>
            <w:tcW w:w="169" w:type="pct"/>
            <w:tcBorders>
              <w:top w:val="single" w:sz="4" w:space="0" w:color="auto"/>
              <w:left w:val="nil"/>
              <w:bottom w:val="single" w:sz="4" w:space="0" w:color="auto"/>
              <w:right w:val="nil"/>
            </w:tcBorders>
            <w:shd w:val="clear" w:color="000000" w:fill="FFFFFF"/>
            <w:noWrap/>
            <w:vAlign w:val="center"/>
            <w:hideMark/>
          </w:tcPr>
          <w:p w14:paraId="3B25322D" w14:textId="77777777" w:rsidR="00746D27" w:rsidRPr="00944CAF" w:rsidRDefault="00746D27" w:rsidP="00746D27">
            <w:pPr>
              <w:spacing w:after="0" w:line="240" w:lineRule="auto"/>
              <w:jc w:val="left"/>
              <w:rPr>
                <w:rFonts w:ascii="Arial" w:hAnsi="Arial" w:cs="Arial"/>
                <w:b/>
                <w:bCs/>
                <w:color w:val="auto"/>
                <w:sz w:val="16"/>
                <w:szCs w:val="16"/>
              </w:rPr>
            </w:pPr>
            <w:r w:rsidRPr="00944CAF">
              <w:rPr>
                <w:rFonts w:ascii="Arial" w:hAnsi="Arial" w:cs="Arial"/>
                <w:b/>
                <w:bCs/>
                <w:color w:val="auto"/>
                <w:sz w:val="16"/>
                <w:szCs w:val="16"/>
              </w:rPr>
              <w:t> </w:t>
            </w:r>
          </w:p>
        </w:tc>
        <w:tc>
          <w:tcPr>
            <w:tcW w:w="723" w:type="pct"/>
            <w:tcBorders>
              <w:top w:val="single" w:sz="4" w:space="0" w:color="auto"/>
              <w:left w:val="nil"/>
              <w:bottom w:val="single" w:sz="4" w:space="0" w:color="auto"/>
              <w:right w:val="nil"/>
            </w:tcBorders>
            <w:shd w:val="clear" w:color="000000" w:fill="FFFFFF"/>
            <w:noWrap/>
            <w:vAlign w:val="center"/>
            <w:hideMark/>
          </w:tcPr>
          <w:p w14:paraId="1D02C9C2" w14:textId="21B82BE1" w:rsidR="00746D27" w:rsidRPr="00F54907" w:rsidRDefault="00AD7983" w:rsidP="00746D27">
            <w:pPr>
              <w:spacing w:after="0" w:line="240" w:lineRule="auto"/>
              <w:jc w:val="right"/>
              <w:rPr>
                <w:rFonts w:ascii="Arial" w:hAnsi="Arial" w:cs="Arial"/>
                <w:b/>
                <w:color w:val="auto"/>
                <w:sz w:val="16"/>
                <w:szCs w:val="16"/>
              </w:rPr>
            </w:pPr>
            <w:r w:rsidRPr="00F54907">
              <w:rPr>
                <w:rFonts w:ascii="Arial" w:hAnsi="Arial" w:cs="Arial"/>
                <w:b/>
                <w:color w:val="auto"/>
                <w:sz w:val="16"/>
                <w:szCs w:val="16"/>
              </w:rPr>
              <w:t>10</w:t>
            </w:r>
            <w:r w:rsidR="00447294" w:rsidRPr="00F54907">
              <w:rPr>
                <w:rFonts w:ascii="Arial" w:hAnsi="Arial" w:cs="Arial"/>
                <w:b/>
                <w:color w:val="auto"/>
                <w:sz w:val="16"/>
                <w:szCs w:val="16"/>
              </w:rPr>
              <w:t>.</w:t>
            </w:r>
            <w:r w:rsidRPr="00F54907">
              <w:rPr>
                <w:rFonts w:ascii="Arial" w:hAnsi="Arial" w:cs="Arial"/>
                <w:b/>
                <w:color w:val="auto"/>
                <w:sz w:val="16"/>
                <w:szCs w:val="16"/>
              </w:rPr>
              <w:t>4</w:t>
            </w:r>
          </w:p>
        </w:tc>
      </w:tr>
    </w:tbl>
    <w:p w14:paraId="2640DAC7" w14:textId="5A32E10A" w:rsidR="00746D27" w:rsidRDefault="00746D27" w:rsidP="00746D27">
      <w:pPr>
        <w:pStyle w:val="ChartandTableFootnoteAlpha"/>
        <w:numPr>
          <w:ilvl w:val="0"/>
          <w:numId w:val="0"/>
        </w:numPr>
      </w:pPr>
      <w:r w:rsidRPr="00BF48CD">
        <w:t xml:space="preserve">Before republishing this data or comparing between years, thoroughly review the methodological and data caveats in Appendix </w:t>
      </w:r>
      <w:r w:rsidRPr="006F7945">
        <w:t>B</w:t>
      </w:r>
      <w:r w:rsidRPr="00BF48CD">
        <w:t xml:space="preserve">. </w:t>
      </w:r>
    </w:p>
    <w:p w14:paraId="672B203A" w14:textId="53518444" w:rsidR="00746D27" w:rsidRPr="00B91178" w:rsidRDefault="00746D27" w:rsidP="00D76ED2">
      <w:pPr>
        <w:pStyle w:val="SingleParagraph"/>
      </w:pPr>
      <w:r w:rsidRPr="00B91178">
        <w:t xml:space="preserve"> </w:t>
      </w:r>
    </w:p>
    <w:p w14:paraId="3C59874D" w14:textId="21A6B9C6" w:rsidR="00F07785" w:rsidRPr="00D76ED2" w:rsidRDefault="00F07785" w:rsidP="00D76ED2">
      <w:pPr>
        <w:pStyle w:val="TableMainHeading"/>
      </w:pPr>
      <w:bookmarkStart w:id="140" w:name="_Toc89939949"/>
      <w:r w:rsidRPr="00D76ED2">
        <w:t xml:space="preserve">Table </w:t>
      </w:r>
      <w:fldSimple w:instr=" STYLEREF 1 \s ">
        <w:r w:rsidR="0019342F">
          <w:rPr>
            <w:noProof/>
          </w:rPr>
          <w:t>3</w:t>
        </w:r>
      </w:fldSimple>
      <w:r w:rsidR="009812FE" w:rsidRPr="00D76ED2">
        <w:t>.</w:t>
      </w:r>
      <w:fldSimple w:instr=" SEQ Table \* ARABIC \s 1 ">
        <w:r w:rsidR="0019342F">
          <w:rPr>
            <w:noProof/>
          </w:rPr>
          <w:t>15</w:t>
        </w:r>
      </w:fldSimple>
      <w:r w:rsidRPr="00D76ED2">
        <w:t xml:space="preserve">: State and territory distribution of proposed investment in residential real estate, by type in </w:t>
      </w:r>
      <w:r w:rsidR="00D76ED2">
        <w:t>2020</w:t>
      </w:r>
      <w:r w:rsidR="00D76ED2">
        <w:noBreakHyphen/>
        <w:t>21</w:t>
      </w:r>
      <w:bookmarkEnd w:id="140"/>
    </w:p>
    <w:tbl>
      <w:tblPr>
        <w:tblW w:w="5000" w:type="pct"/>
        <w:tblLook w:val="04A0" w:firstRow="1" w:lastRow="0" w:firstColumn="1" w:lastColumn="0" w:noHBand="0" w:noVBand="1"/>
      </w:tblPr>
      <w:tblGrid>
        <w:gridCol w:w="821"/>
        <w:gridCol w:w="736"/>
        <w:gridCol w:w="493"/>
        <w:gridCol w:w="535"/>
        <w:gridCol w:w="492"/>
        <w:gridCol w:w="700"/>
        <w:gridCol w:w="637"/>
        <w:gridCol w:w="483"/>
        <w:gridCol w:w="439"/>
        <w:gridCol w:w="610"/>
        <w:gridCol w:w="576"/>
        <w:gridCol w:w="622"/>
        <w:gridCol w:w="566"/>
      </w:tblGrid>
      <w:tr w:rsidR="001A7961" w:rsidRPr="002F1984" w14:paraId="0967D158" w14:textId="77777777" w:rsidTr="00D76ED2">
        <w:trPr>
          <w:trHeight w:val="460"/>
        </w:trPr>
        <w:tc>
          <w:tcPr>
            <w:tcW w:w="513" w:type="pct"/>
            <w:tcBorders>
              <w:top w:val="single" w:sz="4" w:space="0" w:color="auto"/>
              <w:left w:val="nil"/>
              <w:bottom w:val="nil"/>
              <w:right w:val="nil"/>
            </w:tcBorders>
            <w:shd w:val="clear" w:color="000000" w:fill="FFFFFF"/>
            <w:noWrap/>
            <w:vAlign w:val="center"/>
            <w:hideMark/>
          </w:tcPr>
          <w:p w14:paraId="7C8040DC" w14:textId="77777777" w:rsidR="00746D27" w:rsidRPr="002F1984" w:rsidRDefault="00746D27" w:rsidP="00746D27">
            <w:pPr>
              <w:rPr>
                <w:rFonts w:ascii="Arial" w:hAnsi="Arial" w:cs="Arial"/>
                <w:color w:val="auto"/>
                <w:sz w:val="16"/>
                <w:szCs w:val="16"/>
              </w:rPr>
            </w:pPr>
            <w:r w:rsidRPr="002F1984">
              <w:rPr>
                <w:rFonts w:ascii="Arial" w:hAnsi="Arial" w:cs="Arial"/>
                <w:color w:val="auto"/>
                <w:sz w:val="16"/>
                <w:szCs w:val="16"/>
              </w:rPr>
              <w:t> </w:t>
            </w:r>
          </w:p>
        </w:tc>
        <w:tc>
          <w:tcPr>
            <w:tcW w:w="804" w:type="pct"/>
            <w:gridSpan w:val="2"/>
            <w:tcBorders>
              <w:top w:val="single" w:sz="4" w:space="0" w:color="auto"/>
              <w:left w:val="nil"/>
              <w:bottom w:val="single" w:sz="4" w:space="0" w:color="auto"/>
              <w:right w:val="nil"/>
            </w:tcBorders>
            <w:shd w:val="clear" w:color="000000" w:fill="FFFFFF"/>
            <w:vAlign w:val="bottom"/>
            <w:hideMark/>
          </w:tcPr>
          <w:p w14:paraId="5F45386C" w14:textId="77777777" w:rsidR="00746D27" w:rsidRPr="001A7961" w:rsidRDefault="00746D27" w:rsidP="00944CAF">
            <w:pPr>
              <w:spacing w:after="0" w:line="240" w:lineRule="auto"/>
              <w:jc w:val="center"/>
              <w:rPr>
                <w:rFonts w:ascii="Arial" w:hAnsi="Arial" w:cs="Arial"/>
                <w:color w:val="auto"/>
                <w:sz w:val="16"/>
                <w:szCs w:val="16"/>
              </w:rPr>
            </w:pPr>
            <w:r w:rsidRPr="00944CAF">
              <w:rPr>
                <w:rFonts w:ascii="Arial" w:hAnsi="Arial" w:cs="Arial"/>
                <w:color w:val="auto"/>
                <w:sz w:val="16"/>
                <w:szCs w:val="16"/>
              </w:rPr>
              <w:t>New</w:t>
            </w:r>
            <w:r w:rsidRPr="00944CAF">
              <w:rPr>
                <w:rFonts w:ascii="Arial" w:hAnsi="Arial" w:cs="Arial"/>
                <w:color w:val="auto"/>
                <w:sz w:val="16"/>
                <w:szCs w:val="16"/>
              </w:rPr>
              <w:br/>
              <w:t>Dwelling</w:t>
            </w:r>
          </w:p>
        </w:tc>
        <w:tc>
          <w:tcPr>
            <w:tcW w:w="672" w:type="pct"/>
            <w:gridSpan w:val="2"/>
            <w:tcBorders>
              <w:top w:val="single" w:sz="4" w:space="0" w:color="auto"/>
              <w:left w:val="nil"/>
              <w:bottom w:val="single" w:sz="4" w:space="0" w:color="auto"/>
              <w:right w:val="nil"/>
            </w:tcBorders>
            <w:shd w:val="clear" w:color="000000" w:fill="FFFFFF"/>
            <w:vAlign w:val="bottom"/>
            <w:hideMark/>
          </w:tcPr>
          <w:p w14:paraId="7D9274DA" w14:textId="77777777" w:rsidR="00746D27" w:rsidRPr="001A7961" w:rsidRDefault="00746D27">
            <w:pPr>
              <w:spacing w:after="0" w:line="240" w:lineRule="auto"/>
              <w:jc w:val="center"/>
              <w:rPr>
                <w:rFonts w:ascii="Arial" w:hAnsi="Arial" w:cs="Arial"/>
                <w:color w:val="auto"/>
                <w:sz w:val="16"/>
                <w:szCs w:val="16"/>
              </w:rPr>
            </w:pPr>
            <w:r w:rsidRPr="001A7961">
              <w:rPr>
                <w:rFonts w:ascii="Arial" w:hAnsi="Arial" w:cs="Arial"/>
                <w:color w:val="auto"/>
                <w:sz w:val="16"/>
                <w:szCs w:val="16"/>
              </w:rPr>
              <w:t>Existing</w:t>
            </w:r>
            <w:r w:rsidRPr="001A7961">
              <w:rPr>
                <w:rFonts w:ascii="Arial" w:hAnsi="Arial" w:cs="Arial"/>
                <w:color w:val="auto"/>
                <w:sz w:val="16"/>
                <w:szCs w:val="16"/>
              </w:rPr>
              <w:br/>
              <w:t>Property</w:t>
            </w:r>
          </w:p>
        </w:tc>
        <w:tc>
          <w:tcPr>
            <w:tcW w:w="0" w:type="auto"/>
            <w:gridSpan w:val="2"/>
            <w:tcBorders>
              <w:top w:val="single" w:sz="4" w:space="0" w:color="auto"/>
              <w:left w:val="nil"/>
              <w:bottom w:val="single" w:sz="4" w:space="0" w:color="auto"/>
              <w:right w:val="nil"/>
            </w:tcBorders>
            <w:shd w:val="clear" w:color="000000" w:fill="FFFFFF"/>
            <w:noWrap/>
            <w:vAlign w:val="bottom"/>
            <w:hideMark/>
          </w:tcPr>
          <w:p w14:paraId="7699C56E" w14:textId="77777777" w:rsidR="00746D27" w:rsidRPr="001A7961" w:rsidRDefault="00746D27">
            <w:pPr>
              <w:spacing w:after="0" w:line="240" w:lineRule="auto"/>
              <w:jc w:val="center"/>
              <w:rPr>
                <w:rFonts w:ascii="Arial" w:hAnsi="Arial" w:cs="Arial"/>
                <w:color w:val="auto"/>
                <w:sz w:val="16"/>
                <w:szCs w:val="16"/>
              </w:rPr>
            </w:pPr>
            <w:r w:rsidRPr="001A7961">
              <w:rPr>
                <w:rFonts w:ascii="Arial" w:hAnsi="Arial" w:cs="Arial"/>
                <w:color w:val="auto"/>
                <w:sz w:val="16"/>
                <w:szCs w:val="16"/>
              </w:rPr>
              <w:t>Redevelopment</w:t>
            </w:r>
          </w:p>
        </w:tc>
        <w:tc>
          <w:tcPr>
            <w:tcW w:w="0" w:type="auto"/>
            <w:gridSpan w:val="2"/>
            <w:tcBorders>
              <w:top w:val="single" w:sz="4" w:space="0" w:color="auto"/>
              <w:left w:val="nil"/>
              <w:bottom w:val="single" w:sz="4" w:space="0" w:color="auto"/>
              <w:right w:val="nil"/>
            </w:tcBorders>
            <w:shd w:val="clear" w:color="000000" w:fill="FFFFFF"/>
            <w:vAlign w:val="bottom"/>
            <w:hideMark/>
          </w:tcPr>
          <w:p w14:paraId="0437FF15" w14:textId="77777777" w:rsidR="00746D27" w:rsidRPr="001A7961" w:rsidRDefault="00746D27">
            <w:pPr>
              <w:spacing w:after="0" w:line="240" w:lineRule="auto"/>
              <w:jc w:val="center"/>
              <w:rPr>
                <w:rFonts w:ascii="Arial" w:hAnsi="Arial" w:cs="Arial"/>
                <w:color w:val="auto"/>
                <w:sz w:val="16"/>
                <w:szCs w:val="16"/>
              </w:rPr>
            </w:pPr>
            <w:r w:rsidRPr="001A7961">
              <w:rPr>
                <w:rFonts w:ascii="Arial" w:hAnsi="Arial" w:cs="Arial"/>
                <w:color w:val="auto"/>
                <w:sz w:val="16"/>
                <w:szCs w:val="16"/>
              </w:rPr>
              <w:t>Vacant</w:t>
            </w:r>
            <w:r w:rsidRPr="001A7961">
              <w:rPr>
                <w:rFonts w:ascii="Arial" w:hAnsi="Arial" w:cs="Arial"/>
                <w:color w:val="auto"/>
                <w:sz w:val="16"/>
                <w:szCs w:val="16"/>
              </w:rPr>
              <w:br/>
              <w:t>land</w:t>
            </w:r>
          </w:p>
        </w:tc>
        <w:tc>
          <w:tcPr>
            <w:tcW w:w="0" w:type="auto"/>
            <w:gridSpan w:val="2"/>
            <w:tcBorders>
              <w:top w:val="single" w:sz="4" w:space="0" w:color="auto"/>
              <w:left w:val="nil"/>
              <w:bottom w:val="single" w:sz="4" w:space="0" w:color="auto"/>
              <w:right w:val="nil"/>
            </w:tcBorders>
            <w:shd w:val="clear" w:color="000000" w:fill="FFFFFF"/>
            <w:noWrap/>
            <w:vAlign w:val="bottom"/>
            <w:hideMark/>
          </w:tcPr>
          <w:p w14:paraId="73416E51" w14:textId="77777777" w:rsidR="00746D27" w:rsidRPr="001A7961" w:rsidRDefault="00746D27">
            <w:pPr>
              <w:spacing w:after="0" w:line="240" w:lineRule="auto"/>
              <w:jc w:val="center"/>
              <w:rPr>
                <w:rFonts w:ascii="Arial" w:hAnsi="Arial" w:cs="Arial"/>
                <w:color w:val="auto"/>
                <w:sz w:val="16"/>
                <w:szCs w:val="16"/>
              </w:rPr>
            </w:pPr>
            <w:r w:rsidRPr="001A7961">
              <w:rPr>
                <w:rFonts w:ascii="Arial" w:hAnsi="Arial" w:cs="Arial"/>
                <w:color w:val="auto"/>
                <w:sz w:val="16"/>
                <w:szCs w:val="16"/>
              </w:rPr>
              <w:t>Developer (a)</w:t>
            </w:r>
          </w:p>
        </w:tc>
        <w:tc>
          <w:tcPr>
            <w:tcW w:w="0" w:type="auto"/>
            <w:gridSpan w:val="2"/>
            <w:tcBorders>
              <w:top w:val="single" w:sz="4" w:space="0" w:color="auto"/>
              <w:left w:val="nil"/>
              <w:bottom w:val="single" w:sz="4" w:space="0" w:color="auto"/>
              <w:right w:val="nil"/>
            </w:tcBorders>
            <w:shd w:val="clear" w:color="000000" w:fill="FFFFFF"/>
            <w:vAlign w:val="bottom"/>
            <w:hideMark/>
          </w:tcPr>
          <w:p w14:paraId="30320147" w14:textId="77777777" w:rsidR="00746D27" w:rsidRPr="001A7961" w:rsidRDefault="00746D27">
            <w:pPr>
              <w:spacing w:after="0" w:line="240" w:lineRule="auto"/>
              <w:jc w:val="center"/>
              <w:rPr>
                <w:rFonts w:ascii="Arial" w:hAnsi="Arial" w:cs="Arial"/>
                <w:color w:val="auto"/>
                <w:sz w:val="16"/>
                <w:szCs w:val="16"/>
              </w:rPr>
            </w:pPr>
            <w:r w:rsidRPr="001A7961">
              <w:rPr>
                <w:rFonts w:ascii="Arial" w:hAnsi="Arial" w:cs="Arial"/>
                <w:color w:val="auto"/>
                <w:sz w:val="16"/>
                <w:szCs w:val="16"/>
              </w:rPr>
              <w:t>Combination ECs</w:t>
            </w:r>
          </w:p>
        </w:tc>
      </w:tr>
      <w:tr w:rsidR="001A7961" w:rsidRPr="002F1984" w14:paraId="31465337" w14:textId="77777777" w:rsidTr="00D76ED2">
        <w:trPr>
          <w:trHeight w:val="230"/>
        </w:trPr>
        <w:tc>
          <w:tcPr>
            <w:tcW w:w="513" w:type="pct"/>
            <w:tcBorders>
              <w:top w:val="nil"/>
              <w:left w:val="nil"/>
              <w:bottom w:val="single" w:sz="4" w:space="0" w:color="auto"/>
              <w:right w:val="nil"/>
            </w:tcBorders>
            <w:shd w:val="clear" w:color="000000" w:fill="FFFFFF"/>
            <w:noWrap/>
            <w:vAlign w:val="center"/>
            <w:hideMark/>
          </w:tcPr>
          <w:p w14:paraId="6ED6DA8F" w14:textId="77777777" w:rsidR="00746D27" w:rsidRPr="002F1984" w:rsidRDefault="00746D27" w:rsidP="00746D27">
            <w:pPr>
              <w:spacing w:after="0" w:line="240" w:lineRule="auto"/>
              <w:jc w:val="left"/>
              <w:rPr>
                <w:rFonts w:ascii="Arial" w:hAnsi="Arial" w:cs="Arial"/>
                <w:color w:val="auto"/>
                <w:sz w:val="16"/>
                <w:szCs w:val="16"/>
              </w:rPr>
            </w:pPr>
            <w:r w:rsidRPr="002F1984">
              <w:rPr>
                <w:rFonts w:ascii="Arial" w:hAnsi="Arial" w:cs="Arial"/>
                <w:color w:val="auto"/>
                <w:sz w:val="16"/>
                <w:szCs w:val="16"/>
              </w:rPr>
              <w:t>Location</w:t>
            </w:r>
          </w:p>
        </w:tc>
        <w:tc>
          <w:tcPr>
            <w:tcW w:w="481" w:type="pct"/>
            <w:tcBorders>
              <w:top w:val="nil"/>
              <w:left w:val="nil"/>
              <w:bottom w:val="single" w:sz="4" w:space="0" w:color="auto"/>
              <w:right w:val="nil"/>
            </w:tcBorders>
            <w:shd w:val="clear" w:color="000000" w:fill="FFFFFF"/>
            <w:noWrap/>
            <w:vAlign w:val="center"/>
            <w:hideMark/>
          </w:tcPr>
          <w:p w14:paraId="438B85A1" w14:textId="77777777" w:rsidR="00746D27" w:rsidRPr="00944CAF" w:rsidRDefault="00746D27" w:rsidP="00746D27">
            <w:pPr>
              <w:spacing w:after="0" w:line="240" w:lineRule="auto"/>
              <w:jc w:val="right"/>
              <w:rPr>
                <w:rFonts w:ascii="Arial" w:hAnsi="Arial" w:cs="Arial"/>
                <w:color w:val="auto"/>
                <w:sz w:val="16"/>
                <w:szCs w:val="16"/>
              </w:rPr>
            </w:pPr>
            <w:r w:rsidRPr="00944CAF">
              <w:rPr>
                <w:rFonts w:ascii="Arial" w:hAnsi="Arial" w:cs="Arial"/>
                <w:color w:val="auto"/>
                <w:sz w:val="16"/>
                <w:szCs w:val="16"/>
              </w:rPr>
              <w:t>No.</w:t>
            </w:r>
          </w:p>
        </w:tc>
        <w:tc>
          <w:tcPr>
            <w:tcW w:w="323" w:type="pct"/>
            <w:tcBorders>
              <w:top w:val="nil"/>
              <w:left w:val="nil"/>
              <w:bottom w:val="single" w:sz="4" w:space="0" w:color="auto"/>
              <w:right w:val="nil"/>
            </w:tcBorders>
            <w:shd w:val="clear" w:color="000000" w:fill="FFFFFF"/>
            <w:noWrap/>
            <w:vAlign w:val="center"/>
            <w:hideMark/>
          </w:tcPr>
          <w:p w14:paraId="5A9237B2" w14:textId="77777777" w:rsidR="00746D27" w:rsidRPr="001A7961" w:rsidRDefault="00746D27" w:rsidP="00746D27">
            <w:pPr>
              <w:spacing w:after="0" w:line="240" w:lineRule="auto"/>
              <w:jc w:val="right"/>
              <w:rPr>
                <w:rFonts w:ascii="Arial" w:hAnsi="Arial" w:cs="Arial"/>
                <w:color w:val="auto"/>
                <w:sz w:val="16"/>
                <w:szCs w:val="16"/>
              </w:rPr>
            </w:pPr>
            <w:r w:rsidRPr="001A7961">
              <w:rPr>
                <w:rFonts w:ascii="Arial" w:hAnsi="Arial" w:cs="Arial"/>
                <w:color w:val="auto"/>
                <w:sz w:val="16"/>
                <w:szCs w:val="16"/>
              </w:rPr>
              <w:t xml:space="preserve">$b </w:t>
            </w:r>
          </w:p>
        </w:tc>
        <w:tc>
          <w:tcPr>
            <w:tcW w:w="350" w:type="pct"/>
            <w:tcBorders>
              <w:top w:val="nil"/>
              <w:left w:val="nil"/>
              <w:bottom w:val="single" w:sz="4" w:space="0" w:color="auto"/>
              <w:right w:val="nil"/>
            </w:tcBorders>
            <w:shd w:val="clear" w:color="000000" w:fill="FFFFFF"/>
            <w:noWrap/>
            <w:vAlign w:val="center"/>
            <w:hideMark/>
          </w:tcPr>
          <w:p w14:paraId="366F8912" w14:textId="77777777" w:rsidR="00746D27" w:rsidRPr="001A7961" w:rsidRDefault="00746D27" w:rsidP="00746D27">
            <w:pPr>
              <w:spacing w:after="0" w:line="240" w:lineRule="auto"/>
              <w:jc w:val="right"/>
              <w:rPr>
                <w:rFonts w:ascii="Arial" w:hAnsi="Arial" w:cs="Arial"/>
                <w:color w:val="auto"/>
                <w:sz w:val="16"/>
                <w:szCs w:val="16"/>
              </w:rPr>
            </w:pPr>
            <w:r w:rsidRPr="001A7961">
              <w:rPr>
                <w:rFonts w:ascii="Arial" w:hAnsi="Arial" w:cs="Arial"/>
                <w:color w:val="auto"/>
                <w:sz w:val="16"/>
                <w:szCs w:val="16"/>
              </w:rPr>
              <w:t>No.</w:t>
            </w:r>
          </w:p>
        </w:tc>
        <w:tc>
          <w:tcPr>
            <w:tcW w:w="0" w:type="auto"/>
            <w:tcBorders>
              <w:top w:val="nil"/>
              <w:left w:val="nil"/>
              <w:bottom w:val="single" w:sz="4" w:space="0" w:color="auto"/>
              <w:right w:val="nil"/>
            </w:tcBorders>
            <w:shd w:val="clear" w:color="000000" w:fill="FFFFFF"/>
            <w:noWrap/>
            <w:vAlign w:val="center"/>
            <w:hideMark/>
          </w:tcPr>
          <w:p w14:paraId="6FEA5678" w14:textId="77777777" w:rsidR="00746D27" w:rsidRPr="001A7961" w:rsidRDefault="00746D27" w:rsidP="00746D27">
            <w:pPr>
              <w:spacing w:after="0" w:line="240" w:lineRule="auto"/>
              <w:jc w:val="right"/>
              <w:rPr>
                <w:rFonts w:ascii="Arial" w:hAnsi="Arial" w:cs="Arial"/>
                <w:color w:val="auto"/>
                <w:sz w:val="16"/>
                <w:szCs w:val="16"/>
              </w:rPr>
            </w:pPr>
            <w:r w:rsidRPr="001A7961">
              <w:rPr>
                <w:rFonts w:ascii="Arial" w:hAnsi="Arial" w:cs="Arial"/>
                <w:color w:val="auto"/>
                <w:sz w:val="16"/>
                <w:szCs w:val="16"/>
              </w:rPr>
              <w:t xml:space="preserve">$b </w:t>
            </w:r>
          </w:p>
        </w:tc>
        <w:tc>
          <w:tcPr>
            <w:tcW w:w="0" w:type="auto"/>
            <w:tcBorders>
              <w:top w:val="nil"/>
              <w:left w:val="nil"/>
              <w:bottom w:val="single" w:sz="4" w:space="0" w:color="auto"/>
              <w:right w:val="nil"/>
            </w:tcBorders>
            <w:shd w:val="clear" w:color="000000" w:fill="FFFFFF"/>
            <w:noWrap/>
            <w:vAlign w:val="center"/>
            <w:hideMark/>
          </w:tcPr>
          <w:p w14:paraId="0C043F1F" w14:textId="77777777" w:rsidR="00746D27" w:rsidRPr="001A7961" w:rsidRDefault="00746D27" w:rsidP="00746D27">
            <w:pPr>
              <w:spacing w:after="0" w:line="240" w:lineRule="auto"/>
              <w:jc w:val="right"/>
              <w:rPr>
                <w:rFonts w:ascii="Arial" w:hAnsi="Arial" w:cs="Arial"/>
                <w:color w:val="auto"/>
                <w:sz w:val="16"/>
                <w:szCs w:val="16"/>
              </w:rPr>
            </w:pPr>
            <w:r w:rsidRPr="001A7961">
              <w:rPr>
                <w:rFonts w:ascii="Arial" w:hAnsi="Arial" w:cs="Arial"/>
                <w:color w:val="auto"/>
                <w:sz w:val="16"/>
                <w:szCs w:val="16"/>
              </w:rPr>
              <w:t>No.</w:t>
            </w:r>
          </w:p>
        </w:tc>
        <w:tc>
          <w:tcPr>
            <w:tcW w:w="0" w:type="auto"/>
            <w:tcBorders>
              <w:top w:val="nil"/>
              <w:left w:val="nil"/>
              <w:bottom w:val="single" w:sz="4" w:space="0" w:color="auto"/>
              <w:right w:val="nil"/>
            </w:tcBorders>
            <w:shd w:val="clear" w:color="000000" w:fill="FFFFFF"/>
            <w:noWrap/>
            <w:vAlign w:val="center"/>
            <w:hideMark/>
          </w:tcPr>
          <w:p w14:paraId="19F62FC0" w14:textId="77777777" w:rsidR="00746D27" w:rsidRPr="001A7961" w:rsidRDefault="00746D27" w:rsidP="00746D27">
            <w:pPr>
              <w:spacing w:after="0" w:line="240" w:lineRule="auto"/>
              <w:jc w:val="right"/>
              <w:rPr>
                <w:rFonts w:ascii="Arial" w:hAnsi="Arial" w:cs="Arial"/>
                <w:color w:val="auto"/>
                <w:sz w:val="16"/>
                <w:szCs w:val="16"/>
              </w:rPr>
            </w:pPr>
            <w:r w:rsidRPr="001A7961">
              <w:rPr>
                <w:rFonts w:ascii="Arial" w:hAnsi="Arial" w:cs="Arial"/>
                <w:color w:val="auto"/>
                <w:sz w:val="16"/>
                <w:szCs w:val="16"/>
              </w:rPr>
              <w:t xml:space="preserve">$b </w:t>
            </w:r>
          </w:p>
        </w:tc>
        <w:tc>
          <w:tcPr>
            <w:tcW w:w="0" w:type="auto"/>
            <w:tcBorders>
              <w:top w:val="nil"/>
              <w:left w:val="nil"/>
              <w:bottom w:val="single" w:sz="4" w:space="0" w:color="auto"/>
              <w:right w:val="nil"/>
            </w:tcBorders>
            <w:shd w:val="clear" w:color="000000" w:fill="FFFFFF"/>
            <w:noWrap/>
            <w:vAlign w:val="center"/>
            <w:hideMark/>
          </w:tcPr>
          <w:p w14:paraId="1492A807" w14:textId="77777777" w:rsidR="00746D27" w:rsidRPr="001A7961" w:rsidRDefault="00746D27" w:rsidP="00746D27">
            <w:pPr>
              <w:spacing w:after="0" w:line="240" w:lineRule="auto"/>
              <w:jc w:val="right"/>
              <w:rPr>
                <w:rFonts w:ascii="Arial" w:hAnsi="Arial" w:cs="Arial"/>
                <w:color w:val="auto"/>
                <w:sz w:val="16"/>
                <w:szCs w:val="16"/>
              </w:rPr>
            </w:pPr>
            <w:r w:rsidRPr="001A7961">
              <w:rPr>
                <w:rFonts w:ascii="Arial" w:hAnsi="Arial" w:cs="Arial"/>
                <w:color w:val="auto"/>
                <w:sz w:val="16"/>
                <w:szCs w:val="16"/>
              </w:rPr>
              <w:t>No.</w:t>
            </w:r>
          </w:p>
        </w:tc>
        <w:tc>
          <w:tcPr>
            <w:tcW w:w="0" w:type="auto"/>
            <w:tcBorders>
              <w:top w:val="nil"/>
              <w:left w:val="nil"/>
              <w:bottom w:val="single" w:sz="4" w:space="0" w:color="auto"/>
              <w:right w:val="nil"/>
            </w:tcBorders>
            <w:shd w:val="clear" w:color="000000" w:fill="FFFFFF"/>
            <w:noWrap/>
            <w:vAlign w:val="center"/>
            <w:hideMark/>
          </w:tcPr>
          <w:p w14:paraId="5944CEC3" w14:textId="77777777" w:rsidR="00746D27" w:rsidRPr="001A7961" w:rsidRDefault="00746D27" w:rsidP="00746D27">
            <w:pPr>
              <w:spacing w:after="0" w:line="240" w:lineRule="auto"/>
              <w:jc w:val="right"/>
              <w:rPr>
                <w:rFonts w:ascii="Arial" w:hAnsi="Arial" w:cs="Arial"/>
                <w:color w:val="auto"/>
                <w:sz w:val="16"/>
                <w:szCs w:val="16"/>
              </w:rPr>
            </w:pPr>
            <w:r w:rsidRPr="001A7961">
              <w:rPr>
                <w:rFonts w:ascii="Arial" w:hAnsi="Arial" w:cs="Arial"/>
                <w:color w:val="auto"/>
                <w:sz w:val="16"/>
                <w:szCs w:val="16"/>
              </w:rPr>
              <w:t xml:space="preserve">$b </w:t>
            </w:r>
          </w:p>
        </w:tc>
        <w:tc>
          <w:tcPr>
            <w:tcW w:w="0" w:type="auto"/>
            <w:tcBorders>
              <w:top w:val="nil"/>
              <w:left w:val="nil"/>
              <w:bottom w:val="single" w:sz="4" w:space="0" w:color="auto"/>
              <w:right w:val="nil"/>
            </w:tcBorders>
            <w:shd w:val="clear" w:color="000000" w:fill="FFFFFF"/>
            <w:noWrap/>
            <w:vAlign w:val="center"/>
            <w:hideMark/>
          </w:tcPr>
          <w:p w14:paraId="3FBCEDD9" w14:textId="77777777" w:rsidR="00746D27" w:rsidRPr="001A7961" w:rsidRDefault="00746D27" w:rsidP="00746D27">
            <w:pPr>
              <w:spacing w:after="0" w:line="240" w:lineRule="auto"/>
              <w:jc w:val="right"/>
              <w:rPr>
                <w:rFonts w:ascii="Arial" w:hAnsi="Arial" w:cs="Arial"/>
                <w:color w:val="auto"/>
                <w:sz w:val="16"/>
                <w:szCs w:val="16"/>
              </w:rPr>
            </w:pPr>
            <w:r w:rsidRPr="001A7961">
              <w:rPr>
                <w:rFonts w:ascii="Arial" w:hAnsi="Arial" w:cs="Arial"/>
                <w:color w:val="auto"/>
                <w:sz w:val="16"/>
                <w:szCs w:val="16"/>
              </w:rPr>
              <w:t>No.</w:t>
            </w:r>
          </w:p>
        </w:tc>
        <w:tc>
          <w:tcPr>
            <w:tcW w:w="0" w:type="auto"/>
            <w:tcBorders>
              <w:top w:val="nil"/>
              <w:left w:val="nil"/>
              <w:bottom w:val="single" w:sz="4" w:space="0" w:color="auto"/>
              <w:right w:val="nil"/>
            </w:tcBorders>
            <w:shd w:val="clear" w:color="000000" w:fill="FFFFFF"/>
            <w:noWrap/>
            <w:vAlign w:val="center"/>
            <w:hideMark/>
          </w:tcPr>
          <w:p w14:paraId="4DFD83F5" w14:textId="77777777" w:rsidR="00746D27" w:rsidRPr="001A7961" w:rsidRDefault="00746D27" w:rsidP="00746D27">
            <w:pPr>
              <w:spacing w:after="0" w:line="240" w:lineRule="auto"/>
              <w:jc w:val="right"/>
              <w:rPr>
                <w:rFonts w:ascii="Arial" w:hAnsi="Arial" w:cs="Arial"/>
                <w:color w:val="auto"/>
                <w:sz w:val="16"/>
                <w:szCs w:val="16"/>
              </w:rPr>
            </w:pPr>
            <w:r w:rsidRPr="001A7961">
              <w:rPr>
                <w:rFonts w:ascii="Arial" w:hAnsi="Arial" w:cs="Arial"/>
                <w:color w:val="auto"/>
                <w:sz w:val="16"/>
                <w:szCs w:val="16"/>
              </w:rPr>
              <w:t xml:space="preserve">$b </w:t>
            </w:r>
          </w:p>
        </w:tc>
        <w:tc>
          <w:tcPr>
            <w:tcW w:w="0" w:type="auto"/>
            <w:tcBorders>
              <w:top w:val="nil"/>
              <w:left w:val="nil"/>
              <w:bottom w:val="single" w:sz="4" w:space="0" w:color="auto"/>
              <w:right w:val="nil"/>
            </w:tcBorders>
            <w:shd w:val="clear" w:color="000000" w:fill="FFFFFF"/>
            <w:noWrap/>
            <w:vAlign w:val="center"/>
            <w:hideMark/>
          </w:tcPr>
          <w:p w14:paraId="11BC3DF3" w14:textId="77777777" w:rsidR="00746D27" w:rsidRPr="001A7961" w:rsidRDefault="00746D27" w:rsidP="00746D27">
            <w:pPr>
              <w:spacing w:after="0" w:line="240" w:lineRule="auto"/>
              <w:jc w:val="right"/>
              <w:rPr>
                <w:rFonts w:ascii="Arial" w:hAnsi="Arial" w:cs="Arial"/>
                <w:color w:val="auto"/>
                <w:sz w:val="16"/>
                <w:szCs w:val="16"/>
              </w:rPr>
            </w:pPr>
            <w:r w:rsidRPr="001A7961">
              <w:rPr>
                <w:rFonts w:ascii="Arial" w:hAnsi="Arial" w:cs="Arial"/>
                <w:color w:val="auto"/>
                <w:sz w:val="16"/>
                <w:szCs w:val="16"/>
              </w:rPr>
              <w:t>No.</w:t>
            </w:r>
          </w:p>
        </w:tc>
        <w:tc>
          <w:tcPr>
            <w:tcW w:w="0" w:type="auto"/>
            <w:tcBorders>
              <w:top w:val="nil"/>
              <w:left w:val="nil"/>
              <w:bottom w:val="single" w:sz="4" w:space="0" w:color="auto"/>
              <w:right w:val="nil"/>
            </w:tcBorders>
            <w:shd w:val="clear" w:color="000000" w:fill="FFFFFF"/>
            <w:noWrap/>
            <w:vAlign w:val="center"/>
            <w:hideMark/>
          </w:tcPr>
          <w:p w14:paraId="7DA154FC" w14:textId="77777777" w:rsidR="00746D27" w:rsidRPr="001A7961" w:rsidRDefault="00746D27" w:rsidP="00746D27">
            <w:pPr>
              <w:spacing w:after="0" w:line="240" w:lineRule="auto"/>
              <w:jc w:val="right"/>
              <w:rPr>
                <w:rFonts w:ascii="Arial" w:hAnsi="Arial" w:cs="Arial"/>
                <w:color w:val="auto"/>
                <w:sz w:val="16"/>
                <w:szCs w:val="16"/>
              </w:rPr>
            </w:pPr>
            <w:r w:rsidRPr="001A7961">
              <w:rPr>
                <w:rFonts w:ascii="Arial" w:hAnsi="Arial" w:cs="Arial"/>
                <w:color w:val="auto"/>
                <w:sz w:val="16"/>
                <w:szCs w:val="16"/>
              </w:rPr>
              <w:t xml:space="preserve">$b </w:t>
            </w:r>
          </w:p>
        </w:tc>
      </w:tr>
      <w:tr w:rsidR="001A7961" w:rsidRPr="002F1984" w14:paraId="19F636C6" w14:textId="77777777" w:rsidTr="00D76ED2">
        <w:trPr>
          <w:trHeight w:val="230"/>
        </w:trPr>
        <w:tc>
          <w:tcPr>
            <w:tcW w:w="513" w:type="pct"/>
            <w:tcBorders>
              <w:top w:val="nil"/>
              <w:left w:val="nil"/>
              <w:bottom w:val="nil"/>
              <w:right w:val="nil"/>
            </w:tcBorders>
            <w:shd w:val="clear" w:color="000000" w:fill="FFFFFF"/>
            <w:noWrap/>
            <w:vAlign w:val="center"/>
            <w:hideMark/>
          </w:tcPr>
          <w:p w14:paraId="71F32EA2" w14:textId="77777777" w:rsidR="00746D27" w:rsidRPr="002F1984" w:rsidRDefault="00746D27" w:rsidP="00746D27">
            <w:pPr>
              <w:spacing w:after="0" w:line="240" w:lineRule="auto"/>
              <w:jc w:val="left"/>
              <w:rPr>
                <w:rFonts w:ascii="Arial" w:hAnsi="Arial" w:cs="Arial"/>
                <w:color w:val="auto"/>
                <w:sz w:val="16"/>
                <w:szCs w:val="16"/>
              </w:rPr>
            </w:pPr>
            <w:r w:rsidRPr="002F1984">
              <w:rPr>
                <w:rFonts w:ascii="Arial" w:hAnsi="Arial" w:cs="Arial"/>
                <w:color w:val="auto"/>
                <w:sz w:val="16"/>
                <w:szCs w:val="16"/>
              </w:rPr>
              <w:t>ACT</w:t>
            </w:r>
          </w:p>
        </w:tc>
        <w:tc>
          <w:tcPr>
            <w:tcW w:w="481" w:type="pct"/>
            <w:tcBorders>
              <w:top w:val="nil"/>
              <w:left w:val="nil"/>
              <w:bottom w:val="nil"/>
              <w:right w:val="nil"/>
            </w:tcBorders>
            <w:shd w:val="clear" w:color="000000" w:fill="FFFFFF"/>
            <w:noWrap/>
            <w:vAlign w:val="center"/>
            <w:hideMark/>
          </w:tcPr>
          <w:p w14:paraId="1950EBE6" w14:textId="29FF32A6" w:rsidR="00746D27" w:rsidRPr="00F54907" w:rsidRDefault="00716F81"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185</w:t>
            </w:r>
          </w:p>
        </w:tc>
        <w:tc>
          <w:tcPr>
            <w:tcW w:w="323" w:type="pct"/>
            <w:tcBorders>
              <w:top w:val="nil"/>
              <w:left w:val="nil"/>
              <w:bottom w:val="nil"/>
              <w:right w:val="nil"/>
            </w:tcBorders>
            <w:shd w:val="clear" w:color="000000" w:fill="FFFFFF"/>
            <w:noWrap/>
            <w:vAlign w:val="center"/>
            <w:hideMark/>
          </w:tcPr>
          <w:p w14:paraId="50769186" w14:textId="7B8E2C94" w:rsidR="00746D27" w:rsidRPr="00F54907" w:rsidRDefault="00716F81"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0.1</w:t>
            </w:r>
          </w:p>
        </w:tc>
        <w:tc>
          <w:tcPr>
            <w:tcW w:w="350" w:type="pct"/>
            <w:tcBorders>
              <w:top w:val="nil"/>
              <w:left w:val="nil"/>
              <w:bottom w:val="nil"/>
              <w:right w:val="nil"/>
            </w:tcBorders>
            <w:shd w:val="clear" w:color="000000" w:fill="FFFFFF"/>
            <w:noWrap/>
            <w:vAlign w:val="center"/>
            <w:hideMark/>
          </w:tcPr>
          <w:p w14:paraId="6FB999A5" w14:textId="760A2319" w:rsidR="00746D27" w:rsidRPr="00F54907" w:rsidRDefault="00716F81"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31</w:t>
            </w:r>
          </w:p>
        </w:tc>
        <w:tc>
          <w:tcPr>
            <w:tcW w:w="0" w:type="auto"/>
            <w:tcBorders>
              <w:top w:val="nil"/>
              <w:left w:val="nil"/>
              <w:bottom w:val="nil"/>
              <w:right w:val="nil"/>
            </w:tcBorders>
            <w:shd w:val="clear" w:color="000000" w:fill="FFFFFF"/>
            <w:noWrap/>
            <w:vAlign w:val="center"/>
            <w:hideMark/>
          </w:tcPr>
          <w:p w14:paraId="3E483239" w14:textId="77777777" w:rsidR="00746D27" w:rsidRPr="00F54907" w:rsidRDefault="00746D27"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72BB821B" w14:textId="34A11144" w:rsidR="00746D27" w:rsidRPr="00F54907" w:rsidRDefault="00716F81"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w:t>
            </w:r>
          </w:p>
        </w:tc>
        <w:tc>
          <w:tcPr>
            <w:tcW w:w="0" w:type="auto"/>
            <w:tcBorders>
              <w:top w:val="nil"/>
              <w:left w:val="nil"/>
              <w:bottom w:val="nil"/>
              <w:right w:val="nil"/>
            </w:tcBorders>
            <w:shd w:val="clear" w:color="000000" w:fill="FFFFFF"/>
            <w:noWrap/>
            <w:vAlign w:val="center"/>
            <w:hideMark/>
          </w:tcPr>
          <w:p w14:paraId="1E7B3800" w14:textId="77777777" w:rsidR="00746D27" w:rsidRPr="00F54907" w:rsidRDefault="00746D27"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78202AF1" w14:textId="4756344F" w:rsidR="00746D27" w:rsidRPr="00F54907" w:rsidRDefault="00716F81"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5</w:t>
            </w:r>
          </w:p>
        </w:tc>
        <w:tc>
          <w:tcPr>
            <w:tcW w:w="0" w:type="auto"/>
            <w:tcBorders>
              <w:top w:val="nil"/>
              <w:left w:val="nil"/>
              <w:bottom w:val="nil"/>
              <w:right w:val="nil"/>
            </w:tcBorders>
            <w:shd w:val="clear" w:color="000000" w:fill="FFFFFF"/>
            <w:noWrap/>
            <w:vAlign w:val="center"/>
            <w:hideMark/>
          </w:tcPr>
          <w:p w14:paraId="051C62AE" w14:textId="77777777" w:rsidR="00746D27" w:rsidRPr="00F54907" w:rsidRDefault="00746D27"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2D025BE5" w14:textId="0FA58B4F" w:rsidR="00746D27" w:rsidRPr="00F54907" w:rsidRDefault="00716F81"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w:t>
            </w:r>
          </w:p>
        </w:tc>
        <w:tc>
          <w:tcPr>
            <w:tcW w:w="0" w:type="auto"/>
            <w:tcBorders>
              <w:top w:val="nil"/>
              <w:left w:val="nil"/>
              <w:bottom w:val="nil"/>
              <w:right w:val="nil"/>
            </w:tcBorders>
            <w:shd w:val="clear" w:color="000000" w:fill="FFFFFF"/>
            <w:noWrap/>
            <w:vAlign w:val="center"/>
            <w:hideMark/>
          </w:tcPr>
          <w:p w14:paraId="4E8C19E3" w14:textId="3B28A831" w:rsidR="00746D27" w:rsidRPr="00F54907" w:rsidRDefault="00716F81"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0.2</w:t>
            </w:r>
          </w:p>
        </w:tc>
        <w:tc>
          <w:tcPr>
            <w:tcW w:w="0" w:type="auto"/>
            <w:tcBorders>
              <w:top w:val="nil"/>
              <w:left w:val="nil"/>
              <w:bottom w:val="nil"/>
              <w:right w:val="nil"/>
            </w:tcBorders>
            <w:shd w:val="clear" w:color="000000" w:fill="FFFFFF"/>
            <w:noWrap/>
            <w:vAlign w:val="center"/>
            <w:hideMark/>
          </w:tcPr>
          <w:p w14:paraId="6FC9EE0E" w14:textId="1E6B8EF1" w:rsidR="00746D27" w:rsidRPr="00F54907" w:rsidRDefault="00716F81"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60</w:t>
            </w:r>
          </w:p>
        </w:tc>
        <w:tc>
          <w:tcPr>
            <w:tcW w:w="0" w:type="auto"/>
            <w:tcBorders>
              <w:top w:val="nil"/>
              <w:left w:val="nil"/>
              <w:bottom w:val="nil"/>
              <w:right w:val="nil"/>
            </w:tcBorders>
            <w:shd w:val="clear" w:color="000000" w:fill="FFFFFF"/>
            <w:noWrap/>
            <w:vAlign w:val="center"/>
            <w:hideMark/>
          </w:tcPr>
          <w:p w14:paraId="30BE9210" w14:textId="77777777" w:rsidR="00746D27" w:rsidRPr="00F54907" w:rsidRDefault="00746D27"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r>
      <w:tr w:rsidR="001A7961" w:rsidRPr="002F1984" w14:paraId="54CB9681" w14:textId="77777777" w:rsidTr="00D76ED2">
        <w:trPr>
          <w:trHeight w:val="230"/>
        </w:trPr>
        <w:tc>
          <w:tcPr>
            <w:tcW w:w="513" w:type="pct"/>
            <w:tcBorders>
              <w:top w:val="nil"/>
              <w:left w:val="nil"/>
              <w:bottom w:val="nil"/>
              <w:right w:val="nil"/>
            </w:tcBorders>
            <w:shd w:val="clear" w:color="000000" w:fill="FFFFFF"/>
            <w:noWrap/>
            <w:vAlign w:val="center"/>
            <w:hideMark/>
          </w:tcPr>
          <w:p w14:paraId="159FFDEF" w14:textId="77777777" w:rsidR="00746D27" w:rsidRPr="002F1984" w:rsidRDefault="00746D27" w:rsidP="00746D27">
            <w:pPr>
              <w:spacing w:after="0" w:line="240" w:lineRule="auto"/>
              <w:jc w:val="left"/>
              <w:rPr>
                <w:rFonts w:ascii="Arial" w:hAnsi="Arial" w:cs="Arial"/>
                <w:color w:val="auto"/>
                <w:sz w:val="16"/>
                <w:szCs w:val="16"/>
              </w:rPr>
            </w:pPr>
            <w:r w:rsidRPr="002F1984">
              <w:rPr>
                <w:rFonts w:ascii="Arial" w:hAnsi="Arial" w:cs="Arial"/>
                <w:color w:val="auto"/>
                <w:sz w:val="16"/>
                <w:szCs w:val="16"/>
              </w:rPr>
              <w:t>NSW</w:t>
            </w:r>
          </w:p>
        </w:tc>
        <w:tc>
          <w:tcPr>
            <w:tcW w:w="481" w:type="pct"/>
            <w:tcBorders>
              <w:top w:val="nil"/>
              <w:left w:val="nil"/>
              <w:bottom w:val="nil"/>
              <w:right w:val="nil"/>
            </w:tcBorders>
            <w:shd w:val="clear" w:color="000000" w:fill="FFFFFF"/>
            <w:noWrap/>
            <w:vAlign w:val="center"/>
            <w:hideMark/>
          </w:tcPr>
          <w:p w14:paraId="35DD6F8C" w14:textId="7A99B621" w:rsidR="00746D27" w:rsidRPr="00F54907" w:rsidRDefault="00716F81"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415</w:t>
            </w:r>
          </w:p>
        </w:tc>
        <w:tc>
          <w:tcPr>
            <w:tcW w:w="323" w:type="pct"/>
            <w:tcBorders>
              <w:top w:val="nil"/>
              <w:left w:val="nil"/>
              <w:bottom w:val="nil"/>
              <w:right w:val="nil"/>
            </w:tcBorders>
            <w:shd w:val="clear" w:color="000000" w:fill="FFFFFF"/>
            <w:noWrap/>
            <w:vAlign w:val="center"/>
            <w:hideMark/>
          </w:tcPr>
          <w:p w14:paraId="0B0D30C5" w14:textId="427C8F74" w:rsidR="00746D27" w:rsidRPr="00F54907" w:rsidRDefault="00716F81"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0.6</w:t>
            </w:r>
          </w:p>
        </w:tc>
        <w:tc>
          <w:tcPr>
            <w:tcW w:w="350" w:type="pct"/>
            <w:tcBorders>
              <w:top w:val="nil"/>
              <w:left w:val="nil"/>
              <w:bottom w:val="nil"/>
              <w:right w:val="nil"/>
            </w:tcBorders>
            <w:shd w:val="clear" w:color="000000" w:fill="FFFFFF"/>
            <w:noWrap/>
            <w:vAlign w:val="center"/>
            <w:hideMark/>
          </w:tcPr>
          <w:p w14:paraId="1414A00E" w14:textId="1E17F7E1" w:rsidR="00746D27" w:rsidRPr="00F54907" w:rsidRDefault="00716F81"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79</w:t>
            </w:r>
          </w:p>
        </w:tc>
        <w:tc>
          <w:tcPr>
            <w:tcW w:w="0" w:type="auto"/>
            <w:tcBorders>
              <w:top w:val="nil"/>
              <w:left w:val="nil"/>
              <w:bottom w:val="nil"/>
              <w:right w:val="nil"/>
            </w:tcBorders>
            <w:shd w:val="clear" w:color="000000" w:fill="FFFFFF"/>
            <w:noWrap/>
            <w:vAlign w:val="center"/>
            <w:hideMark/>
          </w:tcPr>
          <w:p w14:paraId="764CEC2F" w14:textId="04B0B8AF"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0.2</w:t>
            </w:r>
          </w:p>
        </w:tc>
        <w:tc>
          <w:tcPr>
            <w:tcW w:w="0" w:type="auto"/>
            <w:tcBorders>
              <w:top w:val="nil"/>
              <w:left w:val="nil"/>
              <w:bottom w:val="nil"/>
              <w:right w:val="nil"/>
            </w:tcBorders>
            <w:shd w:val="clear" w:color="000000" w:fill="FFFFFF"/>
            <w:noWrap/>
            <w:vAlign w:val="center"/>
            <w:hideMark/>
          </w:tcPr>
          <w:p w14:paraId="000DC2A3" w14:textId="6F2B7A36"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33</w:t>
            </w:r>
          </w:p>
        </w:tc>
        <w:tc>
          <w:tcPr>
            <w:tcW w:w="0" w:type="auto"/>
            <w:tcBorders>
              <w:top w:val="nil"/>
              <w:left w:val="nil"/>
              <w:bottom w:val="nil"/>
              <w:right w:val="nil"/>
            </w:tcBorders>
            <w:shd w:val="clear" w:color="000000" w:fill="FFFFFF"/>
            <w:noWrap/>
            <w:vAlign w:val="center"/>
            <w:hideMark/>
          </w:tcPr>
          <w:p w14:paraId="2AF0888F" w14:textId="2D5CC553"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0.3</w:t>
            </w:r>
          </w:p>
        </w:tc>
        <w:tc>
          <w:tcPr>
            <w:tcW w:w="0" w:type="auto"/>
            <w:tcBorders>
              <w:top w:val="nil"/>
              <w:left w:val="nil"/>
              <w:bottom w:val="nil"/>
              <w:right w:val="nil"/>
            </w:tcBorders>
            <w:shd w:val="clear" w:color="000000" w:fill="FFFFFF"/>
            <w:noWrap/>
            <w:vAlign w:val="center"/>
            <w:hideMark/>
          </w:tcPr>
          <w:p w14:paraId="68B3A945" w14:textId="2564E74F"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98</w:t>
            </w:r>
          </w:p>
        </w:tc>
        <w:tc>
          <w:tcPr>
            <w:tcW w:w="0" w:type="auto"/>
            <w:tcBorders>
              <w:top w:val="nil"/>
              <w:left w:val="nil"/>
              <w:bottom w:val="nil"/>
              <w:right w:val="nil"/>
            </w:tcBorders>
            <w:shd w:val="clear" w:color="000000" w:fill="FFFFFF"/>
            <w:noWrap/>
            <w:vAlign w:val="center"/>
            <w:hideMark/>
          </w:tcPr>
          <w:p w14:paraId="4F71A2F1" w14:textId="3AFD9B13"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0.1</w:t>
            </w:r>
          </w:p>
        </w:tc>
        <w:tc>
          <w:tcPr>
            <w:tcW w:w="0" w:type="auto"/>
            <w:tcBorders>
              <w:top w:val="nil"/>
              <w:left w:val="nil"/>
              <w:bottom w:val="nil"/>
              <w:right w:val="nil"/>
            </w:tcBorders>
            <w:shd w:val="clear" w:color="000000" w:fill="FFFFFF"/>
            <w:noWrap/>
            <w:vAlign w:val="center"/>
            <w:hideMark/>
          </w:tcPr>
          <w:p w14:paraId="5584E073" w14:textId="77777777" w:rsidR="00746D27" w:rsidRPr="00F54907" w:rsidRDefault="00746D27"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4</w:t>
            </w:r>
          </w:p>
        </w:tc>
        <w:tc>
          <w:tcPr>
            <w:tcW w:w="0" w:type="auto"/>
            <w:tcBorders>
              <w:top w:val="nil"/>
              <w:left w:val="nil"/>
              <w:bottom w:val="nil"/>
              <w:right w:val="nil"/>
            </w:tcBorders>
            <w:shd w:val="clear" w:color="000000" w:fill="FFFFFF"/>
            <w:noWrap/>
            <w:vAlign w:val="center"/>
            <w:hideMark/>
          </w:tcPr>
          <w:p w14:paraId="65A38101" w14:textId="38A99616"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0.3</w:t>
            </w:r>
          </w:p>
        </w:tc>
        <w:tc>
          <w:tcPr>
            <w:tcW w:w="0" w:type="auto"/>
            <w:tcBorders>
              <w:top w:val="nil"/>
              <w:left w:val="nil"/>
              <w:bottom w:val="nil"/>
              <w:right w:val="nil"/>
            </w:tcBorders>
            <w:shd w:val="clear" w:color="000000" w:fill="FFFFFF"/>
            <w:noWrap/>
            <w:vAlign w:val="center"/>
            <w:hideMark/>
          </w:tcPr>
          <w:p w14:paraId="4C98EC6A" w14:textId="73E667EC"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101</w:t>
            </w:r>
          </w:p>
        </w:tc>
        <w:tc>
          <w:tcPr>
            <w:tcW w:w="0" w:type="auto"/>
            <w:tcBorders>
              <w:top w:val="nil"/>
              <w:left w:val="nil"/>
              <w:bottom w:val="nil"/>
              <w:right w:val="nil"/>
            </w:tcBorders>
            <w:shd w:val="clear" w:color="000000" w:fill="FFFFFF"/>
            <w:noWrap/>
            <w:vAlign w:val="center"/>
            <w:hideMark/>
          </w:tcPr>
          <w:p w14:paraId="21B26B50" w14:textId="55C43C03"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0.2</w:t>
            </w:r>
          </w:p>
        </w:tc>
      </w:tr>
      <w:tr w:rsidR="001A7961" w:rsidRPr="002F1984" w14:paraId="2E75541C" w14:textId="77777777" w:rsidTr="00D76ED2">
        <w:trPr>
          <w:trHeight w:val="230"/>
        </w:trPr>
        <w:tc>
          <w:tcPr>
            <w:tcW w:w="513" w:type="pct"/>
            <w:tcBorders>
              <w:top w:val="nil"/>
              <w:left w:val="nil"/>
              <w:bottom w:val="nil"/>
              <w:right w:val="nil"/>
            </w:tcBorders>
            <w:shd w:val="clear" w:color="000000" w:fill="FFFFFF"/>
            <w:noWrap/>
            <w:vAlign w:val="center"/>
            <w:hideMark/>
          </w:tcPr>
          <w:p w14:paraId="2159C6C8" w14:textId="77777777" w:rsidR="00746D27" w:rsidRPr="002F1984" w:rsidRDefault="00746D27" w:rsidP="00746D27">
            <w:pPr>
              <w:spacing w:after="0" w:line="240" w:lineRule="auto"/>
              <w:jc w:val="left"/>
              <w:rPr>
                <w:rFonts w:ascii="Arial" w:hAnsi="Arial" w:cs="Arial"/>
                <w:color w:val="auto"/>
                <w:sz w:val="16"/>
                <w:szCs w:val="16"/>
              </w:rPr>
            </w:pPr>
            <w:r w:rsidRPr="002F1984">
              <w:rPr>
                <w:rFonts w:ascii="Arial" w:hAnsi="Arial" w:cs="Arial"/>
                <w:color w:val="auto"/>
                <w:sz w:val="16"/>
                <w:szCs w:val="16"/>
              </w:rPr>
              <w:t>NT</w:t>
            </w:r>
          </w:p>
        </w:tc>
        <w:tc>
          <w:tcPr>
            <w:tcW w:w="481" w:type="pct"/>
            <w:tcBorders>
              <w:top w:val="nil"/>
              <w:left w:val="nil"/>
              <w:bottom w:val="nil"/>
              <w:right w:val="nil"/>
            </w:tcBorders>
            <w:shd w:val="clear" w:color="000000" w:fill="FFFFFF"/>
            <w:noWrap/>
            <w:vAlign w:val="center"/>
            <w:hideMark/>
          </w:tcPr>
          <w:p w14:paraId="0C2B9A10" w14:textId="25973A3D"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w:t>
            </w:r>
          </w:p>
        </w:tc>
        <w:tc>
          <w:tcPr>
            <w:tcW w:w="323" w:type="pct"/>
            <w:tcBorders>
              <w:top w:val="nil"/>
              <w:left w:val="nil"/>
              <w:bottom w:val="nil"/>
              <w:right w:val="nil"/>
            </w:tcBorders>
            <w:shd w:val="clear" w:color="000000" w:fill="FFFFFF"/>
            <w:noWrap/>
            <w:vAlign w:val="center"/>
            <w:hideMark/>
          </w:tcPr>
          <w:p w14:paraId="7FC1FC26" w14:textId="77777777"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350" w:type="pct"/>
            <w:tcBorders>
              <w:top w:val="nil"/>
              <w:left w:val="nil"/>
              <w:bottom w:val="nil"/>
              <w:right w:val="nil"/>
            </w:tcBorders>
            <w:shd w:val="clear" w:color="000000" w:fill="FFFFFF"/>
            <w:noWrap/>
            <w:vAlign w:val="center"/>
            <w:hideMark/>
          </w:tcPr>
          <w:p w14:paraId="4FF341AE" w14:textId="729A5340"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16</w:t>
            </w:r>
          </w:p>
        </w:tc>
        <w:tc>
          <w:tcPr>
            <w:tcW w:w="0" w:type="auto"/>
            <w:tcBorders>
              <w:top w:val="nil"/>
              <w:left w:val="nil"/>
              <w:bottom w:val="nil"/>
              <w:right w:val="nil"/>
            </w:tcBorders>
            <w:shd w:val="clear" w:color="000000" w:fill="FFFFFF"/>
            <w:noWrap/>
            <w:vAlign w:val="center"/>
            <w:hideMark/>
          </w:tcPr>
          <w:p w14:paraId="422B7E10" w14:textId="77777777"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198FFB17" w14:textId="61EB10AF"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w:t>
            </w:r>
          </w:p>
        </w:tc>
        <w:tc>
          <w:tcPr>
            <w:tcW w:w="0" w:type="auto"/>
            <w:tcBorders>
              <w:top w:val="nil"/>
              <w:left w:val="nil"/>
              <w:bottom w:val="nil"/>
              <w:right w:val="nil"/>
            </w:tcBorders>
            <w:shd w:val="clear" w:color="000000" w:fill="FFFFFF"/>
            <w:noWrap/>
            <w:vAlign w:val="center"/>
            <w:hideMark/>
          </w:tcPr>
          <w:p w14:paraId="43A05B93" w14:textId="558A3A59"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79E5F569" w14:textId="545814EA"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4</w:t>
            </w:r>
          </w:p>
        </w:tc>
        <w:tc>
          <w:tcPr>
            <w:tcW w:w="0" w:type="auto"/>
            <w:tcBorders>
              <w:top w:val="nil"/>
              <w:left w:val="nil"/>
              <w:bottom w:val="nil"/>
              <w:right w:val="nil"/>
            </w:tcBorders>
            <w:shd w:val="clear" w:color="000000" w:fill="FFFFFF"/>
            <w:noWrap/>
            <w:vAlign w:val="center"/>
            <w:hideMark/>
          </w:tcPr>
          <w:p w14:paraId="0604A347" w14:textId="77777777" w:rsidR="00746D27" w:rsidRPr="00F54907" w:rsidRDefault="00746D27"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7AF87E15" w14:textId="77777777" w:rsidR="00746D27" w:rsidRPr="00F54907" w:rsidRDefault="00746D27"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w:t>
            </w:r>
          </w:p>
        </w:tc>
        <w:tc>
          <w:tcPr>
            <w:tcW w:w="0" w:type="auto"/>
            <w:tcBorders>
              <w:top w:val="nil"/>
              <w:left w:val="nil"/>
              <w:bottom w:val="nil"/>
              <w:right w:val="nil"/>
            </w:tcBorders>
            <w:shd w:val="clear" w:color="000000" w:fill="FFFFFF"/>
            <w:noWrap/>
            <w:vAlign w:val="center"/>
            <w:hideMark/>
          </w:tcPr>
          <w:p w14:paraId="2A09DAAD" w14:textId="42C19D93"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w:t>
            </w:r>
          </w:p>
        </w:tc>
        <w:tc>
          <w:tcPr>
            <w:tcW w:w="0" w:type="auto"/>
            <w:tcBorders>
              <w:top w:val="nil"/>
              <w:left w:val="nil"/>
              <w:bottom w:val="nil"/>
              <w:right w:val="nil"/>
            </w:tcBorders>
            <w:shd w:val="clear" w:color="000000" w:fill="FFFFFF"/>
            <w:noWrap/>
            <w:vAlign w:val="center"/>
            <w:hideMark/>
          </w:tcPr>
          <w:p w14:paraId="5716D9D1" w14:textId="08CE9DE2"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3</w:t>
            </w:r>
          </w:p>
        </w:tc>
        <w:tc>
          <w:tcPr>
            <w:tcW w:w="0" w:type="auto"/>
            <w:tcBorders>
              <w:top w:val="nil"/>
              <w:left w:val="nil"/>
              <w:bottom w:val="nil"/>
              <w:right w:val="nil"/>
            </w:tcBorders>
            <w:shd w:val="clear" w:color="000000" w:fill="FFFFFF"/>
            <w:noWrap/>
            <w:vAlign w:val="center"/>
            <w:hideMark/>
          </w:tcPr>
          <w:p w14:paraId="22AEFEE5" w14:textId="2E8439AC"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r>
      <w:tr w:rsidR="001A7961" w:rsidRPr="002F1984" w14:paraId="10E46E94" w14:textId="77777777" w:rsidTr="00D76ED2">
        <w:trPr>
          <w:trHeight w:val="230"/>
        </w:trPr>
        <w:tc>
          <w:tcPr>
            <w:tcW w:w="513" w:type="pct"/>
            <w:tcBorders>
              <w:top w:val="nil"/>
              <w:left w:val="nil"/>
              <w:bottom w:val="nil"/>
              <w:right w:val="nil"/>
            </w:tcBorders>
            <w:shd w:val="clear" w:color="000000" w:fill="FFFFFF"/>
            <w:noWrap/>
            <w:vAlign w:val="center"/>
            <w:hideMark/>
          </w:tcPr>
          <w:p w14:paraId="6628837F" w14:textId="77777777" w:rsidR="00746D27" w:rsidRPr="002F1984" w:rsidRDefault="00746D27" w:rsidP="00746D27">
            <w:pPr>
              <w:spacing w:after="0" w:line="240" w:lineRule="auto"/>
              <w:jc w:val="left"/>
              <w:rPr>
                <w:rFonts w:ascii="Arial" w:hAnsi="Arial" w:cs="Arial"/>
                <w:color w:val="auto"/>
                <w:sz w:val="16"/>
                <w:szCs w:val="16"/>
              </w:rPr>
            </w:pPr>
            <w:r w:rsidRPr="002F1984">
              <w:rPr>
                <w:rFonts w:ascii="Arial" w:hAnsi="Arial" w:cs="Arial"/>
                <w:color w:val="auto"/>
                <w:sz w:val="16"/>
                <w:szCs w:val="16"/>
              </w:rPr>
              <w:t>Qld</w:t>
            </w:r>
          </w:p>
        </w:tc>
        <w:tc>
          <w:tcPr>
            <w:tcW w:w="481" w:type="pct"/>
            <w:tcBorders>
              <w:top w:val="nil"/>
              <w:left w:val="nil"/>
              <w:bottom w:val="nil"/>
              <w:right w:val="nil"/>
            </w:tcBorders>
            <w:shd w:val="clear" w:color="000000" w:fill="FFFFFF"/>
            <w:noWrap/>
            <w:vAlign w:val="center"/>
            <w:hideMark/>
          </w:tcPr>
          <w:p w14:paraId="3B498A5C" w14:textId="73A36787"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420</w:t>
            </w:r>
          </w:p>
        </w:tc>
        <w:tc>
          <w:tcPr>
            <w:tcW w:w="323" w:type="pct"/>
            <w:tcBorders>
              <w:top w:val="nil"/>
              <w:left w:val="nil"/>
              <w:bottom w:val="nil"/>
              <w:right w:val="nil"/>
            </w:tcBorders>
            <w:shd w:val="clear" w:color="000000" w:fill="FFFFFF"/>
            <w:noWrap/>
            <w:vAlign w:val="center"/>
            <w:hideMark/>
          </w:tcPr>
          <w:p w14:paraId="0F4DC27E" w14:textId="45DC5389"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0.3</w:t>
            </w:r>
          </w:p>
        </w:tc>
        <w:tc>
          <w:tcPr>
            <w:tcW w:w="350" w:type="pct"/>
            <w:tcBorders>
              <w:top w:val="nil"/>
              <w:left w:val="nil"/>
              <w:bottom w:val="nil"/>
              <w:right w:val="nil"/>
            </w:tcBorders>
            <w:shd w:val="clear" w:color="000000" w:fill="FFFFFF"/>
            <w:noWrap/>
            <w:vAlign w:val="center"/>
            <w:hideMark/>
          </w:tcPr>
          <w:p w14:paraId="352B11CC" w14:textId="2FAFE630"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139</w:t>
            </w:r>
          </w:p>
        </w:tc>
        <w:tc>
          <w:tcPr>
            <w:tcW w:w="0" w:type="auto"/>
            <w:tcBorders>
              <w:top w:val="nil"/>
              <w:left w:val="nil"/>
              <w:bottom w:val="nil"/>
              <w:right w:val="nil"/>
            </w:tcBorders>
            <w:shd w:val="clear" w:color="000000" w:fill="FFFFFF"/>
            <w:noWrap/>
            <w:vAlign w:val="center"/>
            <w:hideMark/>
          </w:tcPr>
          <w:p w14:paraId="50569786" w14:textId="47C21595"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0.1</w:t>
            </w:r>
          </w:p>
        </w:tc>
        <w:tc>
          <w:tcPr>
            <w:tcW w:w="0" w:type="auto"/>
            <w:tcBorders>
              <w:top w:val="nil"/>
              <w:left w:val="nil"/>
              <w:bottom w:val="nil"/>
              <w:right w:val="nil"/>
            </w:tcBorders>
            <w:shd w:val="clear" w:color="000000" w:fill="FFFFFF"/>
            <w:noWrap/>
            <w:vAlign w:val="center"/>
            <w:hideMark/>
          </w:tcPr>
          <w:p w14:paraId="24FFD669" w14:textId="707C4E6D"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23</w:t>
            </w:r>
          </w:p>
        </w:tc>
        <w:tc>
          <w:tcPr>
            <w:tcW w:w="0" w:type="auto"/>
            <w:tcBorders>
              <w:top w:val="nil"/>
              <w:left w:val="nil"/>
              <w:bottom w:val="nil"/>
              <w:right w:val="nil"/>
            </w:tcBorders>
            <w:shd w:val="clear" w:color="000000" w:fill="FFFFFF"/>
            <w:noWrap/>
            <w:vAlign w:val="center"/>
            <w:hideMark/>
          </w:tcPr>
          <w:p w14:paraId="05D12EC0" w14:textId="2E32F0F5" w:rsidR="00746D27" w:rsidRPr="00F54907" w:rsidRDefault="002F6C71"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w:t>
            </w:r>
            <w:r w:rsidR="00F9649C" w:rsidRPr="00F54907">
              <w:rPr>
                <w:rFonts w:ascii="Arial" w:hAnsi="Arial" w:cs="Arial"/>
                <w:color w:val="auto"/>
                <w:sz w:val="16"/>
                <w:szCs w:val="16"/>
              </w:rPr>
              <w:t>.0</w:t>
            </w:r>
          </w:p>
        </w:tc>
        <w:tc>
          <w:tcPr>
            <w:tcW w:w="0" w:type="auto"/>
            <w:tcBorders>
              <w:top w:val="nil"/>
              <w:left w:val="nil"/>
              <w:bottom w:val="nil"/>
              <w:right w:val="nil"/>
            </w:tcBorders>
            <w:shd w:val="clear" w:color="000000" w:fill="FFFFFF"/>
            <w:noWrap/>
            <w:vAlign w:val="center"/>
            <w:hideMark/>
          </w:tcPr>
          <w:p w14:paraId="44FB1C7E" w14:textId="6D0522B6"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227</w:t>
            </w:r>
          </w:p>
        </w:tc>
        <w:tc>
          <w:tcPr>
            <w:tcW w:w="0" w:type="auto"/>
            <w:tcBorders>
              <w:top w:val="nil"/>
              <w:left w:val="nil"/>
              <w:bottom w:val="nil"/>
              <w:right w:val="nil"/>
            </w:tcBorders>
            <w:shd w:val="clear" w:color="000000" w:fill="FFFFFF"/>
            <w:noWrap/>
            <w:vAlign w:val="center"/>
            <w:hideMark/>
          </w:tcPr>
          <w:p w14:paraId="7080F612" w14:textId="77777777" w:rsidR="00746D27" w:rsidRPr="00F54907" w:rsidRDefault="00746D27"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0.1</w:t>
            </w:r>
          </w:p>
        </w:tc>
        <w:tc>
          <w:tcPr>
            <w:tcW w:w="0" w:type="auto"/>
            <w:tcBorders>
              <w:top w:val="nil"/>
              <w:left w:val="nil"/>
              <w:bottom w:val="nil"/>
              <w:right w:val="nil"/>
            </w:tcBorders>
            <w:shd w:val="clear" w:color="000000" w:fill="FFFFFF"/>
            <w:noWrap/>
            <w:vAlign w:val="center"/>
            <w:hideMark/>
          </w:tcPr>
          <w:p w14:paraId="1E6D0AC0" w14:textId="330129D1"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4</w:t>
            </w:r>
          </w:p>
        </w:tc>
        <w:tc>
          <w:tcPr>
            <w:tcW w:w="0" w:type="auto"/>
            <w:tcBorders>
              <w:top w:val="nil"/>
              <w:left w:val="nil"/>
              <w:bottom w:val="nil"/>
              <w:right w:val="nil"/>
            </w:tcBorders>
            <w:shd w:val="clear" w:color="000000" w:fill="FFFFFF"/>
            <w:noWrap/>
            <w:vAlign w:val="center"/>
            <w:hideMark/>
          </w:tcPr>
          <w:p w14:paraId="5842251D" w14:textId="4D1AE682"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0.1</w:t>
            </w:r>
          </w:p>
        </w:tc>
        <w:tc>
          <w:tcPr>
            <w:tcW w:w="0" w:type="auto"/>
            <w:tcBorders>
              <w:top w:val="nil"/>
              <w:left w:val="nil"/>
              <w:bottom w:val="nil"/>
              <w:right w:val="nil"/>
            </w:tcBorders>
            <w:shd w:val="clear" w:color="000000" w:fill="FFFFFF"/>
            <w:noWrap/>
            <w:vAlign w:val="center"/>
            <w:hideMark/>
          </w:tcPr>
          <w:p w14:paraId="7C96C0AB" w14:textId="4CC79A23"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117</w:t>
            </w:r>
          </w:p>
        </w:tc>
        <w:tc>
          <w:tcPr>
            <w:tcW w:w="0" w:type="auto"/>
            <w:tcBorders>
              <w:top w:val="nil"/>
              <w:left w:val="nil"/>
              <w:bottom w:val="nil"/>
              <w:right w:val="nil"/>
            </w:tcBorders>
            <w:shd w:val="clear" w:color="000000" w:fill="FFFFFF"/>
            <w:noWrap/>
            <w:vAlign w:val="center"/>
            <w:hideMark/>
          </w:tcPr>
          <w:p w14:paraId="3E6A58FB" w14:textId="1C89530C"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0.1</w:t>
            </w:r>
          </w:p>
        </w:tc>
      </w:tr>
      <w:tr w:rsidR="001A7961" w:rsidRPr="002F1984" w14:paraId="46126650" w14:textId="77777777" w:rsidTr="00D76ED2">
        <w:trPr>
          <w:trHeight w:val="230"/>
        </w:trPr>
        <w:tc>
          <w:tcPr>
            <w:tcW w:w="513" w:type="pct"/>
            <w:tcBorders>
              <w:top w:val="nil"/>
              <w:left w:val="nil"/>
              <w:bottom w:val="nil"/>
              <w:right w:val="nil"/>
            </w:tcBorders>
            <w:shd w:val="clear" w:color="000000" w:fill="FFFFFF"/>
            <w:noWrap/>
            <w:vAlign w:val="center"/>
            <w:hideMark/>
          </w:tcPr>
          <w:p w14:paraId="2672CBA1" w14:textId="77777777" w:rsidR="00746D27" w:rsidRPr="002F1984" w:rsidRDefault="00746D27" w:rsidP="00746D27">
            <w:pPr>
              <w:spacing w:after="0" w:line="240" w:lineRule="auto"/>
              <w:jc w:val="left"/>
              <w:rPr>
                <w:rFonts w:ascii="Arial" w:hAnsi="Arial" w:cs="Arial"/>
                <w:color w:val="auto"/>
                <w:sz w:val="16"/>
                <w:szCs w:val="16"/>
              </w:rPr>
            </w:pPr>
            <w:r w:rsidRPr="002F1984">
              <w:rPr>
                <w:rFonts w:ascii="Arial" w:hAnsi="Arial" w:cs="Arial"/>
                <w:color w:val="auto"/>
                <w:sz w:val="16"/>
                <w:szCs w:val="16"/>
              </w:rPr>
              <w:t>SA</w:t>
            </w:r>
          </w:p>
        </w:tc>
        <w:tc>
          <w:tcPr>
            <w:tcW w:w="481" w:type="pct"/>
            <w:tcBorders>
              <w:top w:val="nil"/>
              <w:left w:val="nil"/>
              <w:bottom w:val="nil"/>
              <w:right w:val="nil"/>
            </w:tcBorders>
            <w:shd w:val="clear" w:color="000000" w:fill="FFFFFF"/>
            <w:noWrap/>
            <w:vAlign w:val="center"/>
            <w:hideMark/>
          </w:tcPr>
          <w:p w14:paraId="1CFAAB3E" w14:textId="58014C49"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87</w:t>
            </w:r>
          </w:p>
        </w:tc>
        <w:tc>
          <w:tcPr>
            <w:tcW w:w="323" w:type="pct"/>
            <w:tcBorders>
              <w:top w:val="nil"/>
              <w:left w:val="nil"/>
              <w:bottom w:val="nil"/>
              <w:right w:val="nil"/>
            </w:tcBorders>
            <w:shd w:val="clear" w:color="000000" w:fill="FFFFFF"/>
            <w:noWrap/>
            <w:vAlign w:val="center"/>
            <w:hideMark/>
          </w:tcPr>
          <w:p w14:paraId="57883580" w14:textId="6B3C7229"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350" w:type="pct"/>
            <w:tcBorders>
              <w:top w:val="nil"/>
              <w:left w:val="nil"/>
              <w:bottom w:val="nil"/>
              <w:right w:val="nil"/>
            </w:tcBorders>
            <w:shd w:val="clear" w:color="000000" w:fill="FFFFFF"/>
            <w:noWrap/>
            <w:vAlign w:val="center"/>
            <w:hideMark/>
          </w:tcPr>
          <w:p w14:paraId="1F795062" w14:textId="0135BD24"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74</w:t>
            </w:r>
          </w:p>
        </w:tc>
        <w:tc>
          <w:tcPr>
            <w:tcW w:w="0" w:type="auto"/>
            <w:tcBorders>
              <w:top w:val="nil"/>
              <w:left w:val="nil"/>
              <w:bottom w:val="nil"/>
              <w:right w:val="nil"/>
            </w:tcBorders>
            <w:shd w:val="clear" w:color="000000" w:fill="FFFFFF"/>
            <w:noWrap/>
            <w:vAlign w:val="center"/>
            <w:hideMark/>
          </w:tcPr>
          <w:p w14:paraId="0C0D9420" w14:textId="7FE7FFE4" w:rsidR="00746D27" w:rsidRPr="00F54907" w:rsidRDefault="00F9649C"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7FF83EE7" w14:textId="5EDE6CA9"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4</w:t>
            </w:r>
          </w:p>
        </w:tc>
        <w:tc>
          <w:tcPr>
            <w:tcW w:w="0" w:type="auto"/>
            <w:tcBorders>
              <w:top w:val="nil"/>
              <w:left w:val="nil"/>
              <w:bottom w:val="nil"/>
              <w:right w:val="nil"/>
            </w:tcBorders>
            <w:shd w:val="clear" w:color="000000" w:fill="FFFFFF"/>
            <w:noWrap/>
            <w:vAlign w:val="center"/>
            <w:hideMark/>
          </w:tcPr>
          <w:p w14:paraId="7192155B" w14:textId="77777777"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0C4A4490" w14:textId="215E8B40"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48</w:t>
            </w:r>
          </w:p>
        </w:tc>
        <w:tc>
          <w:tcPr>
            <w:tcW w:w="0" w:type="auto"/>
            <w:tcBorders>
              <w:top w:val="nil"/>
              <w:left w:val="nil"/>
              <w:bottom w:val="nil"/>
              <w:right w:val="nil"/>
            </w:tcBorders>
            <w:shd w:val="clear" w:color="000000" w:fill="FFFFFF"/>
            <w:noWrap/>
            <w:vAlign w:val="center"/>
            <w:hideMark/>
          </w:tcPr>
          <w:p w14:paraId="18350F92" w14:textId="77777777" w:rsidR="00746D27" w:rsidRPr="00F54907" w:rsidRDefault="00746D27"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46A323EA" w14:textId="77777777" w:rsidR="00746D27" w:rsidRPr="00F54907" w:rsidRDefault="00746D27"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w:t>
            </w:r>
          </w:p>
        </w:tc>
        <w:tc>
          <w:tcPr>
            <w:tcW w:w="0" w:type="auto"/>
            <w:tcBorders>
              <w:top w:val="nil"/>
              <w:left w:val="nil"/>
              <w:bottom w:val="nil"/>
              <w:right w:val="nil"/>
            </w:tcBorders>
            <w:shd w:val="clear" w:color="000000" w:fill="FFFFFF"/>
            <w:noWrap/>
            <w:vAlign w:val="center"/>
            <w:hideMark/>
          </w:tcPr>
          <w:p w14:paraId="7BA5939B" w14:textId="7B4BBCE6"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1A1CAC14" w14:textId="0271A55F"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73</w:t>
            </w:r>
          </w:p>
        </w:tc>
        <w:tc>
          <w:tcPr>
            <w:tcW w:w="0" w:type="auto"/>
            <w:tcBorders>
              <w:top w:val="nil"/>
              <w:left w:val="nil"/>
              <w:bottom w:val="nil"/>
              <w:right w:val="nil"/>
            </w:tcBorders>
            <w:shd w:val="clear" w:color="000000" w:fill="FFFFFF"/>
            <w:noWrap/>
            <w:vAlign w:val="center"/>
            <w:hideMark/>
          </w:tcPr>
          <w:p w14:paraId="59023E07" w14:textId="77257A4B"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0.1</w:t>
            </w:r>
          </w:p>
        </w:tc>
      </w:tr>
      <w:tr w:rsidR="001A7961" w:rsidRPr="002F1984" w14:paraId="0FC452AB" w14:textId="77777777" w:rsidTr="00D76ED2">
        <w:trPr>
          <w:trHeight w:val="230"/>
        </w:trPr>
        <w:tc>
          <w:tcPr>
            <w:tcW w:w="513" w:type="pct"/>
            <w:tcBorders>
              <w:top w:val="nil"/>
              <w:left w:val="nil"/>
              <w:bottom w:val="nil"/>
              <w:right w:val="nil"/>
            </w:tcBorders>
            <w:shd w:val="clear" w:color="000000" w:fill="FFFFFF"/>
            <w:noWrap/>
            <w:vAlign w:val="center"/>
            <w:hideMark/>
          </w:tcPr>
          <w:p w14:paraId="4AEBE7C0" w14:textId="77777777" w:rsidR="00746D27" w:rsidRPr="002F1984" w:rsidRDefault="00746D27" w:rsidP="00746D27">
            <w:pPr>
              <w:spacing w:after="0" w:line="240" w:lineRule="auto"/>
              <w:jc w:val="left"/>
              <w:rPr>
                <w:rFonts w:ascii="Arial" w:hAnsi="Arial" w:cs="Arial"/>
                <w:color w:val="auto"/>
                <w:sz w:val="16"/>
                <w:szCs w:val="16"/>
              </w:rPr>
            </w:pPr>
            <w:r w:rsidRPr="002F1984">
              <w:rPr>
                <w:rFonts w:ascii="Arial" w:hAnsi="Arial" w:cs="Arial"/>
                <w:color w:val="auto"/>
                <w:sz w:val="16"/>
                <w:szCs w:val="16"/>
              </w:rPr>
              <w:t>Tas.</w:t>
            </w:r>
          </w:p>
        </w:tc>
        <w:tc>
          <w:tcPr>
            <w:tcW w:w="481" w:type="pct"/>
            <w:tcBorders>
              <w:top w:val="nil"/>
              <w:left w:val="nil"/>
              <w:bottom w:val="nil"/>
              <w:right w:val="nil"/>
            </w:tcBorders>
            <w:shd w:val="clear" w:color="000000" w:fill="FFFFFF"/>
            <w:noWrap/>
            <w:vAlign w:val="center"/>
            <w:hideMark/>
          </w:tcPr>
          <w:p w14:paraId="57267EAD" w14:textId="3EC4A16A"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12</w:t>
            </w:r>
          </w:p>
        </w:tc>
        <w:tc>
          <w:tcPr>
            <w:tcW w:w="323" w:type="pct"/>
            <w:tcBorders>
              <w:top w:val="nil"/>
              <w:left w:val="nil"/>
              <w:bottom w:val="nil"/>
              <w:right w:val="nil"/>
            </w:tcBorders>
            <w:shd w:val="clear" w:color="000000" w:fill="FFFFFF"/>
            <w:noWrap/>
            <w:vAlign w:val="center"/>
            <w:hideMark/>
          </w:tcPr>
          <w:p w14:paraId="7AD68916" w14:textId="77777777"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350" w:type="pct"/>
            <w:tcBorders>
              <w:top w:val="nil"/>
              <w:left w:val="nil"/>
              <w:bottom w:val="nil"/>
              <w:right w:val="nil"/>
            </w:tcBorders>
            <w:shd w:val="clear" w:color="000000" w:fill="FFFFFF"/>
            <w:noWrap/>
            <w:vAlign w:val="center"/>
            <w:hideMark/>
          </w:tcPr>
          <w:p w14:paraId="135613D2" w14:textId="662E0CB6"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30</w:t>
            </w:r>
          </w:p>
        </w:tc>
        <w:tc>
          <w:tcPr>
            <w:tcW w:w="0" w:type="auto"/>
            <w:tcBorders>
              <w:top w:val="nil"/>
              <w:left w:val="nil"/>
              <w:bottom w:val="nil"/>
              <w:right w:val="nil"/>
            </w:tcBorders>
            <w:shd w:val="clear" w:color="000000" w:fill="FFFFFF"/>
            <w:noWrap/>
            <w:vAlign w:val="center"/>
            <w:hideMark/>
          </w:tcPr>
          <w:p w14:paraId="68431875" w14:textId="210480DD"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710E310B" w14:textId="083667FF"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w:t>
            </w:r>
          </w:p>
        </w:tc>
        <w:tc>
          <w:tcPr>
            <w:tcW w:w="0" w:type="auto"/>
            <w:tcBorders>
              <w:top w:val="nil"/>
              <w:left w:val="nil"/>
              <w:bottom w:val="nil"/>
              <w:right w:val="nil"/>
            </w:tcBorders>
            <w:shd w:val="clear" w:color="000000" w:fill="FFFFFF"/>
            <w:noWrap/>
            <w:vAlign w:val="center"/>
            <w:hideMark/>
          </w:tcPr>
          <w:p w14:paraId="487C6C74" w14:textId="77777777"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685988E9" w14:textId="0E99EDFC"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40</w:t>
            </w:r>
          </w:p>
        </w:tc>
        <w:tc>
          <w:tcPr>
            <w:tcW w:w="0" w:type="auto"/>
            <w:tcBorders>
              <w:top w:val="nil"/>
              <w:left w:val="nil"/>
              <w:bottom w:val="nil"/>
              <w:right w:val="nil"/>
            </w:tcBorders>
            <w:shd w:val="clear" w:color="000000" w:fill="FFFFFF"/>
            <w:noWrap/>
            <w:vAlign w:val="center"/>
            <w:hideMark/>
          </w:tcPr>
          <w:p w14:paraId="4DE64CA1" w14:textId="77777777"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17168B3E" w14:textId="77777777"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w:t>
            </w:r>
          </w:p>
        </w:tc>
        <w:tc>
          <w:tcPr>
            <w:tcW w:w="0" w:type="auto"/>
            <w:tcBorders>
              <w:top w:val="nil"/>
              <w:left w:val="nil"/>
              <w:bottom w:val="nil"/>
              <w:right w:val="nil"/>
            </w:tcBorders>
            <w:shd w:val="clear" w:color="000000" w:fill="FFFFFF"/>
            <w:noWrap/>
            <w:vAlign w:val="center"/>
            <w:hideMark/>
          </w:tcPr>
          <w:p w14:paraId="56E87954" w14:textId="18EC933D"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2F836103" w14:textId="70F9782D"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42</w:t>
            </w:r>
          </w:p>
        </w:tc>
        <w:tc>
          <w:tcPr>
            <w:tcW w:w="0" w:type="auto"/>
            <w:tcBorders>
              <w:top w:val="nil"/>
              <w:left w:val="nil"/>
              <w:bottom w:val="nil"/>
              <w:right w:val="nil"/>
            </w:tcBorders>
            <w:shd w:val="clear" w:color="000000" w:fill="FFFFFF"/>
            <w:noWrap/>
            <w:vAlign w:val="center"/>
            <w:hideMark/>
          </w:tcPr>
          <w:p w14:paraId="5E2D6D3B" w14:textId="77777777"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r>
      <w:tr w:rsidR="001A7961" w:rsidRPr="002F1984" w14:paraId="4D94E5C2" w14:textId="77777777" w:rsidTr="00D76ED2">
        <w:trPr>
          <w:trHeight w:val="230"/>
        </w:trPr>
        <w:tc>
          <w:tcPr>
            <w:tcW w:w="513" w:type="pct"/>
            <w:tcBorders>
              <w:top w:val="nil"/>
              <w:left w:val="nil"/>
              <w:bottom w:val="nil"/>
              <w:right w:val="nil"/>
            </w:tcBorders>
            <w:shd w:val="clear" w:color="000000" w:fill="FFFFFF"/>
            <w:noWrap/>
            <w:vAlign w:val="center"/>
            <w:hideMark/>
          </w:tcPr>
          <w:p w14:paraId="79A4229D" w14:textId="77777777" w:rsidR="00746D27" w:rsidRPr="002F1984" w:rsidRDefault="00746D27" w:rsidP="00746D27">
            <w:pPr>
              <w:spacing w:after="0" w:line="240" w:lineRule="auto"/>
              <w:jc w:val="left"/>
              <w:rPr>
                <w:rFonts w:ascii="Arial" w:hAnsi="Arial" w:cs="Arial"/>
                <w:color w:val="auto"/>
                <w:sz w:val="16"/>
                <w:szCs w:val="16"/>
              </w:rPr>
            </w:pPr>
            <w:r w:rsidRPr="002F1984">
              <w:rPr>
                <w:rFonts w:ascii="Arial" w:hAnsi="Arial" w:cs="Arial"/>
                <w:color w:val="auto"/>
                <w:sz w:val="16"/>
                <w:szCs w:val="16"/>
              </w:rPr>
              <w:t>Vic.</w:t>
            </w:r>
          </w:p>
        </w:tc>
        <w:tc>
          <w:tcPr>
            <w:tcW w:w="481" w:type="pct"/>
            <w:tcBorders>
              <w:top w:val="nil"/>
              <w:left w:val="nil"/>
              <w:bottom w:val="nil"/>
              <w:right w:val="nil"/>
            </w:tcBorders>
            <w:shd w:val="clear" w:color="000000" w:fill="FFFFFF"/>
            <w:noWrap/>
            <w:vAlign w:val="center"/>
            <w:hideMark/>
          </w:tcPr>
          <w:p w14:paraId="28D0DF97" w14:textId="01C4AA75"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674</w:t>
            </w:r>
          </w:p>
        </w:tc>
        <w:tc>
          <w:tcPr>
            <w:tcW w:w="323" w:type="pct"/>
            <w:tcBorders>
              <w:top w:val="nil"/>
              <w:left w:val="nil"/>
              <w:bottom w:val="nil"/>
              <w:right w:val="nil"/>
            </w:tcBorders>
            <w:shd w:val="clear" w:color="000000" w:fill="FFFFFF"/>
            <w:noWrap/>
            <w:vAlign w:val="center"/>
            <w:hideMark/>
          </w:tcPr>
          <w:p w14:paraId="701E75C0" w14:textId="01D3E0E6"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1.2</w:t>
            </w:r>
          </w:p>
        </w:tc>
        <w:tc>
          <w:tcPr>
            <w:tcW w:w="350" w:type="pct"/>
            <w:tcBorders>
              <w:top w:val="nil"/>
              <w:left w:val="nil"/>
              <w:bottom w:val="nil"/>
              <w:right w:val="nil"/>
            </w:tcBorders>
            <w:shd w:val="clear" w:color="000000" w:fill="FFFFFF"/>
            <w:noWrap/>
            <w:vAlign w:val="center"/>
            <w:hideMark/>
          </w:tcPr>
          <w:p w14:paraId="5B98350B" w14:textId="047575CA"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211</w:t>
            </w:r>
          </w:p>
        </w:tc>
        <w:tc>
          <w:tcPr>
            <w:tcW w:w="0" w:type="auto"/>
            <w:tcBorders>
              <w:top w:val="nil"/>
              <w:left w:val="nil"/>
              <w:bottom w:val="nil"/>
              <w:right w:val="nil"/>
            </w:tcBorders>
            <w:shd w:val="clear" w:color="000000" w:fill="FFFFFF"/>
            <w:noWrap/>
            <w:vAlign w:val="center"/>
            <w:hideMark/>
          </w:tcPr>
          <w:p w14:paraId="7937CF38" w14:textId="2D15D1EE"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0.4</w:t>
            </w:r>
          </w:p>
        </w:tc>
        <w:tc>
          <w:tcPr>
            <w:tcW w:w="0" w:type="auto"/>
            <w:tcBorders>
              <w:top w:val="nil"/>
              <w:left w:val="nil"/>
              <w:bottom w:val="nil"/>
              <w:right w:val="nil"/>
            </w:tcBorders>
            <w:shd w:val="clear" w:color="000000" w:fill="FFFFFF"/>
            <w:noWrap/>
            <w:vAlign w:val="center"/>
            <w:hideMark/>
          </w:tcPr>
          <w:p w14:paraId="6D158A95" w14:textId="0279DA31"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38</w:t>
            </w:r>
          </w:p>
        </w:tc>
        <w:tc>
          <w:tcPr>
            <w:tcW w:w="0" w:type="auto"/>
            <w:tcBorders>
              <w:top w:val="nil"/>
              <w:left w:val="nil"/>
              <w:bottom w:val="nil"/>
              <w:right w:val="nil"/>
            </w:tcBorders>
            <w:shd w:val="clear" w:color="000000" w:fill="FFFFFF"/>
            <w:noWrap/>
            <w:vAlign w:val="center"/>
            <w:hideMark/>
          </w:tcPr>
          <w:p w14:paraId="6E725E0D" w14:textId="573A548D"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0.2</w:t>
            </w:r>
          </w:p>
        </w:tc>
        <w:tc>
          <w:tcPr>
            <w:tcW w:w="0" w:type="auto"/>
            <w:tcBorders>
              <w:top w:val="nil"/>
              <w:left w:val="nil"/>
              <w:bottom w:val="nil"/>
              <w:right w:val="nil"/>
            </w:tcBorders>
            <w:shd w:val="clear" w:color="000000" w:fill="FFFFFF"/>
            <w:noWrap/>
            <w:vAlign w:val="center"/>
            <w:hideMark/>
          </w:tcPr>
          <w:p w14:paraId="348F1687" w14:textId="3025FD25"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461</w:t>
            </w:r>
          </w:p>
        </w:tc>
        <w:tc>
          <w:tcPr>
            <w:tcW w:w="0" w:type="auto"/>
            <w:tcBorders>
              <w:top w:val="nil"/>
              <w:left w:val="nil"/>
              <w:bottom w:val="nil"/>
              <w:right w:val="nil"/>
            </w:tcBorders>
            <w:shd w:val="clear" w:color="000000" w:fill="FFFFFF"/>
            <w:noWrap/>
            <w:vAlign w:val="center"/>
            <w:hideMark/>
          </w:tcPr>
          <w:p w14:paraId="706011FB" w14:textId="6184AD12"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0.2</w:t>
            </w:r>
          </w:p>
        </w:tc>
        <w:tc>
          <w:tcPr>
            <w:tcW w:w="0" w:type="auto"/>
            <w:tcBorders>
              <w:top w:val="nil"/>
              <w:left w:val="nil"/>
              <w:bottom w:val="nil"/>
              <w:right w:val="nil"/>
            </w:tcBorders>
            <w:shd w:val="clear" w:color="000000" w:fill="FFFFFF"/>
            <w:noWrap/>
            <w:vAlign w:val="center"/>
            <w:hideMark/>
          </w:tcPr>
          <w:p w14:paraId="309EBB54" w14:textId="56B8C88C"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9</w:t>
            </w:r>
          </w:p>
        </w:tc>
        <w:tc>
          <w:tcPr>
            <w:tcW w:w="0" w:type="auto"/>
            <w:tcBorders>
              <w:top w:val="nil"/>
              <w:left w:val="nil"/>
              <w:bottom w:val="nil"/>
              <w:right w:val="nil"/>
            </w:tcBorders>
            <w:shd w:val="clear" w:color="000000" w:fill="FFFFFF"/>
            <w:noWrap/>
            <w:vAlign w:val="center"/>
            <w:hideMark/>
          </w:tcPr>
          <w:p w14:paraId="548543C8" w14:textId="6EADD75F"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0.4</w:t>
            </w:r>
          </w:p>
        </w:tc>
        <w:tc>
          <w:tcPr>
            <w:tcW w:w="0" w:type="auto"/>
            <w:tcBorders>
              <w:top w:val="nil"/>
              <w:left w:val="nil"/>
              <w:bottom w:val="nil"/>
              <w:right w:val="nil"/>
            </w:tcBorders>
            <w:shd w:val="clear" w:color="000000" w:fill="FFFFFF"/>
            <w:noWrap/>
            <w:vAlign w:val="center"/>
            <w:hideMark/>
          </w:tcPr>
          <w:p w14:paraId="17862753" w14:textId="44359B4A"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226</w:t>
            </w:r>
          </w:p>
        </w:tc>
        <w:tc>
          <w:tcPr>
            <w:tcW w:w="0" w:type="auto"/>
            <w:tcBorders>
              <w:top w:val="nil"/>
              <w:left w:val="nil"/>
              <w:bottom w:val="nil"/>
              <w:right w:val="nil"/>
            </w:tcBorders>
            <w:shd w:val="clear" w:color="000000" w:fill="FFFFFF"/>
            <w:noWrap/>
            <w:vAlign w:val="center"/>
            <w:hideMark/>
          </w:tcPr>
          <w:p w14:paraId="109F6290" w14:textId="0F14761B"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0.3</w:t>
            </w:r>
          </w:p>
        </w:tc>
      </w:tr>
      <w:tr w:rsidR="001A7961" w:rsidRPr="002F1984" w14:paraId="035AEB7E" w14:textId="77777777" w:rsidTr="00D76ED2">
        <w:trPr>
          <w:trHeight w:val="230"/>
        </w:trPr>
        <w:tc>
          <w:tcPr>
            <w:tcW w:w="513" w:type="pct"/>
            <w:tcBorders>
              <w:top w:val="nil"/>
              <w:left w:val="nil"/>
              <w:bottom w:val="nil"/>
              <w:right w:val="nil"/>
            </w:tcBorders>
            <w:shd w:val="clear" w:color="000000" w:fill="FFFFFF"/>
            <w:noWrap/>
            <w:vAlign w:val="center"/>
            <w:hideMark/>
          </w:tcPr>
          <w:p w14:paraId="643F2D33" w14:textId="77777777" w:rsidR="00746D27" w:rsidRPr="002F1984" w:rsidRDefault="00746D27" w:rsidP="00746D27">
            <w:pPr>
              <w:spacing w:after="0" w:line="240" w:lineRule="auto"/>
              <w:jc w:val="left"/>
              <w:rPr>
                <w:rFonts w:ascii="Arial" w:hAnsi="Arial" w:cs="Arial"/>
                <w:color w:val="auto"/>
                <w:sz w:val="16"/>
                <w:szCs w:val="16"/>
              </w:rPr>
            </w:pPr>
            <w:r w:rsidRPr="002F1984">
              <w:rPr>
                <w:rFonts w:ascii="Arial" w:hAnsi="Arial" w:cs="Arial"/>
                <w:color w:val="auto"/>
                <w:sz w:val="16"/>
                <w:szCs w:val="16"/>
              </w:rPr>
              <w:t>WA</w:t>
            </w:r>
          </w:p>
        </w:tc>
        <w:tc>
          <w:tcPr>
            <w:tcW w:w="481" w:type="pct"/>
            <w:tcBorders>
              <w:top w:val="nil"/>
              <w:left w:val="nil"/>
              <w:bottom w:val="nil"/>
              <w:right w:val="nil"/>
            </w:tcBorders>
            <w:shd w:val="clear" w:color="000000" w:fill="FFFFFF"/>
            <w:noWrap/>
            <w:vAlign w:val="center"/>
            <w:hideMark/>
          </w:tcPr>
          <w:p w14:paraId="66B5E2AE" w14:textId="7D706CA6"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80</w:t>
            </w:r>
          </w:p>
        </w:tc>
        <w:tc>
          <w:tcPr>
            <w:tcW w:w="323" w:type="pct"/>
            <w:tcBorders>
              <w:top w:val="nil"/>
              <w:left w:val="nil"/>
              <w:bottom w:val="nil"/>
              <w:right w:val="nil"/>
            </w:tcBorders>
            <w:shd w:val="clear" w:color="000000" w:fill="FFFFFF"/>
            <w:noWrap/>
            <w:vAlign w:val="center"/>
            <w:hideMark/>
          </w:tcPr>
          <w:p w14:paraId="6AC60F4A" w14:textId="77777777" w:rsidR="00746D27" w:rsidRPr="00F54907" w:rsidRDefault="00746D27"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0.1</w:t>
            </w:r>
          </w:p>
        </w:tc>
        <w:tc>
          <w:tcPr>
            <w:tcW w:w="350" w:type="pct"/>
            <w:tcBorders>
              <w:top w:val="nil"/>
              <w:left w:val="nil"/>
              <w:bottom w:val="nil"/>
              <w:right w:val="nil"/>
            </w:tcBorders>
            <w:shd w:val="clear" w:color="000000" w:fill="FFFFFF"/>
            <w:noWrap/>
            <w:vAlign w:val="center"/>
            <w:hideMark/>
          </w:tcPr>
          <w:p w14:paraId="4B45812B" w14:textId="3F155DCF"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81</w:t>
            </w:r>
          </w:p>
        </w:tc>
        <w:tc>
          <w:tcPr>
            <w:tcW w:w="0" w:type="auto"/>
            <w:tcBorders>
              <w:top w:val="nil"/>
              <w:left w:val="nil"/>
              <w:bottom w:val="nil"/>
              <w:right w:val="nil"/>
            </w:tcBorders>
            <w:shd w:val="clear" w:color="000000" w:fill="FFFFFF"/>
            <w:noWrap/>
            <w:vAlign w:val="center"/>
            <w:hideMark/>
          </w:tcPr>
          <w:p w14:paraId="44792F0E" w14:textId="77777777" w:rsidR="00746D27" w:rsidRPr="00F54907" w:rsidRDefault="00746D27"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0.1</w:t>
            </w:r>
          </w:p>
        </w:tc>
        <w:tc>
          <w:tcPr>
            <w:tcW w:w="0" w:type="auto"/>
            <w:tcBorders>
              <w:top w:val="nil"/>
              <w:left w:val="nil"/>
              <w:bottom w:val="nil"/>
              <w:right w:val="nil"/>
            </w:tcBorders>
            <w:shd w:val="clear" w:color="000000" w:fill="FFFFFF"/>
            <w:noWrap/>
            <w:vAlign w:val="center"/>
            <w:hideMark/>
          </w:tcPr>
          <w:p w14:paraId="780EFD28" w14:textId="58517AB0"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15</w:t>
            </w:r>
          </w:p>
        </w:tc>
        <w:tc>
          <w:tcPr>
            <w:tcW w:w="0" w:type="auto"/>
            <w:tcBorders>
              <w:top w:val="nil"/>
              <w:left w:val="nil"/>
              <w:bottom w:val="nil"/>
              <w:right w:val="nil"/>
            </w:tcBorders>
            <w:shd w:val="clear" w:color="000000" w:fill="FFFFFF"/>
            <w:noWrap/>
            <w:vAlign w:val="center"/>
            <w:hideMark/>
          </w:tcPr>
          <w:p w14:paraId="7212D5E6" w14:textId="77777777" w:rsidR="00746D27" w:rsidRPr="00F54907" w:rsidRDefault="00746D27"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57A4C7D2" w14:textId="6AE4B5EB"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89</w:t>
            </w:r>
          </w:p>
        </w:tc>
        <w:tc>
          <w:tcPr>
            <w:tcW w:w="0" w:type="auto"/>
            <w:tcBorders>
              <w:top w:val="nil"/>
              <w:left w:val="nil"/>
              <w:bottom w:val="nil"/>
              <w:right w:val="nil"/>
            </w:tcBorders>
            <w:shd w:val="clear" w:color="000000" w:fill="FFFFFF"/>
            <w:noWrap/>
            <w:vAlign w:val="center"/>
            <w:hideMark/>
          </w:tcPr>
          <w:p w14:paraId="6792B973" w14:textId="6FDC1E30"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02E15BC7" w14:textId="257C05C7"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w:t>
            </w:r>
          </w:p>
        </w:tc>
        <w:tc>
          <w:tcPr>
            <w:tcW w:w="0" w:type="auto"/>
            <w:tcBorders>
              <w:top w:val="nil"/>
              <w:left w:val="nil"/>
              <w:bottom w:val="nil"/>
              <w:right w:val="nil"/>
            </w:tcBorders>
            <w:shd w:val="clear" w:color="000000" w:fill="FFFFFF"/>
            <w:noWrap/>
            <w:vAlign w:val="center"/>
            <w:hideMark/>
          </w:tcPr>
          <w:p w14:paraId="1A8AA375" w14:textId="51A96E9C"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53AD81E4" w14:textId="5B7FA92B"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70</w:t>
            </w:r>
          </w:p>
        </w:tc>
        <w:tc>
          <w:tcPr>
            <w:tcW w:w="0" w:type="auto"/>
            <w:tcBorders>
              <w:top w:val="nil"/>
              <w:left w:val="nil"/>
              <w:bottom w:val="nil"/>
              <w:right w:val="nil"/>
            </w:tcBorders>
            <w:shd w:val="clear" w:color="000000" w:fill="FFFFFF"/>
            <w:noWrap/>
            <w:vAlign w:val="center"/>
            <w:hideMark/>
          </w:tcPr>
          <w:p w14:paraId="425CF61F" w14:textId="77777777" w:rsidR="00746D27" w:rsidRPr="00F54907" w:rsidRDefault="00746D27"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r>
      <w:tr w:rsidR="001A7961" w:rsidRPr="002F1984" w14:paraId="75697F3A" w14:textId="77777777" w:rsidTr="00D76ED2">
        <w:trPr>
          <w:trHeight w:val="230"/>
        </w:trPr>
        <w:tc>
          <w:tcPr>
            <w:tcW w:w="513" w:type="pct"/>
            <w:tcBorders>
              <w:top w:val="nil"/>
              <w:left w:val="nil"/>
              <w:bottom w:val="nil"/>
              <w:right w:val="nil"/>
            </w:tcBorders>
            <w:shd w:val="clear" w:color="000000" w:fill="FFFFFF"/>
            <w:noWrap/>
            <w:vAlign w:val="center"/>
            <w:hideMark/>
          </w:tcPr>
          <w:p w14:paraId="5208E749" w14:textId="77777777" w:rsidR="00746D27" w:rsidRPr="002F1984" w:rsidRDefault="00746D27" w:rsidP="00746D27">
            <w:pPr>
              <w:spacing w:after="0" w:line="240" w:lineRule="auto"/>
              <w:jc w:val="left"/>
              <w:rPr>
                <w:rFonts w:ascii="Arial" w:hAnsi="Arial" w:cs="Arial"/>
                <w:color w:val="auto"/>
                <w:sz w:val="16"/>
                <w:szCs w:val="16"/>
              </w:rPr>
            </w:pPr>
            <w:r w:rsidRPr="002F1984">
              <w:rPr>
                <w:rFonts w:ascii="Arial" w:hAnsi="Arial" w:cs="Arial"/>
                <w:color w:val="auto"/>
                <w:sz w:val="16"/>
                <w:szCs w:val="16"/>
              </w:rPr>
              <w:t>Various</w:t>
            </w:r>
          </w:p>
        </w:tc>
        <w:tc>
          <w:tcPr>
            <w:tcW w:w="481" w:type="pct"/>
            <w:tcBorders>
              <w:top w:val="nil"/>
              <w:left w:val="nil"/>
              <w:bottom w:val="nil"/>
              <w:right w:val="nil"/>
            </w:tcBorders>
            <w:shd w:val="clear" w:color="000000" w:fill="FFFFFF"/>
            <w:noWrap/>
            <w:vAlign w:val="center"/>
            <w:hideMark/>
          </w:tcPr>
          <w:p w14:paraId="3A9DC34C" w14:textId="76747AAA" w:rsidR="00746D27" w:rsidRPr="00F54907" w:rsidRDefault="002F6C71"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7</w:t>
            </w:r>
          </w:p>
        </w:tc>
        <w:tc>
          <w:tcPr>
            <w:tcW w:w="323" w:type="pct"/>
            <w:tcBorders>
              <w:top w:val="nil"/>
              <w:left w:val="nil"/>
              <w:bottom w:val="nil"/>
              <w:right w:val="nil"/>
            </w:tcBorders>
            <w:shd w:val="clear" w:color="000000" w:fill="FFFFFF"/>
            <w:noWrap/>
            <w:vAlign w:val="center"/>
            <w:hideMark/>
          </w:tcPr>
          <w:p w14:paraId="515A040A" w14:textId="38AE8554" w:rsidR="00746D27" w:rsidRPr="00F54907" w:rsidRDefault="00746D27"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w:t>
            </w:r>
            <w:r w:rsidR="002F6C71" w:rsidRPr="00F54907">
              <w:rPr>
                <w:rFonts w:ascii="Arial" w:hAnsi="Arial" w:cs="Arial"/>
                <w:color w:val="auto"/>
                <w:sz w:val="16"/>
                <w:szCs w:val="16"/>
              </w:rPr>
              <w:t>8</w:t>
            </w:r>
          </w:p>
        </w:tc>
        <w:tc>
          <w:tcPr>
            <w:tcW w:w="350" w:type="pct"/>
            <w:tcBorders>
              <w:top w:val="nil"/>
              <w:left w:val="nil"/>
              <w:bottom w:val="nil"/>
              <w:right w:val="nil"/>
            </w:tcBorders>
            <w:shd w:val="clear" w:color="000000" w:fill="FFFFFF"/>
            <w:noWrap/>
            <w:vAlign w:val="center"/>
            <w:hideMark/>
          </w:tcPr>
          <w:p w14:paraId="0559CDC7" w14:textId="4217E889" w:rsidR="00746D27" w:rsidRPr="00F54907" w:rsidRDefault="002F6C71"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5</w:t>
            </w:r>
          </w:p>
        </w:tc>
        <w:tc>
          <w:tcPr>
            <w:tcW w:w="0" w:type="auto"/>
            <w:tcBorders>
              <w:top w:val="nil"/>
              <w:left w:val="nil"/>
              <w:bottom w:val="nil"/>
              <w:right w:val="nil"/>
            </w:tcBorders>
            <w:shd w:val="clear" w:color="000000" w:fill="FFFFFF"/>
            <w:noWrap/>
            <w:vAlign w:val="center"/>
            <w:hideMark/>
          </w:tcPr>
          <w:p w14:paraId="6137EC1C" w14:textId="7737E9CE"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3969DD71" w14:textId="2A40AACF" w:rsidR="00746D27" w:rsidRPr="00F54907" w:rsidRDefault="002F6C71"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21</w:t>
            </w:r>
          </w:p>
        </w:tc>
        <w:tc>
          <w:tcPr>
            <w:tcW w:w="0" w:type="auto"/>
            <w:tcBorders>
              <w:top w:val="nil"/>
              <w:left w:val="nil"/>
              <w:bottom w:val="nil"/>
              <w:right w:val="nil"/>
            </w:tcBorders>
            <w:shd w:val="clear" w:color="000000" w:fill="FFFFFF"/>
            <w:noWrap/>
            <w:vAlign w:val="center"/>
            <w:hideMark/>
          </w:tcPr>
          <w:p w14:paraId="2D6107C7" w14:textId="3B9C829C" w:rsidR="00746D27" w:rsidRPr="00F54907" w:rsidRDefault="001A7961"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w:t>
            </w:r>
            <w:r w:rsidR="00196F44" w:rsidRPr="00F54907">
              <w:rPr>
                <w:rFonts w:ascii="Arial" w:hAnsi="Arial" w:cs="Arial"/>
                <w:color w:val="auto"/>
                <w:sz w:val="16"/>
                <w:szCs w:val="16"/>
              </w:rPr>
              <w:t>.</w:t>
            </w:r>
            <w:r w:rsidRPr="00F54907">
              <w:rPr>
                <w:rFonts w:ascii="Arial" w:hAnsi="Arial" w:cs="Arial"/>
                <w:color w:val="auto"/>
                <w:sz w:val="16"/>
                <w:szCs w:val="16"/>
              </w:rPr>
              <w:t>9</w:t>
            </w:r>
          </w:p>
        </w:tc>
        <w:tc>
          <w:tcPr>
            <w:tcW w:w="0" w:type="auto"/>
            <w:tcBorders>
              <w:top w:val="nil"/>
              <w:left w:val="nil"/>
              <w:bottom w:val="nil"/>
              <w:right w:val="nil"/>
            </w:tcBorders>
            <w:shd w:val="clear" w:color="000000" w:fill="FFFFFF"/>
            <w:noWrap/>
            <w:vAlign w:val="center"/>
            <w:hideMark/>
          </w:tcPr>
          <w:p w14:paraId="7E741AF5" w14:textId="293642F8" w:rsidR="00746D27" w:rsidRPr="00F54907" w:rsidRDefault="001A7961"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2</w:t>
            </w:r>
            <w:r w:rsidR="00746D27" w:rsidRPr="00F54907">
              <w:rPr>
                <w:rFonts w:ascii="Arial" w:hAnsi="Arial" w:cs="Arial"/>
                <w:color w:val="auto"/>
                <w:sz w:val="16"/>
                <w:szCs w:val="16"/>
              </w:rPr>
              <w:t>0</w:t>
            </w:r>
          </w:p>
        </w:tc>
        <w:tc>
          <w:tcPr>
            <w:tcW w:w="0" w:type="auto"/>
            <w:tcBorders>
              <w:top w:val="nil"/>
              <w:left w:val="nil"/>
              <w:bottom w:val="nil"/>
              <w:right w:val="nil"/>
            </w:tcBorders>
            <w:shd w:val="clear" w:color="000000" w:fill="FFFFFF"/>
            <w:noWrap/>
            <w:vAlign w:val="center"/>
            <w:hideMark/>
          </w:tcPr>
          <w:p w14:paraId="473B15A6" w14:textId="2EEA00F6" w:rsidR="00746D27" w:rsidRPr="00F54907" w:rsidRDefault="001A7961"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1</w:t>
            </w:r>
            <w:r w:rsidR="00196F44" w:rsidRPr="00F54907">
              <w:rPr>
                <w:rFonts w:ascii="Arial" w:hAnsi="Arial" w:cs="Arial"/>
                <w:color w:val="auto"/>
                <w:sz w:val="16"/>
                <w:szCs w:val="16"/>
              </w:rPr>
              <w:t>.</w:t>
            </w:r>
            <w:r w:rsidRPr="00F54907">
              <w:rPr>
                <w:rFonts w:ascii="Arial" w:hAnsi="Arial" w:cs="Arial"/>
                <w:color w:val="auto"/>
                <w:sz w:val="16"/>
                <w:szCs w:val="16"/>
              </w:rPr>
              <w:t>8</w:t>
            </w:r>
          </w:p>
        </w:tc>
        <w:tc>
          <w:tcPr>
            <w:tcW w:w="0" w:type="auto"/>
            <w:tcBorders>
              <w:top w:val="nil"/>
              <w:left w:val="nil"/>
              <w:bottom w:val="nil"/>
              <w:right w:val="nil"/>
            </w:tcBorders>
            <w:shd w:val="clear" w:color="000000" w:fill="FFFFFF"/>
            <w:noWrap/>
            <w:vAlign w:val="center"/>
            <w:hideMark/>
          </w:tcPr>
          <w:p w14:paraId="40BA69D4" w14:textId="4BEC318C" w:rsidR="00746D27" w:rsidRPr="00F54907" w:rsidRDefault="00196F44"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w:t>
            </w:r>
          </w:p>
        </w:tc>
        <w:tc>
          <w:tcPr>
            <w:tcW w:w="0" w:type="auto"/>
            <w:tcBorders>
              <w:top w:val="nil"/>
              <w:left w:val="nil"/>
              <w:bottom w:val="nil"/>
              <w:right w:val="nil"/>
            </w:tcBorders>
            <w:shd w:val="clear" w:color="000000" w:fill="FFFFFF"/>
            <w:noWrap/>
            <w:vAlign w:val="center"/>
            <w:hideMark/>
          </w:tcPr>
          <w:p w14:paraId="4A7AD2C4" w14:textId="33EC1371" w:rsidR="00746D27" w:rsidRPr="00F54907" w:rsidRDefault="003C3EEF"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64F4807E" w14:textId="77777777" w:rsidR="00746D27" w:rsidRPr="00F54907" w:rsidRDefault="00746D27"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w:t>
            </w:r>
          </w:p>
        </w:tc>
        <w:tc>
          <w:tcPr>
            <w:tcW w:w="0" w:type="auto"/>
            <w:tcBorders>
              <w:top w:val="nil"/>
              <w:left w:val="nil"/>
              <w:bottom w:val="nil"/>
              <w:right w:val="nil"/>
            </w:tcBorders>
            <w:shd w:val="clear" w:color="000000" w:fill="FFFFFF"/>
            <w:noWrap/>
            <w:vAlign w:val="center"/>
            <w:hideMark/>
          </w:tcPr>
          <w:p w14:paraId="12F25311" w14:textId="360973D4" w:rsidR="00746D27" w:rsidRPr="00F54907" w:rsidRDefault="003C3EEF" w:rsidP="00746D27">
            <w:pPr>
              <w:spacing w:after="0" w:line="240" w:lineRule="auto"/>
              <w:jc w:val="right"/>
              <w:rPr>
                <w:rFonts w:ascii="Arial" w:hAnsi="Arial" w:cs="Arial"/>
                <w:color w:val="auto"/>
                <w:sz w:val="16"/>
                <w:szCs w:val="16"/>
              </w:rPr>
            </w:pPr>
            <w:r w:rsidRPr="00F54907">
              <w:rPr>
                <w:rFonts w:ascii="Arial" w:hAnsi="Arial" w:cs="Arial"/>
                <w:color w:val="auto"/>
                <w:sz w:val="16"/>
                <w:szCs w:val="16"/>
              </w:rPr>
              <w:t>0.0</w:t>
            </w:r>
          </w:p>
        </w:tc>
      </w:tr>
      <w:tr w:rsidR="001A7961" w:rsidRPr="002F1984" w14:paraId="0DEB2D91" w14:textId="77777777" w:rsidTr="00D76ED2">
        <w:trPr>
          <w:trHeight w:val="230"/>
        </w:trPr>
        <w:tc>
          <w:tcPr>
            <w:tcW w:w="513" w:type="pct"/>
            <w:tcBorders>
              <w:top w:val="single" w:sz="4" w:space="0" w:color="auto"/>
              <w:left w:val="nil"/>
              <w:bottom w:val="single" w:sz="4" w:space="0" w:color="auto"/>
              <w:right w:val="nil"/>
            </w:tcBorders>
            <w:shd w:val="clear" w:color="000000" w:fill="FFFFFF"/>
            <w:noWrap/>
            <w:vAlign w:val="center"/>
            <w:hideMark/>
          </w:tcPr>
          <w:p w14:paraId="6B42BBEB" w14:textId="77777777" w:rsidR="00746D27" w:rsidRPr="002F1984" w:rsidRDefault="00746D27" w:rsidP="00746D27">
            <w:pPr>
              <w:spacing w:after="0" w:line="240" w:lineRule="auto"/>
              <w:jc w:val="left"/>
              <w:rPr>
                <w:rFonts w:ascii="Arial" w:hAnsi="Arial" w:cs="Arial"/>
                <w:b/>
                <w:bCs/>
                <w:color w:val="auto"/>
                <w:sz w:val="16"/>
                <w:szCs w:val="16"/>
              </w:rPr>
            </w:pPr>
            <w:r w:rsidRPr="002F1984">
              <w:rPr>
                <w:rFonts w:ascii="Arial" w:hAnsi="Arial" w:cs="Arial"/>
                <w:b/>
                <w:bCs/>
                <w:color w:val="auto"/>
                <w:sz w:val="16"/>
                <w:szCs w:val="16"/>
              </w:rPr>
              <w:t>Total</w:t>
            </w:r>
          </w:p>
        </w:tc>
        <w:tc>
          <w:tcPr>
            <w:tcW w:w="481" w:type="pct"/>
            <w:tcBorders>
              <w:top w:val="single" w:sz="4" w:space="0" w:color="auto"/>
              <w:left w:val="nil"/>
              <w:bottom w:val="single" w:sz="4" w:space="0" w:color="auto"/>
              <w:right w:val="nil"/>
            </w:tcBorders>
            <w:shd w:val="clear" w:color="000000" w:fill="FFFFFF"/>
            <w:noWrap/>
            <w:vAlign w:val="center"/>
            <w:hideMark/>
          </w:tcPr>
          <w:p w14:paraId="7A301D47" w14:textId="34341596" w:rsidR="00746D27" w:rsidRPr="00F54907" w:rsidRDefault="003C3EEF" w:rsidP="00746D27">
            <w:pPr>
              <w:spacing w:after="0" w:line="240" w:lineRule="auto"/>
              <w:jc w:val="right"/>
              <w:rPr>
                <w:rFonts w:ascii="Arial" w:hAnsi="Arial" w:cs="Arial"/>
                <w:b/>
                <w:color w:val="auto"/>
                <w:sz w:val="16"/>
                <w:szCs w:val="16"/>
              </w:rPr>
            </w:pPr>
            <w:r w:rsidRPr="00F54907">
              <w:rPr>
                <w:rFonts w:ascii="Arial" w:hAnsi="Arial" w:cs="Arial"/>
                <w:b/>
                <w:color w:val="auto"/>
                <w:sz w:val="16"/>
                <w:szCs w:val="16"/>
              </w:rPr>
              <w:t>1,</w:t>
            </w:r>
            <w:r w:rsidRPr="00F54907">
              <w:rPr>
                <w:rFonts w:ascii="Arial" w:hAnsi="Arial" w:cs="Arial"/>
                <w:b/>
                <w:bCs/>
                <w:color w:val="auto"/>
                <w:sz w:val="16"/>
                <w:szCs w:val="16"/>
              </w:rPr>
              <w:t>8</w:t>
            </w:r>
            <w:r w:rsidR="001A7961" w:rsidRPr="00F54907">
              <w:rPr>
                <w:rFonts w:ascii="Arial" w:hAnsi="Arial" w:cs="Arial"/>
                <w:b/>
                <w:bCs/>
                <w:color w:val="auto"/>
                <w:sz w:val="16"/>
                <w:szCs w:val="16"/>
              </w:rPr>
              <w:t>80</w:t>
            </w:r>
          </w:p>
        </w:tc>
        <w:tc>
          <w:tcPr>
            <w:tcW w:w="323" w:type="pct"/>
            <w:tcBorders>
              <w:top w:val="single" w:sz="4" w:space="0" w:color="auto"/>
              <w:left w:val="nil"/>
              <w:bottom w:val="single" w:sz="4" w:space="0" w:color="auto"/>
              <w:right w:val="nil"/>
            </w:tcBorders>
            <w:shd w:val="clear" w:color="000000" w:fill="FFFFFF"/>
            <w:noWrap/>
            <w:vAlign w:val="center"/>
            <w:hideMark/>
          </w:tcPr>
          <w:p w14:paraId="22E03730" w14:textId="4D2CE49F" w:rsidR="00746D27" w:rsidRPr="00F54907" w:rsidRDefault="001A7961" w:rsidP="00746D27">
            <w:pPr>
              <w:spacing w:after="0" w:line="240" w:lineRule="auto"/>
              <w:jc w:val="right"/>
              <w:rPr>
                <w:rFonts w:ascii="Arial" w:hAnsi="Arial" w:cs="Arial"/>
                <w:b/>
                <w:color w:val="auto"/>
                <w:sz w:val="16"/>
                <w:szCs w:val="16"/>
              </w:rPr>
            </w:pPr>
            <w:r w:rsidRPr="00F54907">
              <w:rPr>
                <w:rFonts w:ascii="Arial" w:hAnsi="Arial" w:cs="Arial"/>
                <w:b/>
                <w:bCs/>
                <w:color w:val="auto"/>
                <w:sz w:val="16"/>
                <w:szCs w:val="16"/>
              </w:rPr>
              <w:t>3</w:t>
            </w:r>
            <w:r w:rsidRPr="00F54907">
              <w:rPr>
                <w:rFonts w:ascii="Arial" w:hAnsi="Arial" w:cs="Arial"/>
                <w:b/>
                <w:color w:val="auto"/>
                <w:sz w:val="16"/>
                <w:szCs w:val="16"/>
              </w:rPr>
              <w:t>.2</w:t>
            </w:r>
          </w:p>
        </w:tc>
        <w:tc>
          <w:tcPr>
            <w:tcW w:w="350" w:type="pct"/>
            <w:tcBorders>
              <w:top w:val="single" w:sz="4" w:space="0" w:color="auto"/>
              <w:left w:val="nil"/>
              <w:bottom w:val="single" w:sz="4" w:space="0" w:color="auto"/>
              <w:right w:val="nil"/>
            </w:tcBorders>
            <w:shd w:val="clear" w:color="000000" w:fill="FFFFFF"/>
            <w:noWrap/>
            <w:vAlign w:val="center"/>
            <w:hideMark/>
          </w:tcPr>
          <w:p w14:paraId="0EB1F2CC" w14:textId="4E4B8C64" w:rsidR="00746D27" w:rsidRPr="00F54907" w:rsidRDefault="003C3EEF" w:rsidP="00746D27">
            <w:pPr>
              <w:spacing w:after="0" w:line="240" w:lineRule="auto"/>
              <w:jc w:val="right"/>
              <w:rPr>
                <w:rFonts w:ascii="Arial" w:hAnsi="Arial" w:cs="Arial"/>
                <w:b/>
                <w:color w:val="auto"/>
                <w:sz w:val="16"/>
                <w:szCs w:val="16"/>
              </w:rPr>
            </w:pPr>
            <w:r w:rsidRPr="00F54907">
              <w:rPr>
                <w:rFonts w:ascii="Arial" w:hAnsi="Arial" w:cs="Arial"/>
                <w:b/>
                <w:bCs/>
                <w:color w:val="auto"/>
                <w:sz w:val="16"/>
                <w:szCs w:val="16"/>
              </w:rPr>
              <w:t>66</w:t>
            </w:r>
            <w:r w:rsidR="001A7961" w:rsidRPr="00F54907">
              <w:rPr>
                <w:rFonts w:ascii="Arial" w:hAnsi="Arial" w:cs="Arial"/>
                <w:b/>
                <w:bCs/>
                <w:color w:val="auto"/>
                <w:sz w:val="16"/>
                <w:szCs w:val="16"/>
              </w:rPr>
              <w:t>6</w:t>
            </w:r>
          </w:p>
        </w:tc>
        <w:tc>
          <w:tcPr>
            <w:tcW w:w="0" w:type="auto"/>
            <w:tcBorders>
              <w:top w:val="single" w:sz="4" w:space="0" w:color="auto"/>
              <w:left w:val="nil"/>
              <w:bottom w:val="single" w:sz="4" w:space="0" w:color="auto"/>
              <w:right w:val="nil"/>
            </w:tcBorders>
            <w:shd w:val="clear" w:color="000000" w:fill="FFFFFF"/>
            <w:noWrap/>
            <w:vAlign w:val="center"/>
            <w:hideMark/>
          </w:tcPr>
          <w:p w14:paraId="5BBC4517" w14:textId="4355AFFF" w:rsidR="00746D27" w:rsidRPr="00F54907" w:rsidRDefault="001A7961" w:rsidP="00746D27">
            <w:pPr>
              <w:spacing w:after="0" w:line="240" w:lineRule="auto"/>
              <w:jc w:val="right"/>
              <w:rPr>
                <w:rFonts w:ascii="Arial" w:hAnsi="Arial" w:cs="Arial"/>
                <w:b/>
                <w:color w:val="auto"/>
                <w:sz w:val="16"/>
                <w:szCs w:val="16"/>
              </w:rPr>
            </w:pPr>
            <w:r w:rsidRPr="00F54907">
              <w:rPr>
                <w:rFonts w:ascii="Arial" w:hAnsi="Arial" w:cs="Arial"/>
                <w:b/>
                <w:color w:val="auto"/>
                <w:sz w:val="16"/>
                <w:szCs w:val="16"/>
              </w:rPr>
              <w:t>0.</w:t>
            </w:r>
            <w:r w:rsidRPr="00F54907">
              <w:rPr>
                <w:rFonts w:ascii="Arial" w:hAnsi="Arial" w:cs="Arial"/>
                <w:b/>
                <w:bCs/>
                <w:color w:val="auto"/>
                <w:sz w:val="16"/>
                <w:szCs w:val="16"/>
              </w:rPr>
              <w:t>9</w:t>
            </w:r>
          </w:p>
        </w:tc>
        <w:tc>
          <w:tcPr>
            <w:tcW w:w="0" w:type="auto"/>
            <w:tcBorders>
              <w:top w:val="single" w:sz="4" w:space="0" w:color="auto"/>
              <w:left w:val="nil"/>
              <w:bottom w:val="single" w:sz="4" w:space="0" w:color="auto"/>
              <w:right w:val="nil"/>
            </w:tcBorders>
            <w:shd w:val="clear" w:color="000000" w:fill="FFFFFF"/>
            <w:noWrap/>
            <w:vAlign w:val="center"/>
            <w:hideMark/>
          </w:tcPr>
          <w:p w14:paraId="60B35A0C" w14:textId="5A7FD556" w:rsidR="00746D27" w:rsidRPr="00F54907" w:rsidRDefault="003C3EEF" w:rsidP="00746D27">
            <w:pPr>
              <w:spacing w:after="0" w:line="240" w:lineRule="auto"/>
              <w:jc w:val="right"/>
              <w:rPr>
                <w:rFonts w:ascii="Arial" w:hAnsi="Arial" w:cs="Arial"/>
                <w:b/>
                <w:color w:val="auto"/>
                <w:sz w:val="16"/>
                <w:szCs w:val="16"/>
              </w:rPr>
            </w:pPr>
            <w:r w:rsidRPr="00F54907">
              <w:rPr>
                <w:rFonts w:ascii="Arial" w:hAnsi="Arial" w:cs="Arial"/>
                <w:b/>
                <w:bCs/>
                <w:color w:val="auto"/>
                <w:sz w:val="16"/>
                <w:szCs w:val="16"/>
              </w:rPr>
              <w:t>1</w:t>
            </w:r>
            <w:r w:rsidR="001A7961" w:rsidRPr="00F54907">
              <w:rPr>
                <w:rFonts w:ascii="Arial" w:hAnsi="Arial" w:cs="Arial"/>
                <w:b/>
                <w:bCs/>
                <w:color w:val="auto"/>
                <w:sz w:val="16"/>
                <w:szCs w:val="16"/>
              </w:rPr>
              <w:t>35</w:t>
            </w:r>
          </w:p>
        </w:tc>
        <w:tc>
          <w:tcPr>
            <w:tcW w:w="0" w:type="auto"/>
            <w:tcBorders>
              <w:top w:val="single" w:sz="4" w:space="0" w:color="auto"/>
              <w:left w:val="nil"/>
              <w:bottom w:val="single" w:sz="4" w:space="0" w:color="auto"/>
              <w:right w:val="nil"/>
            </w:tcBorders>
            <w:shd w:val="clear" w:color="000000" w:fill="FFFFFF"/>
            <w:noWrap/>
            <w:vAlign w:val="center"/>
            <w:hideMark/>
          </w:tcPr>
          <w:p w14:paraId="5B925E44" w14:textId="1C992A99" w:rsidR="00746D27" w:rsidRPr="00F54907" w:rsidRDefault="001A7961" w:rsidP="00746D27">
            <w:pPr>
              <w:spacing w:after="0" w:line="240" w:lineRule="auto"/>
              <w:jc w:val="right"/>
              <w:rPr>
                <w:rFonts w:ascii="Arial" w:hAnsi="Arial" w:cs="Arial"/>
                <w:b/>
                <w:color w:val="auto"/>
                <w:sz w:val="16"/>
                <w:szCs w:val="16"/>
              </w:rPr>
            </w:pPr>
            <w:r w:rsidRPr="00F54907">
              <w:rPr>
                <w:rFonts w:ascii="Arial" w:hAnsi="Arial" w:cs="Arial"/>
                <w:b/>
                <w:color w:val="auto"/>
                <w:sz w:val="16"/>
                <w:szCs w:val="16"/>
              </w:rPr>
              <w:t>2.</w:t>
            </w:r>
            <w:r w:rsidRPr="00F54907">
              <w:rPr>
                <w:rFonts w:ascii="Arial" w:hAnsi="Arial" w:cs="Arial"/>
                <w:b/>
                <w:bCs/>
                <w:color w:val="auto"/>
                <w:sz w:val="16"/>
                <w:szCs w:val="16"/>
              </w:rPr>
              <w:t>5</w:t>
            </w:r>
          </w:p>
        </w:tc>
        <w:tc>
          <w:tcPr>
            <w:tcW w:w="0" w:type="auto"/>
            <w:tcBorders>
              <w:top w:val="single" w:sz="4" w:space="0" w:color="auto"/>
              <w:left w:val="nil"/>
              <w:bottom w:val="single" w:sz="4" w:space="0" w:color="auto"/>
              <w:right w:val="nil"/>
            </w:tcBorders>
            <w:shd w:val="clear" w:color="000000" w:fill="FFFFFF"/>
            <w:noWrap/>
            <w:vAlign w:val="center"/>
            <w:hideMark/>
          </w:tcPr>
          <w:p w14:paraId="193743BA" w14:textId="2291CB5D" w:rsidR="00746D27" w:rsidRPr="00F54907" w:rsidRDefault="003C3EEF" w:rsidP="00746D27">
            <w:pPr>
              <w:spacing w:after="0" w:line="240" w:lineRule="auto"/>
              <w:jc w:val="right"/>
              <w:rPr>
                <w:rFonts w:ascii="Arial" w:hAnsi="Arial" w:cs="Arial"/>
                <w:b/>
                <w:color w:val="auto"/>
                <w:sz w:val="16"/>
                <w:szCs w:val="16"/>
              </w:rPr>
            </w:pPr>
            <w:r w:rsidRPr="00F54907">
              <w:rPr>
                <w:rFonts w:ascii="Arial" w:hAnsi="Arial" w:cs="Arial"/>
                <w:b/>
                <w:bCs/>
                <w:color w:val="auto"/>
                <w:sz w:val="16"/>
                <w:szCs w:val="16"/>
              </w:rPr>
              <w:t>9</w:t>
            </w:r>
            <w:r w:rsidR="001A7961" w:rsidRPr="00F54907">
              <w:rPr>
                <w:rFonts w:ascii="Arial" w:hAnsi="Arial" w:cs="Arial"/>
                <w:b/>
                <w:bCs/>
                <w:color w:val="auto"/>
                <w:sz w:val="16"/>
                <w:szCs w:val="16"/>
              </w:rPr>
              <w:t>92</w:t>
            </w:r>
          </w:p>
        </w:tc>
        <w:tc>
          <w:tcPr>
            <w:tcW w:w="0" w:type="auto"/>
            <w:tcBorders>
              <w:top w:val="single" w:sz="4" w:space="0" w:color="auto"/>
              <w:left w:val="nil"/>
              <w:bottom w:val="single" w:sz="4" w:space="0" w:color="auto"/>
              <w:right w:val="nil"/>
            </w:tcBorders>
            <w:shd w:val="clear" w:color="000000" w:fill="FFFFFF"/>
            <w:noWrap/>
            <w:vAlign w:val="center"/>
            <w:hideMark/>
          </w:tcPr>
          <w:p w14:paraId="782DF50F" w14:textId="3B89DC31" w:rsidR="00746D27" w:rsidRPr="00F54907" w:rsidRDefault="001A7961" w:rsidP="00746D27">
            <w:pPr>
              <w:spacing w:after="0" w:line="240" w:lineRule="auto"/>
              <w:jc w:val="right"/>
              <w:rPr>
                <w:rFonts w:ascii="Arial" w:hAnsi="Arial" w:cs="Arial"/>
                <w:b/>
                <w:color w:val="auto"/>
                <w:sz w:val="16"/>
                <w:szCs w:val="16"/>
              </w:rPr>
            </w:pPr>
            <w:r w:rsidRPr="00F54907">
              <w:rPr>
                <w:rFonts w:ascii="Arial" w:hAnsi="Arial" w:cs="Arial"/>
                <w:b/>
                <w:color w:val="auto"/>
                <w:sz w:val="16"/>
                <w:szCs w:val="16"/>
              </w:rPr>
              <w:t>2.</w:t>
            </w:r>
            <w:r w:rsidRPr="00F54907">
              <w:rPr>
                <w:rFonts w:ascii="Arial" w:hAnsi="Arial" w:cs="Arial"/>
                <w:b/>
                <w:bCs/>
                <w:color w:val="auto"/>
                <w:sz w:val="16"/>
                <w:szCs w:val="16"/>
              </w:rPr>
              <w:t>2</w:t>
            </w:r>
          </w:p>
        </w:tc>
        <w:tc>
          <w:tcPr>
            <w:tcW w:w="0" w:type="auto"/>
            <w:tcBorders>
              <w:top w:val="single" w:sz="4" w:space="0" w:color="auto"/>
              <w:left w:val="nil"/>
              <w:bottom w:val="single" w:sz="4" w:space="0" w:color="auto"/>
              <w:right w:val="nil"/>
            </w:tcBorders>
            <w:shd w:val="clear" w:color="000000" w:fill="FFFFFF"/>
            <w:noWrap/>
            <w:vAlign w:val="center"/>
            <w:hideMark/>
          </w:tcPr>
          <w:p w14:paraId="161F2D06" w14:textId="2F70DB16" w:rsidR="00746D27" w:rsidRPr="00F54907" w:rsidRDefault="003C3EEF" w:rsidP="00746D27">
            <w:pPr>
              <w:spacing w:after="0" w:line="240" w:lineRule="auto"/>
              <w:jc w:val="right"/>
              <w:rPr>
                <w:rFonts w:ascii="Arial" w:hAnsi="Arial" w:cs="Arial"/>
                <w:b/>
                <w:color w:val="auto"/>
                <w:sz w:val="16"/>
                <w:szCs w:val="16"/>
              </w:rPr>
            </w:pPr>
            <w:r w:rsidRPr="00F54907">
              <w:rPr>
                <w:rFonts w:ascii="Arial" w:hAnsi="Arial" w:cs="Arial"/>
                <w:b/>
                <w:color w:val="auto"/>
                <w:sz w:val="16"/>
                <w:szCs w:val="16"/>
              </w:rPr>
              <w:t>19</w:t>
            </w:r>
          </w:p>
        </w:tc>
        <w:tc>
          <w:tcPr>
            <w:tcW w:w="0" w:type="auto"/>
            <w:tcBorders>
              <w:top w:val="single" w:sz="4" w:space="0" w:color="auto"/>
              <w:left w:val="nil"/>
              <w:bottom w:val="single" w:sz="4" w:space="0" w:color="auto"/>
              <w:right w:val="nil"/>
            </w:tcBorders>
            <w:shd w:val="clear" w:color="000000" w:fill="FFFFFF"/>
            <w:noWrap/>
            <w:vAlign w:val="center"/>
            <w:hideMark/>
          </w:tcPr>
          <w:p w14:paraId="450EFA4C" w14:textId="4803C273" w:rsidR="00746D27" w:rsidRPr="00F54907" w:rsidRDefault="003C3EEF" w:rsidP="00746D27">
            <w:pPr>
              <w:spacing w:after="0" w:line="240" w:lineRule="auto"/>
              <w:jc w:val="right"/>
              <w:rPr>
                <w:rFonts w:ascii="Arial" w:hAnsi="Arial" w:cs="Arial"/>
                <w:b/>
                <w:color w:val="auto"/>
                <w:sz w:val="16"/>
                <w:szCs w:val="16"/>
              </w:rPr>
            </w:pPr>
            <w:r w:rsidRPr="00F54907">
              <w:rPr>
                <w:rFonts w:ascii="Arial" w:hAnsi="Arial" w:cs="Arial"/>
                <w:b/>
                <w:color w:val="auto"/>
                <w:sz w:val="16"/>
                <w:szCs w:val="16"/>
              </w:rPr>
              <w:t>1</w:t>
            </w:r>
            <w:r w:rsidR="001A7961" w:rsidRPr="00F54907">
              <w:rPr>
                <w:rFonts w:ascii="Arial" w:hAnsi="Arial" w:cs="Arial"/>
                <w:b/>
                <w:color w:val="auto"/>
                <w:sz w:val="16"/>
                <w:szCs w:val="16"/>
              </w:rPr>
              <w:t>.0</w:t>
            </w:r>
          </w:p>
        </w:tc>
        <w:tc>
          <w:tcPr>
            <w:tcW w:w="0" w:type="auto"/>
            <w:tcBorders>
              <w:top w:val="single" w:sz="4" w:space="0" w:color="auto"/>
              <w:left w:val="nil"/>
              <w:bottom w:val="single" w:sz="4" w:space="0" w:color="auto"/>
              <w:right w:val="nil"/>
            </w:tcBorders>
            <w:shd w:val="clear" w:color="000000" w:fill="FFFFFF"/>
            <w:noWrap/>
            <w:vAlign w:val="center"/>
            <w:hideMark/>
          </w:tcPr>
          <w:p w14:paraId="6AA51B82" w14:textId="5A74AB55" w:rsidR="00746D27" w:rsidRPr="00F54907" w:rsidRDefault="003C3EEF" w:rsidP="00746D27">
            <w:pPr>
              <w:spacing w:after="0" w:line="240" w:lineRule="auto"/>
              <w:jc w:val="right"/>
              <w:rPr>
                <w:rFonts w:ascii="Arial" w:hAnsi="Arial" w:cs="Arial"/>
                <w:b/>
                <w:color w:val="auto"/>
                <w:sz w:val="16"/>
                <w:szCs w:val="16"/>
              </w:rPr>
            </w:pPr>
            <w:r w:rsidRPr="00F54907">
              <w:rPr>
                <w:rFonts w:ascii="Arial" w:hAnsi="Arial" w:cs="Arial"/>
                <w:b/>
                <w:color w:val="auto"/>
                <w:sz w:val="16"/>
                <w:szCs w:val="16"/>
              </w:rPr>
              <w:t>692</w:t>
            </w:r>
          </w:p>
        </w:tc>
        <w:tc>
          <w:tcPr>
            <w:tcW w:w="0" w:type="auto"/>
            <w:tcBorders>
              <w:top w:val="single" w:sz="4" w:space="0" w:color="auto"/>
              <w:left w:val="nil"/>
              <w:bottom w:val="single" w:sz="4" w:space="0" w:color="auto"/>
              <w:right w:val="nil"/>
            </w:tcBorders>
            <w:shd w:val="clear" w:color="000000" w:fill="FFFFFF"/>
            <w:noWrap/>
            <w:vAlign w:val="center"/>
            <w:hideMark/>
          </w:tcPr>
          <w:p w14:paraId="5B1D4BA0" w14:textId="5C857D62" w:rsidR="00746D27" w:rsidRPr="00F54907" w:rsidRDefault="001A7961" w:rsidP="00746D27">
            <w:pPr>
              <w:spacing w:after="0" w:line="240" w:lineRule="auto"/>
              <w:jc w:val="right"/>
              <w:rPr>
                <w:rFonts w:ascii="Arial" w:hAnsi="Arial" w:cs="Arial"/>
                <w:b/>
                <w:color w:val="auto"/>
                <w:sz w:val="16"/>
                <w:szCs w:val="16"/>
              </w:rPr>
            </w:pPr>
            <w:r w:rsidRPr="00F54907">
              <w:rPr>
                <w:rFonts w:ascii="Arial" w:hAnsi="Arial" w:cs="Arial"/>
                <w:b/>
                <w:color w:val="auto"/>
                <w:sz w:val="16"/>
                <w:szCs w:val="16"/>
              </w:rPr>
              <w:t>0.</w:t>
            </w:r>
            <w:r w:rsidRPr="00F54907">
              <w:rPr>
                <w:rFonts w:ascii="Arial" w:hAnsi="Arial" w:cs="Arial"/>
                <w:b/>
                <w:bCs/>
                <w:color w:val="auto"/>
                <w:sz w:val="16"/>
                <w:szCs w:val="16"/>
              </w:rPr>
              <w:t>7</w:t>
            </w:r>
          </w:p>
        </w:tc>
      </w:tr>
    </w:tbl>
    <w:p w14:paraId="671CA820" w14:textId="4896CB46" w:rsidR="00746D27" w:rsidRDefault="00746D27" w:rsidP="00746D27">
      <w:pPr>
        <w:pStyle w:val="ChartandTableFootnoteAlpha"/>
        <w:numPr>
          <w:ilvl w:val="0"/>
          <w:numId w:val="0"/>
        </w:numPr>
      </w:pPr>
      <w:r w:rsidRPr="00BF48CD">
        <w:t xml:space="preserve">Before republishing this data or comparing between years, thoroughly review the methodological and data caveats in Appendix </w:t>
      </w:r>
      <w:r w:rsidR="003C3EEF">
        <w:t>B.</w:t>
      </w:r>
      <w:r w:rsidRPr="00BF48CD">
        <w:t xml:space="preserve"> </w:t>
      </w:r>
    </w:p>
    <w:p w14:paraId="3554A2FE" w14:textId="578AFFF8" w:rsidR="00746D27" w:rsidRPr="008475AB" w:rsidRDefault="00065800" w:rsidP="00D76ED2">
      <w:pPr>
        <w:pStyle w:val="ChartandTableFootnoteAlpha"/>
        <w:numPr>
          <w:ilvl w:val="0"/>
          <w:numId w:val="26"/>
        </w:numPr>
      </w:pPr>
      <w:r>
        <w:t>‘</w:t>
      </w:r>
      <w:r w:rsidR="00746D27" w:rsidRPr="008475AB">
        <w:t>Developer</w:t>
      </w:r>
      <w:r>
        <w:t>’</w:t>
      </w:r>
      <w:r w:rsidR="00746D27" w:rsidRPr="008475AB">
        <w:t xml:space="preserve"> includes </w:t>
      </w:r>
      <w:r w:rsidR="006170B3">
        <w:t>N</w:t>
      </w:r>
      <w:r w:rsidR="00746D27" w:rsidRPr="008475AB">
        <w:t xml:space="preserve">ew </w:t>
      </w:r>
      <w:r w:rsidR="006170B3">
        <w:t>D</w:t>
      </w:r>
      <w:r w:rsidR="00746D27" w:rsidRPr="008475AB">
        <w:t xml:space="preserve">welling </w:t>
      </w:r>
      <w:r w:rsidR="006170B3">
        <w:t>ECs</w:t>
      </w:r>
      <w:r w:rsidR="00746D27" w:rsidRPr="008475AB">
        <w:t xml:space="preserve"> provided to real estate developers (previously off the plan approvals), as well as </w:t>
      </w:r>
      <w:r w:rsidR="006170B3">
        <w:t>N</w:t>
      </w:r>
      <w:r w:rsidR="00746D27" w:rsidRPr="008475AB">
        <w:t>ear</w:t>
      </w:r>
      <w:r w:rsidR="003E7C79">
        <w:t>–</w:t>
      </w:r>
      <w:r w:rsidR="006170B3">
        <w:t>N</w:t>
      </w:r>
      <w:r w:rsidR="00746D27" w:rsidRPr="008475AB">
        <w:t xml:space="preserve">ew </w:t>
      </w:r>
      <w:r w:rsidR="006170B3">
        <w:t>D</w:t>
      </w:r>
      <w:r w:rsidR="00746D27" w:rsidRPr="008475AB">
        <w:t xml:space="preserve">welling </w:t>
      </w:r>
      <w:r w:rsidR="006170B3">
        <w:t>ECs</w:t>
      </w:r>
      <w:r w:rsidR="00746D27" w:rsidRPr="008475AB">
        <w:t>.</w:t>
      </w:r>
    </w:p>
    <w:p w14:paraId="0AFDCA69" w14:textId="77777777" w:rsidR="00746D27" w:rsidRPr="008475AB" w:rsidRDefault="00746D27" w:rsidP="00746D27">
      <w:pPr>
        <w:pStyle w:val="ChartorTableNote"/>
      </w:pPr>
      <w:r w:rsidRPr="008475AB">
        <w:rPr>
          <w:color w:val="auto"/>
        </w:rPr>
        <w:t xml:space="preserve">This table excludes the developed, and for development exemption certificates for foreign persons shown in Table </w:t>
      </w:r>
      <w:r w:rsidRPr="006824DF">
        <w:rPr>
          <w:color w:val="auto"/>
        </w:rPr>
        <w:t>3.13</w:t>
      </w:r>
      <w:r w:rsidRPr="008475AB">
        <w:rPr>
          <w:color w:val="auto"/>
        </w:rPr>
        <w:t>.</w:t>
      </w:r>
    </w:p>
    <w:p w14:paraId="2C4E9906" w14:textId="4E69C773" w:rsidR="00D76ED2" w:rsidRDefault="00D76ED2">
      <w:pPr>
        <w:spacing w:after="0" w:line="240" w:lineRule="auto"/>
        <w:jc w:val="left"/>
      </w:pPr>
      <w:r>
        <w:br w:type="page"/>
      </w:r>
    </w:p>
    <w:p w14:paraId="134D65FE" w14:textId="5C976C5A" w:rsidR="00B91178" w:rsidRPr="00982838" w:rsidRDefault="00B91178" w:rsidP="00B91178">
      <w:pPr>
        <w:pStyle w:val="Heading2"/>
        <w:rPr>
          <w:b w:val="0"/>
        </w:rPr>
      </w:pPr>
      <w:bookmarkStart w:id="141" w:name="_Toc31296905"/>
      <w:bookmarkStart w:id="142" w:name="_Toc31636023"/>
      <w:bookmarkStart w:id="143" w:name="_Toc31642792"/>
      <w:bookmarkStart w:id="144" w:name="_Toc32247801"/>
      <w:bookmarkStart w:id="145" w:name="_Toc63782932"/>
      <w:bookmarkStart w:id="146" w:name="_Toc75244061"/>
      <w:bookmarkStart w:id="147" w:name="_Toc89872886"/>
      <w:bookmarkStart w:id="148" w:name="_Toc89872933"/>
      <w:r w:rsidRPr="00982838">
        <w:lastRenderedPageBreak/>
        <w:t>New business approvals</w:t>
      </w:r>
      <w:bookmarkEnd w:id="141"/>
      <w:bookmarkEnd w:id="142"/>
      <w:bookmarkEnd w:id="143"/>
      <w:bookmarkEnd w:id="144"/>
      <w:bookmarkEnd w:id="145"/>
      <w:bookmarkEnd w:id="146"/>
      <w:bookmarkEnd w:id="147"/>
      <w:bookmarkEnd w:id="148"/>
    </w:p>
    <w:p w14:paraId="2FCCEE4A" w14:textId="22FC178C" w:rsidR="00B91178" w:rsidRPr="00414725" w:rsidRDefault="00B91178" w:rsidP="00F07785">
      <w:r w:rsidRPr="00982838">
        <w:t>Foreign government investors require approval to start an Australian business.</w:t>
      </w:r>
      <w:r w:rsidRPr="00982838">
        <w:rPr>
          <w:rStyle w:val="FootnoteReference"/>
          <w:color w:val="auto"/>
        </w:rPr>
        <w:footnoteReference w:id="4"/>
      </w:r>
      <w:r w:rsidRPr="00982838">
        <w:t xml:space="preserve"> </w:t>
      </w:r>
      <w:r w:rsidR="003C575D">
        <w:t xml:space="preserve">In </w:t>
      </w:r>
      <w:r w:rsidR="00D76ED2">
        <w:t>2020</w:t>
      </w:r>
      <w:r w:rsidR="00D76ED2">
        <w:noBreakHyphen/>
        <w:t>21</w:t>
      </w:r>
      <w:r w:rsidR="003C575D">
        <w:t>, n</w:t>
      </w:r>
      <w:r w:rsidRPr="00982838">
        <w:t xml:space="preserve">ew business approvals in the </w:t>
      </w:r>
      <w:r w:rsidR="003C3EEF">
        <w:t xml:space="preserve">services sector </w:t>
      </w:r>
      <w:r w:rsidR="009B645D">
        <w:t>increased more than three</w:t>
      </w:r>
      <w:r w:rsidR="00D76ED2">
        <w:noBreakHyphen/>
      </w:r>
      <w:r w:rsidR="009B645D">
        <w:t xml:space="preserve">fold compared to </w:t>
      </w:r>
      <w:r w:rsidR="00D76ED2">
        <w:t>2019</w:t>
      </w:r>
      <w:r w:rsidR="00D76ED2">
        <w:noBreakHyphen/>
        <w:t>20</w:t>
      </w:r>
      <w:r w:rsidR="009B645D">
        <w:t xml:space="preserve">. New business approvals in the manufacturing, electricity &amp; gas sector remained </w:t>
      </w:r>
      <w:r w:rsidRPr="0023512E">
        <w:t>stable</w:t>
      </w:r>
      <w:r w:rsidRPr="00982838">
        <w:t xml:space="preserve"> in </w:t>
      </w:r>
      <w:r w:rsidR="00D76ED2">
        <w:t>2020</w:t>
      </w:r>
      <w:r w:rsidR="00D76ED2">
        <w:noBreakHyphen/>
        <w:t>21</w:t>
      </w:r>
      <w:r w:rsidR="009B645D" w:rsidRPr="0023512E">
        <w:t>.</w:t>
      </w:r>
      <w:r w:rsidR="009B645D">
        <w:t xml:space="preserve"> While the</w:t>
      </w:r>
      <w:r w:rsidRPr="00982838">
        <w:t xml:space="preserve"> finance and insurance sector approvals </w:t>
      </w:r>
      <w:r w:rsidRPr="0023512E">
        <w:t>declined</w:t>
      </w:r>
      <w:r w:rsidRPr="00982838">
        <w:t xml:space="preserve"> </w:t>
      </w:r>
      <w:r>
        <w:t>compared to</w:t>
      </w:r>
      <w:r w:rsidRPr="00982838">
        <w:t xml:space="preserve"> </w:t>
      </w:r>
      <w:r w:rsidR="00D76ED2">
        <w:t>2019</w:t>
      </w:r>
      <w:r w:rsidR="00D76ED2">
        <w:noBreakHyphen/>
        <w:t>20</w:t>
      </w:r>
      <w:r w:rsidRPr="00982838">
        <w:t xml:space="preserve"> approvals</w:t>
      </w:r>
      <w:r>
        <w:t xml:space="preserve"> (see</w:t>
      </w:r>
      <w:r w:rsidR="00E850DC">
        <w:t> </w:t>
      </w:r>
      <w:r>
        <w:t>Table</w:t>
      </w:r>
      <w:r w:rsidR="00E850DC">
        <w:t> </w:t>
      </w:r>
      <w:r w:rsidRPr="0023512E">
        <w:t>3.16</w:t>
      </w:r>
      <w:r>
        <w:t>)</w:t>
      </w:r>
      <w:r w:rsidRPr="00982838">
        <w:t>.</w:t>
      </w:r>
    </w:p>
    <w:p w14:paraId="61FD9344" w14:textId="7F7DEFA3" w:rsidR="00F07785" w:rsidRPr="00D76ED2" w:rsidRDefault="00F07785" w:rsidP="00D76ED2">
      <w:pPr>
        <w:pStyle w:val="TableMainHeading"/>
      </w:pPr>
      <w:bookmarkStart w:id="149" w:name="_Toc89939950"/>
      <w:r w:rsidRPr="00D76ED2">
        <w:t xml:space="preserve">Table </w:t>
      </w:r>
      <w:fldSimple w:instr=" STYLEREF 1 \s ">
        <w:r w:rsidR="0019342F">
          <w:rPr>
            <w:noProof/>
          </w:rPr>
          <w:t>3</w:t>
        </w:r>
      </w:fldSimple>
      <w:r w:rsidR="009812FE" w:rsidRPr="00D76ED2">
        <w:t>.</w:t>
      </w:r>
      <w:fldSimple w:instr=" SEQ Table \* ARABIC \s 1 ">
        <w:r w:rsidR="0019342F">
          <w:rPr>
            <w:noProof/>
          </w:rPr>
          <w:t>16</w:t>
        </w:r>
      </w:fldSimple>
      <w:r w:rsidRPr="00D76ED2">
        <w:t xml:space="preserve">: New business approvals by industry sector, </w:t>
      </w:r>
      <w:r w:rsidR="00DC1928">
        <w:t>2017</w:t>
      </w:r>
      <w:r w:rsidR="00DC1928">
        <w:noBreakHyphen/>
        <w:t>18</w:t>
      </w:r>
      <w:r w:rsidRPr="00D76ED2">
        <w:t xml:space="preserve"> to </w:t>
      </w:r>
      <w:r w:rsidR="00D76ED2" w:rsidRPr="00D76ED2">
        <w:t>2020</w:t>
      </w:r>
      <w:r w:rsidR="00D76ED2" w:rsidRPr="00D76ED2">
        <w:noBreakHyphen/>
        <w:t>21</w:t>
      </w:r>
      <w:bookmarkEnd w:id="149"/>
    </w:p>
    <w:tbl>
      <w:tblPr>
        <w:tblW w:w="5000" w:type="pct"/>
        <w:tblLook w:val="04A0" w:firstRow="1" w:lastRow="0" w:firstColumn="1" w:lastColumn="0" w:noHBand="0" w:noVBand="1"/>
      </w:tblPr>
      <w:tblGrid>
        <w:gridCol w:w="3766"/>
        <w:gridCol w:w="981"/>
        <w:gridCol w:w="981"/>
        <w:gridCol w:w="981"/>
        <w:gridCol w:w="1001"/>
      </w:tblGrid>
      <w:tr w:rsidR="00B91178" w:rsidRPr="00A521D5" w14:paraId="41C89F31" w14:textId="77777777" w:rsidTr="00405179">
        <w:trPr>
          <w:trHeight w:val="225"/>
        </w:trPr>
        <w:tc>
          <w:tcPr>
            <w:tcW w:w="3766" w:type="dxa"/>
            <w:tcBorders>
              <w:top w:val="single" w:sz="2" w:space="0" w:color="000000" w:themeColor="text1"/>
              <w:left w:val="nil"/>
              <w:bottom w:val="nil"/>
              <w:right w:val="nil"/>
            </w:tcBorders>
            <w:shd w:val="clear" w:color="000000" w:fill="FFFFFF"/>
            <w:noWrap/>
            <w:hideMark/>
          </w:tcPr>
          <w:p w14:paraId="63DE5377" w14:textId="77777777" w:rsidR="00B91178" w:rsidRPr="00A521D5" w:rsidRDefault="00B91178" w:rsidP="006371D9">
            <w:pPr>
              <w:keepNext/>
              <w:keepLines/>
              <w:spacing w:after="0" w:line="240" w:lineRule="auto"/>
              <w:jc w:val="left"/>
              <w:rPr>
                <w:rFonts w:ascii="Arial" w:hAnsi="Arial" w:cs="Arial"/>
                <w:sz w:val="16"/>
                <w:szCs w:val="16"/>
              </w:rPr>
            </w:pPr>
          </w:p>
        </w:tc>
        <w:tc>
          <w:tcPr>
            <w:tcW w:w="981" w:type="dxa"/>
            <w:tcBorders>
              <w:top w:val="single" w:sz="2" w:space="0" w:color="000000" w:themeColor="text1"/>
              <w:left w:val="nil"/>
              <w:right w:val="nil"/>
            </w:tcBorders>
            <w:shd w:val="clear" w:color="000000" w:fill="FFFFFF"/>
            <w:noWrap/>
            <w:hideMark/>
          </w:tcPr>
          <w:p w14:paraId="6334DA1D" w14:textId="092017EE" w:rsidR="00B91178" w:rsidRPr="0023512E" w:rsidRDefault="00DC1928" w:rsidP="006371D9">
            <w:pPr>
              <w:keepNext/>
              <w:keepLines/>
              <w:spacing w:after="0" w:line="240" w:lineRule="auto"/>
              <w:jc w:val="right"/>
              <w:rPr>
                <w:rFonts w:ascii="Arial" w:hAnsi="Arial" w:cs="Arial"/>
                <w:color w:val="auto"/>
                <w:sz w:val="16"/>
                <w:szCs w:val="16"/>
              </w:rPr>
            </w:pPr>
            <w:r>
              <w:rPr>
                <w:rFonts w:ascii="Arial" w:hAnsi="Arial" w:cs="Arial"/>
                <w:sz w:val="16"/>
                <w:szCs w:val="16"/>
              </w:rPr>
              <w:t>2017</w:t>
            </w:r>
            <w:r>
              <w:rPr>
                <w:rFonts w:ascii="Arial" w:hAnsi="Arial" w:cs="Arial"/>
                <w:sz w:val="16"/>
                <w:szCs w:val="16"/>
              </w:rPr>
              <w:noBreakHyphen/>
              <w:t>18</w:t>
            </w:r>
          </w:p>
        </w:tc>
        <w:tc>
          <w:tcPr>
            <w:tcW w:w="981" w:type="dxa"/>
            <w:tcBorders>
              <w:top w:val="single" w:sz="2" w:space="0" w:color="000000" w:themeColor="text1"/>
              <w:left w:val="nil"/>
              <w:right w:val="nil"/>
            </w:tcBorders>
            <w:shd w:val="clear" w:color="000000" w:fill="FFFFFF"/>
            <w:noWrap/>
            <w:hideMark/>
          </w:tcPr>
          <w:p w14:paraId="7DA07B39" w14:textId="320AC6C2" w:rsidR="00B91178" w:rsidRPr="0023512E" w:rsidRDefault="00C17F09" w:rsidP="006371D9">
            <w:pPr>
              <w:keepNext/>
              <w:keepLines/>
              <w:spacing w:after="0" w:line="240" w:lineRule="auto"/>
              <w:jc w:val="right"/>
              <w:rPr>
                <w:rFonts w:ascii="Arial" w:hAnsi="Arial" w:cs="Arial"/>
                <w:color w:val="auto"/>
                <w:sz w:val="16"/>
                <w:szCs w:val="16"/>
              </w:rPr>
            </w:pPr>
            <w:r>
              <w:rPr>
                <w:rFonts w:ascii="Arial" w:hAnsi="Arial" w:cs="Arial"/>
                <w:sz w:val="16"/>
                <w:szCs w:val="16"/>
              </w:rPr>
              <w:t>2018</w:t>
            </w:r>
            <w:r>
              <w:rPr>
                <w:rFonts w:ascii="Arial" w:hAnsi="Arial" w:cs="Arial"/>
                <w:sz w:val="16"/>
                <w:szCs w:val="16"/>
              </w:rPr>
              <w:noBreakHyphen/>
              <w:t>19</w:t>
            </w:r>
          </w:p>
        </w:tc>
        <w:tc>
          <w:tcPr>
            <w:tcW w:w="981" w:type="dxa"/>
            <w:tcBorders>
              <w:top w:val="single" w:sz="2" w:space="0" w:color="000000" w:themeColor="text1"/>
              <w:left w:val="nil"/>
              <w:right w:val="nil"/>
            </w:tcBorders>
            <w:shd w:val="clear" w:color="000000" w:fill="FFFFFF"/>
            <w:noWrap/>
            <w:hideMark/>
          </w:tcPr>
          <w:p w14:paraId="10A4411B" w14:textId="75BFA275" w:rsidR="00B91178" w:rsidRPr="0023512E" w:rsidRDefault="00D76ED2" w:rsidP="006371D9">
            <w:pPr>
              <w:keepNext/>
              <w:keepLines/>
              <w:spacing w:after="0" w:line="240" w:lineRule="auto"/>
              <w:jc w:val="right"/>
              <w:rPr>
                <w:rFonts w:ascii="Arial" w:hAnsi="Arial" w:cs="Arial"/>
                <w:color w:val="auto"/>
                <w:sz w:val="16"/>
                <w:szCs w:val="16"/>
              </w:rPr>
            </w:pPr>
            <w:r>
              <w:rPr>
                <w:rFonts w:ascii="Arial" w:hAnsi="Arial" w:cs="Arial"/>
                <w:sz w:val="16"/>
                <w:szCs w:val="16"/>
              </w:rPr>
              <w:t>2019</w:t>
            </w:r>
            <w:r>
              <w:rPr>
                <w:rFonts w:ascii="Arial" w:hAnsi="Arial" w:cs="Arial"/>
                <w:sz w:val="16"/>
                <w:szCs w:val="16"/>
              </w:rPr>
              <w:noBreakHyphen/>
              <w:t>20</w:t>
            </w:r>
          </w:p>
        </w:tc>
        <w:tc>
          <w:tcPr>
            <w:tcW w:w="1001" w:type="dxa"/>
            <w:tcBorders>
              <w:top w:val="single" w:sz="2" w:space="0" w:color="000000" w:themeColor="text1"/>
              <w:left w:val="nil"/>
              <w:right w:val="nil"/>
            </w:tcBorders>
            <w:shd w:val="clear" w:color="auto" w:fill="E1E8EB"/>
            <w:noWrap/>
            <w:hideMark/>
          </w:tcPr>
          <w:p w14:paraId="086264FB" w14:textId="6822BF63" w:rsidR="00B91178" w:rsidRPr="0023512E" w:rsidRDefault="00D76ED2" w:rsidP="006371D9">
            <w:pPr>
              <w:keepNext/>
              <w:keepLines/>
              <w:spacing w:after="0" w:line="240" w:lineRule="auto"/>
              <w:jc w:val="right"/>
              <w:rPr>
                <w:rFonts w:ascii="Arial" w:hAnsi="Arial" w:cs="Arial"/>
                <w:color w:val="auto"/>
                <w:sz w:val="16"/>
                <w:szCs w:val="16"/>
              </w:rPr>
            </w:pPr>
            <w:r>
              <w:rPr>
                <w:rFonts w:ascii="Arial" w:hAnsi="Arial" w:cs="Arial"/>
                <w:sz w:val="16"/>
                <w:szCs w:val="16"/>
              </w:rPr>
              <w:t>2020</w:t>
            </w:r>
            <w:r>
              <w:rPr>
                <w:rFonts w:ascii="Arial" w:hAnsi="Arial" w:cs="Arial"/>
                <w:sz w:val="16"/>
                <w:szCs w:val="16"/>
              </w:rPr>
              <w:noBreakHyphen/>
              <w:t>21</w:t>
            </w:r>
          </w:p>
        </w:tc>
      </w:tr>
      <w:tr w:rsidR="00B91178" w:rsidRPr="00A521D5" w14:paraId="3D16A18D" w14:textId="77777777" w:rsidTr="00405179">
        <w:trPr>
          <w:trHeight w:val="225"/>
        </w:trPr>
        <w:tc>
          <w:tcPr>
            <w:tcW w:w="3766" w:type="dxa"/>
            <w:tcBorders>
              <w:top w:val="nil"/>
              <w:left w:val="nil"/>
              <w:bottom w:val="single" w:sz="2" w:space="0" w:color="000000" w:themeColor="text1"/>
              <w:right w:val="nil"/>
            </w:tcBorders>
            <w:shd w:val="clear" w:color="000000" w:fill="FFFFFF"/>
            <w:hideMark/>
          </w:tcPr>
          <w:p w14:paraId="488FE282" w14:textId="796D65C5" w:rsidR="00B91178" w:rsidRPr="00A521D5" w:rsidRDefault="00B91178" w:rsidP="006371D9">
            <w:pPr>
              <w:keepNext/>
              <w:keepLines/>
              <w:spacing w:after="0" w:line="240" w:lineRule="auto"/>
              <w:jc w:val="left"/>
              <w:rPr>
                <w:rFonts w:ascii="Arial" w:hAnsi="Arial" w:cs="Arial"/>
                <w:color w:val="auto"/>
                <w:sz w:val="16"/>
                <w:szCs w:val="16"/>
              </w:rPr>
            </w:pPr>
            <w:r w:rsidRPr="00A521D5">
              <w:rPr>
                <w:rFonts w:ascii="Arial" w:hAnsi="Arial" w:cs="Arial"/>
                <w:sz w:val="16"/>
                <w:szCs w:val="16"/>
              </w:rPr>
              <w:t>Industry</w:t>
            </w:r>
            <w:r w:rsidR="007F3955">
              <w:rPr>
                <w:rFonts w:ascii="Arial" w:hAnsi="Arial" w:cs="Arial"/>
                <w:sz w:val="16"/>
                <w:szCs w:val="16"/>
              </w:rPr>
              <w:t xml:space="preserve"> </w:t>
            </w:r>
            <w:r w:rsidR="00B93C80">
              <w:rPr>
                <w:rFonts w:ascii="Arial" w:hAnsi="Arial" w:cs="Arial"/>
                <w:sz w:val="16"/>
                <w:szCs w:val="16"/>
              </w:rPr>
              <w:t>s</w:t>
            </w:r>
            <w:r w:rsidR="007F3955">
              <w:rPr>
                <w:rFonts w:ascii="Arial" w:hAnsi="Arial" w:cs="Arial"/>
                <w:sz w:val="16"/>
                <w:szCs w:val="16"/>
              </w:rPr>
              <w:t>ector</w:t>
            </w:r>
          </w:p>
        </w:tc>
        <w:tc>
          <w:tcPr>
            <w:tcW w:w="981" w:type="dxa"/>
            <w:tcBorders>
              <w:left w:val="nil"/>
              <w:bottom w:val="single" w:sz="2" w:space="0" w:color="000000" w:themeColor="text1"/>
              <w:right w:val="nil"/>
            </w:tcBorders>
            <w:shd w:val="clear" w:color="000000" w:fill="FFFFFF"/>
            <w:hideMark/>
          </w:tcPr>
          <w:p w14:paraId="52F1688C" w14:textId="77777777" w:rsidR="00B91178" w:rsidRPr="00A521D5" w:rsidRDefault="00B91178" w:rsidP="006371D9">
            <w:pPr>
              <w:keepNext/>
              <w:keepLines/>
              <w:spacing w:after="0" w:line="240" w:lineRule="auto"/>
              <w:jc w:val="right"/>
              <w:rPr>
                <w:rFonts w:ascii="Arial" w:hAnsi="Arial" w:cs="Arial"/>
                <w:color w:val="auto"/>
                <w:sz w:val="16"/>
                <w:szCs w:val="16"/>
              </w:rPr>
            </w:pPr>
            <w:r w:rsidRPr="00A521D5">
              <w:rPr>
                <w:rFonts w:ascii="Arial" w:hAnsi="Arial" w:cs="Arial"/>
                <w:sz w:val="16"/>
                <w:szCs w:val="16"/>
              </w:rPr>
              <w:t>No.</w:t>
            </w:r>
          </w:p>
        </w:tc>
        <w:tc>
          <w:tcPr>
            <w:tcW w:w="981" w:type="dxa"/>
            <w:tcBorders>
              <w:left w:val="nil"/>
              <w:bottom w:val="single" w:sz="2" w:space="0" w:color="000000" w:themeColor="text1"/>
              <w:right w:val="nil"/>
            </w:tcBorders>
            <w:shd w:val="clear" w:color="000000" w:fill="FFFFFF"/>
            <w:hideMark/>
          </w:tcPr>
          <w:p w14:paraId="12449C1A" w14:textId="77777777" w:rsidR="00B91178" w:rsidRPr="00A521D5" w:rsidRDefault="00B91178" w:rsidP="006371D9">
            <w:pPr>
              <w:keepNext/>
              <w:keepLines/>
              <w:spacing w:after="0" w:line="240" w:lineRule="auto"/>
              <w:jc w:val="right"/>
              <w:rPr>
                <w:rFonts w:ascii="Arial" w:hAnsi="Arial" w:cs="Arial"/>
                <w:color w:val="auto"/>
                <w:sz w:val="16"/>
                <w:szCs w:val="16"/>
              </w:rPr>
            </w:pPr>
            <w:r w:rsidRPr="00A521D5">
              <w:rPr>
                <w:rFonts w:ascii="Arial" w:hAnsi="Arial" w:cs="Arial"/>
                <w:sz w:val="16"/>
                <w:szCs w:val="16"/>
              </w:rPr>
              <w:t>No.</w:t>
            </w:r>
          </w:p>
        </w:tc>
        <w:tc>
          <w:tcPr>
            <w:tcW w:w="981" w:type="dxa"/>
            <w:tcBorders>
              <w:left w:val="nil"/>
              <w:bottom w:val="single" w:sz="2" w:space="0" w:color="000000" w:themeColor="text1"/>
              <w:right w:val="nil"/>
            </w:tcBorders>
            <w:shd w:val="clear" w:color="000000" w:fill="FFFFFF"/>
            <w:hideMark/>
          </w:tcPr>
          <w:p w14:paraId="6D2551BB" w14:textId="77777777" w:rsidR="00B91178" w:rsidRPr="00A521D5" w:rsidRDefault="00B91178" w:rsidP="006371D9">
            <w:pPr>
              <w:keepNext/>
              <w:keepLines/>
              <w:spacing w:after="0" w:line="240" w:lineRule="auto"/>
              <w:jc w:val="right"/>
              <w:rPr>
                <w:rFonts w:ascii="Arial" w:hAnsi="Arial" w:cs="Arial"/>
                <w:color w:val="auto"/>
                <w:sz w:val="16"/>
                <w:szCs w:val="16"/>
              </w:rPr>
            </w:pPr>
            <w:r w:rsidRPr="00A521D5">
              <w:rPr>
                <w:rFonts w:ascii="Arial" w:hAnsi="Arial" w:cs="Arial"/>
                <w:sz w:val="16"/>
                <w:szCs w:val="16"/>
              </w:rPr>
              <w:t>No.</w:t>
            </w:r>
          </w:p>
        </w:tc>
        <w:tc>
          <w:tcPr>
            <w:tcW w:w="1001" w:type="dxa"/>
            <w:tcBorders>
              <w:left w:val="nil"/>
              <w:bottom w:val="single" w:sz="2" w:space="0" w:color="000000" w:themeColor="text1"/>
              <w:right w:val="nil"/>
            </w:tcBorders>
            <w:shd w:val="clear" w:color="auto" w:fill="E1E8EB"/>
            <w:hideMark/>
          </w:tcPr>
          <w:p w14:paraId="4BBD6D4B" w14:textId="77777777" w:rsidR="00B91178" w:rsidRPr="00A521D5" w:rsidRDefault="00B91178" w:rsidP="006371D9">
            <w:pPr>
              <w:keepNext/>
              <w:keepLines/>
              <w:spacing w:after="0" w:line="240" w:lineRule="auto"/>
              <w:jc w:val="right"/>
              <w:rPr>
                <w:rFonts w:ascii="Arial" w:hAnsi="Arial" w:cs="Arial"/>
                <w:color w:val="auto"/>
                <w:sz w:val="16"/>
                <w:szCs w:val="16"/>
              </w:rPr>
            </w:pPr>
            <w:r w:rsidRPr="00A521D5">
              <w:rPr>
                <w:rFonts w:ascii="Arial" w:hAnsi="Arial" w:cs="Arial"/>
                <w:sz w:val="16"/>
                <w:szCs w:val="16"/>
              </w:rPr>
              <w:t>No.</w:t>
            </w:r>
          </w:p>
        </w:tc>
      </w:tr>
      <w:tr w:rsidR="00B91178" w:rsidRPr="00A521D5" w14:paraId="4FD35C4D" w14:textId="77777777" w:rsidTr="00405179">
        <w:trPr>
          <w:trHeight w:val="225"/>
        </w:trPr>
        <w:tc>
          <w:tcPr>
            <w:tcW w:w="3766" w:type="dxa"/>
            <w:tcBorders>
              <w:top w:val="single" w:sz="2" w:space="0" w:color="000000" w:themeColor="text1"/>
              <w:left w:val="nil"/>
              <w:bottom w:val="nil"/>
              <w:right w:val="nil"/>
            </w:tcBorders>
            <w:shd w:val="clear" w:color="000000" w:fill="FFFFFF"/>
            <w:hideMark/>
          </w:tcPr>
          <w:p w14:paraId="284066C1" w14:textId="77777777" w:rsidR="00B91178" w:rsidRPr="00A521D5" w:rsidRDefault="00B91178" w:rsidP="006371D9">
            <w:pPr>
              <w:keepNext/>
              <w:keepLines/>
              <w:spacing w:after="0" w:line="240" w:lineRule="auto"/>
              <w:jc w:val="left"/>
              <w:rPr>
                <w:rFonts w:ascii="Arial" w:hAnsi="Arial" w:cs="Arial"/>
                <w:color w:val="auto"/>
                <w:sz w:val="16"/>
                <w:szCs w:val="16"/>
              </w:rPr>
            </w:pPr>
            <w:r w:rsidRPr="00A521D5">
              <w:rPr>
                <w:rFonts w:ascii="Arial" w:hAnsi="Arial" w:cs="Arial"/>
                <w:sz w:val="16"/>
                <w:szCs w:val="16"/>
              </w:rPr>
              <w:t>Agriculture, forestry &amp; fishing</w:t>
            </w:r>
          </w:p>
        </w:tc>
        <w:tc>
          <w:tcPr>
            <w:tcW w:w="981" w:type="dxa"/>
            <w:tcBorders>
              <w:top w:val="single" w:sz="2" w:space="0" w:color="000000" w:themeColor="text1"/>
              <w:left w:val="nil"/>
              <w:bottom w:val="nil"/>
              <w:right w:val="nil"/>
            </w:tcBorders>
            <w:shd w:val="clear" w:color="000000" w:fill="FFFFFF"/>
            <w:hideMark/>
          </w:tcPr>
          <w:p w14:paraId="49B2CD5C" w14:textId="77777777" w:rsidR="00B91178" w:rsidRPr="0023512E" w:rsidRDefault="00B91178"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0</w:t>
            </w:r>
          </w:p>
        </w:tc>
        <w:tc>
          <w:tcPr>
            <w:tcW w:w="981" w:type="dxa"/>
            <w:tcBorders>
              <w:top w:val="single" w:sz="2" w:space="0" w:color="000000" w:themeColor="text1"/>
              <w:left w:val="nil"/>
              <w:bottom w:val="nil"/>
              <w:right w:val="nil"/>
            </w:tcBorders>
            <w:shd w:val="clear" w:color="000000" w:fill="FFFFFF"/>
            <w:hideMark/>
          </w:tcPr>
          <w:p w14:paraId="6B7D14B1" w14:textId="278941B3" w:rsidR="00B91178" w:rsidRPr="0023512E" w:rsidRDefault="003C3EEF"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1</w:t>
            </w:r>
          </w:p>
        </w:tc>
        <w:tc>
          <w:tcPr>
            <w:tcW w:w="981" w:type="dxa"/>
            <w:tcBorders>
              <w:top w:val="single" w:sz="2" w:space="0" w:color="000000" w:themeColor="text1"/>
              <w:left w:val="nil"/>
              <w:bottom w:val="nil"/>
              <w:right w:val="nil"/>
            </w:tcBorders>
            <w:shd w:val="clear" w:color="000000" w:fill="FFFFFF"/>
            <w:hideMark/>
          </w:tcPr>
          <w:p w14:paraId="388FB513" w14:textId="77777777" w:rsidR="00B91178" w:rsidRPr="0023512E" w:rsidRDefault="003C3EEF"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1</w:t>
            </w:r>
          </w:p>
        </w:tc>
        <w:tc>
          <w:tcPr>
            <w:tcW w:w="1001" w:type="dxa"/>
            <w:tcBorders>
              <w:top w:val="single" w:sz="2" w:space="0" w:color="000000" w:themeColor="text1"/>
              <w:left w:val="nil"/>
              <w:bottom w:val="nil"/>
              <w:right w:val="nil"/>
            </w:tcBorders>
            <w:shd w:val="clear" w:color="auto" w:fill="E1E8EB"/>
            <w:noWrap/>
            <w:hideMark/>
          </w:tcPr>
          <w:p w14:paraId="7C226D98" w14:textId="72448F17" w:rsidR="00B91178" w:rsidRPr="0023512E" w:rsidRDefault="003C3EEF"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0</w:t>
            </w:r>
          </w:p>
        </w:tc>
      </w:tr>
      <w:tr w:rsidR="00B91178" w:rsidRPr="00A521D5" w14:paraId="6154F497" w14:textId="77777777" w:rsidTr="00405179">
        <w:trPr>
          <w:trHeight w:val="225"/>
        </w:trPr>
        <w:tc>
          <w:tcPr>
            <w:tcW w:w="3766" w:type="dxa"/>
            <w:tcBorders>
              <w:top w:val="nil"/>
              <w:left w:val="nil"/>
              <w:bottom w:val="nil"/>
              <w:right w:val="nil"/>
            </w:tcBorders>
            <w:shd w:val="clear" w:color="000000" w:fill="FFFFFF"/>
            <w:noWrap/>
            <w:hideMark/>
          </w:tcPr>
          <w:p w14:paraId="7A88C804" w14:textId="77777777" w:rsidR="00B91178" w:rsidRPr="00A521D5" w:rsidRDefault="00B91178" w:rsidP="006371D9">
            <w:pPr>
              <w:keepNext/>
              <w:keepLines/>
              <w:spacing w:after="0" w:line="240" w:lineRule="auto"/>
              <w:jc w:val="left"/>
              <w:rPr>
                <w:rFonts w:ascii="Arial" w:hAnsi="Arial" w:cs="Arial"/>
                <w:color w:val="auto"/>
                <w:sz w:val="16"/>
                <w:szCs w:val="16"/>
              </w:rPr>
            </w:pPr>
            <w:r w:rsidRPr="00A521D5">
              <w:rPr>
                <w:rFonts w:ascii="Arial" w:hAnsi="Arial" w:cs="Arial"/>
                <w:sz w:val="16"/>
                <w:szCs w:val="16"/>
              </w:rPr>
              <w:t>Finance &amp; insurance</w:t>
            </w:r>
          </w:p>
        </w:tc>
        <w:tc>
          <w:tcPr>
            <w:tcW w:w="981" w:type="dxa"/>
            <w:tcBorders>
              <w:top w:val="nil"/>
              <w:left w:val="nil"/>
              <w:bottom w:val="nil"/>
              <w:right w:val="nil"/>
            </w:tcBorders>
            <w:shd w:val="clear" w:color="000000" w:fill="FFFFFF"/>
            <w:noWrap/>
            <w:hideMark/>
          </w:tcPr>
          <w:p w14:paraId="6C6E3DAF" w14:textId="65528902" w:rsidR="00B91178" w:rsidRPr="0023512E" w:rsidRDefault="003C3EEF"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5</w:t>
            </w:r>
          </w:p>
        </w:tc>
        <w:tc>
          <w:tcPr>
            <w:tcW w:w="981" w:type="dxa"/>
            <w:tcBorders>
              <w:top w:val="nil"/>
              <w:left w:val="nil"/>
              <w:bottom w:val="nil"/>
              <w:right w:val="nil"/>
            </w:tcBorders>
            <w:shd w:val="clear" w:color="000000" w:fill="FFFFFF"/>
            <w:noWrap/>
            <w:hideMark/>
          </w:tcPr>
          <w:p w14:paraId="5C4142B5" w14:textId="1899732B" w:rsidR="00B91178" w:rsidRPr="0023512E" w:rsidRDefault="003C3EEF"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7</w:t>
            </w:r>
          </w:p>
        </w:tc>
        <w:tc>
          <w:tcPr>
            <w:tcW w:w="981" w:type="dxa"/>
            <w:tcBorders>
              <w:top w:val="nil"/>
              <w:left w:val="nil"/>
              <w:bottom w:val="nil"/>
              <w:right w:val="nil"/>
            </w:tcBorders>
            <w:shd w:val="clear" w:color="000000" w:fill="FFFFFF"/>
            <w:noWrap/>
            <w:hideMark/>
          </w:tcPr>
          <w:p w14:paraId="4EA8F564" w14:textId="2F52B35A" w:rsidR="00B91178" w:rsidRPr="0023512E" w:rsidRDefault="003C3EEF"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4</w:t>
            </w:r>
          </w:p>
        </w:tc>
        <w:tc>
          <w:tcPr>
            <w:tcW w:w="1001" w:type="dxa"/>
            <w:tcBorders>
              <w:top w:val="nil"/>
              <w:left w:val="nil"/>
              <w:bottom w:val="nil"/>
              <w:right w:val="nil"/>
            </w:tcBorders>
            <w:shd w:val="clear" w:color="auto" w:fill="E1E8EB"/>
            <w:noWrap/>
            <w:hideMark/>
          </w:tcPr>
          <w:p w14:paraId="42DADCC9" w14:textId="1C7B65C0" w:rsidR="00B91178" w:rsidRPr="0023512E" w:rsidRDefault="003C3EEF"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2</w:t>
            </w:r>
          </w:p>
        </w:tc>
      </w:tr>
      <w:tr w:rsidR="00B91178" w:rsidRPr="00A521D5" w14:paraId="30EE95F3" w14:textId="77777777" w:rsidTr="00405179">
        <w:trPr>
          <w:trHeight w:val="225"/>
        </w:trPr>
        <w:tc>
          <w:tcPr>
            <w:tcW w:w="3766" w:type="dxa"/>
            <w:tcBorders>
              <w:top w:val="nil"/>
              <w:left w:val="nil"/>
              <w:bottom w:val="nil"/>
              <w:right w:val="nil"/>
            </w:tcBorders>
            <w:shd w:val="clear" w:color="000000" w:fill="FFFFFF"/>
            <w:hideMark/>
          </w:tcPr>
          <w:p w14:paraId="13384270" w14:textId="77777777" w:rsidR="00B91178" w:rsidRPr="00A521D5" w:rsidRDefault="00B91178" w:rsidP="006371D9">
            <w:pPr>
              <w:keepNext/>
              <w:keepLines/>
              <w:spacing w:after="0" w:line="240" w:lineRule="auto"/>
              <w:jc w:val="left"/>
              <w:rPr>
                <w:rFonts w:ascii="Arial" w:hAnsi="Arial" w:cs="Arial"/>
                <w:color w:val="auto"/>
                <w:sz w:val="16"/>
                <w:szCs w:val="16"/>
              </w:rPr>
            </w:pPr>
            <w:r w:rsidRPr="00A521D5">
              <w:rPr>
                <w:rFonts w:ascii="Arial" w:hAnsi="Arial" w:cs="Arial"/>
                <w:sz w:val="16"/>
                <w:szCs w:val="16"/>
              </w:rPr>
              <w:t>Manufacturing, electricity &amp; gas</w:t>
            </w:r>
          </w:p>
        </w:tc>
        <w:tc>
          <w:tcPr>
            <w:tcW w:w="981" w:type="dxa"/>
            <w:tcBorders>
              <w:top w:val="nil"/>
              <w:left w:val="nil"/>
              <w:bottom w:val="nil"/>
              <w:right w:val="nil"/>
            </w:tcBorders>
            <w:shd w:val="clear" w:color="000000" w:fill="FFFFFF"/>
            <w:hideMark/>
          </w:tcPr>
          <w:p w14:paraId="705986A5" w14:textId="745E8FEB" w:rsidR="00B91178" w:rsidRPr="0023512E" w:rsidRDefault="003C3EEF"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3</w:t>
            </w:r>
          </w:p>
        </w:tc>
        <w:tc>
          <w:tcPr>
            <w:tcW w:w="981" w:type="dxa"/>
            <w:tcBorders>
              <w:top w:val="nil"/>
              <w:left w:val="nil"/>
              <w:bottom w:val="nil"/>
              <w:right w:val="nil"/>
            </w:tcBorders>
            <w:shd w:val="clear" w:color="000000" w:fill="FFFFFF"/>
            <w:hideMark/>
          </w:tcPr>
          <w:p w14:paraId="358F5E7B" w14:textId="00DECF88" w:rsidR="00B91178" w:rsidRPr="0023512E" w:rsidRDefault="003C3EEF"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2</w:t>
            </w:r>
          </w:p>
        </w:tc>
        <w:tc>
          <w:tcPr>
            <w:tcW w:w="981" w:type="dxa"/>
            <w:tcBorders>
              <w:top w:val="nil"/>
              <w:left w:val="nil"/>
              <w:bottom w:val="nil"/>
              <w:right w:val="nil"/>
            </w:tcBorders>
            <w:shd w:val="clear" w:color="000000" w:fill="FFFFFF"/>
            <w:hideMark/>
          </w:tcPr>
          <w:p w14:paraId="582855F2" w14:textId="77777777" w:rsidR="00B91178" w:rsidRPr="0023512E" w:rsidRDefault="003C3EEF"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2</w:t>
            </w:r>
          </w:p>
        </w:tc>
        <w:tc>
          <w:tcPr>
            <w:tcW w:w="1001" w:type="dxa"/>
            <w:tcBorders>
              <w:top w:val="nil"/>
              <w:left w:val="nil"/>
              <w:bottom w:val="nil"/>
              <w:right w:val="nil"/>
            </w:tcBorders>
            <w:shd w:val="clear" w:color="auto" w:fill="E1E8EB"/>
            <w:noWrap/>
            <w:hideMark/>
          </w:tcPr>
          <w:p w14:paraId="1E7606C6" w14:textId="77777777" w:rsidR="00B91178" w:rsidRPr="0023512E" w:rsidRDefault="003C3EEF"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2</w:t>
            </w:r>
          </w:p>
        </w:tc>
      </w:tr>
      <w:tr w:rsidR="00B91178" w:rsidRPr="00A521D5" w14:paraId="6C48E902" w14:textId="77777777" w:rsidTr="00405179">
        <w:trPr>
          <w:trHeight w:val="225"/>
        </w:trPr>
        <w:tc>
          <w:tcPr>
            <w:tcW w:w="3766" w:type="dxa"/>
            <w:tcBorders>
              <w:top w:val="nil"/>
              <w:left w:val="nil"/>
              <w:bottom w:val="nil"/>
              <w:right w:val="nil"/>
            </w:tcBorders>
            <w:shd w:val="clear" w:color="000000" w:fill="FFFFFF"/>
            <w:hideMark/>
          </w:tcPr>
          <w:p w14:paraId="4BFB51B6" w14:textId="77777777" w:rsidR="00B91178" w:rsidRPr="00A521D5" w:rsidRDefault="00B91178" w:rsidP="006371D9">
            <w:pPr>
              <w:keepNext/>
              <w:keepLines/>
              <w:spacing w:after="0" w:line="240" w:lineRule="auto"/>
              <w:jc w:val="left"/>
              <w:rPr>
                <w:rFonts w:ascii="Arial" w:hAnsi="Arial" w:cs="Arial"/>
                <w:color w:val="auto"/>
                <w:sz w:val="16"/>
                <w:szCs w:val="16"/>
              </w:rPr>
            </w:pPr>
            <w:r w:rsidRPr="00A521D5">
              <w:rPr>
                <w:rFonts w:ascii="Arial" w:hAnsi="Arial" w:cs="Arial"/>
                <w:sz w:val="16"/>
                <w:szCs w:val="16"/>
              </w:rPr>
              <w:t>Mineral exploration &amp; development</w:t>
            </w:r>
          </w:p>
        </w:tc>
        <w:tc>
          <w:tcPr>
            <w:tcW w:w="981" w:type="dxa"/>
            <w:tcBorders>
              <w:top w:val="nil"/>
              <w:left w:val="nil"/>
              <w:bottom w:val="nil"/>
              <w:right w:val="nil"/>
            </w:tcBorders>
            <w:shd w:val="clear" w:color="000000" w:fill="FFFFFF"/>
            <w:hideMark/>
          </w:tcPr>
          <w:p w14:paraId="037A8312" w14:textId="77777777" w:rsidR="00B91178" w:rsidRPr="0023512E" w:rsidRDefault="00B91178"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1</w:t>
            </w:r>
          </w:p>
        </w:tc>
        <w:tc>
          <w:tcPr>
            <w:tcW w:w="981" w:type="dxa"/>
            <w:tcBorders>
              <w:top w:val="nil"/>
              <w:left w:val="nil"/>
              <w:bottom w:val="nil"/>
              <w:right w:val="nil"/>
            </w:tcBorders>
            <w:shd w:val="clear" w:color="000000" w:fill="FFFFFF"/>
            <w:hideMark/>
          </w:tcPr>
          <w:p w14:paraId="0E02F5C0" w14:textId="19CF47BE" w:rsidR="00B91178" w:rsidRPr="0023512E" w:rsidRDefault="003C3EEF"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0</w:t>
            </w:r>
          </w:p>
        </w:tc>
        <w:tc>
          <w:tcPr>
            <w:tcW w:w="981" w:type="dxa"/>
            <w:tcBorders>
              <w:top w:val="nil"/>
              <w:left w:val="nil"/>
              <w:bottom w:val="nil"/>
              <w:right w:val="nil"/>
            </w:tcBorders>
            <w:shd w:val="clear" w:color="000000" w:fill="FFFFFF"/>
            <w:hideMark/>
          </w:tcPr>
          <w:p w14:paraId="229A80AC" w14:textId="77777777" w:rsidR="00B91178" w:rsidRPr="0023512E" w:rsidRDefault="003C3EEF"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0</w:t>
            </w:r>
          </w:p>
        </w:tc>
        <w:tc>
          <w:tcPr>
            <w:tcW w:w="1001" w:type="dxa"/>
            <w:tcBorders>
              <w:top w:val="nil"/>
              <w:left w:val="nil"/>
              <w:bottom w:val="nil"/>
              <w:right w:val="nil"/>
            </w:tcBorders>
            <w:shd w:val="clear" w:color="auto" w:fill="E1E8EB"/>
            <w:noWrap/>
            <w:hideMark/>
          </w:tcPr>
          <w:p w14:paraId="1C47099F" w14:textId="77777777" w:rsidR="00B91178" w:rsidRPr="0023512E" w:rsidRDefault="00B91178"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0</w:t>
            </w:r>
          </w:p>
        </w:tc>
      </w:tr>
      <w:tr w:rsidR="00B91178" w:rsidRPr="00A521D5" w14:paraId="48F65433" w14:textId="77777777" w:rsidTr="00405179">
        <w:trPr>
          <w:trHeight w:val="225"/>
        </w:trPr>
        <w:tc>
          <w:tcPr>
            <w:tcW w:w="3766" w:type="dxa"/>
            <w:tcBorders>
              <w:top w:val="nil"/>
              <w:left w:val="nil"/>
              <w:bottom w:val="single" w:sz="4" w:space="0" w:color="auto"/>
              <w:right w:val="nil"/>
            </w:tcBorders>
            <w:shd w:val="clear" w:color="000000" w:fill="FFFFFF"/>
            <w:noWrap/>
            <w:hideMark/>
          </w:tcPr>
          <w:p w14:paraId="441FE02C" w14:textId="77777777" w:rsidR="00B91178" w:rsidRPr="00A521D5" w:rsidRDefault="00B91178" w:rsidP="006371D9">
            <w:pPr>
              <w:keepNext/>
              <w:keepLines/>
              <w:spacing w:after="0" w:line="240" w:lineRule="auto"/>
              <w:jc w:val="left"/>
              <w:rPr>
                <w:rFonts w:ascii="Arial" w:hAnsi="Arial" w:cs="Arial"/>
                <w:color w:val="auto"/>
                <w:sz w:val="16"/>
                <w:szCs w:val="16"/>
              </w:rPr>
            </w:pPr>
            <w:r w:rsidRPr="00A521D5">
              <w:rPr>
                <w:rFonts w:ascii="Arial" w:hAnsi="Arial" w:cs="Arial"/>
                <w:sz w:val="16"/>
                <w:szCs w:val="16"/>
              </w:rPr>
              <w:t>Services</w:t>
            </w:r>
          </w:p>
        </w:tc>
        <w:tc>
          <w:tcPr>
            <w:tcW w:w="981" w:type="dxa"/>
            <w:tcBorders>
              <w:top w:val="nil"/>
              <w:left w:val="nil"/>
              <w:bottom w:val="single" w:sz="2" w:space="0" w:color="000000" w:themeColor="text1"/>
              <w:right w:val="nil"/>
            </w:tcBorders>
            <w:shd w:val="clear" w:color="000000" w:fill="FFFFFF"/>
            <w:noWrap/>
            <w:hideMark/>
          </w:tcPr>
          <w:p w14:paraId="15E7C7F0" w14:textId="1755E72A" w:rsidR="00B91178" w:rsidRPr="0023512E" w:rsidRDefault="003C3EEF"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11</w:t>
            </w:r>
          </w:p>
        </w:tc>
        <w:tc>
          <w:tcPr>
            <w:tcW w:w="981" w:type="dxa"/>
            <w:tcBorders>
              <w:top w:val="nil"/>
              <w:left w:val="nil"/>
              <w:bottom w:val="single" w:sz="2" w:space="0" w:color="000000" w:themeColor="text1"/>
              <w:right w:val="nil"/>
            </w:tcBorders>
            <w:shd w:val="clear" w:color="000000" w:fill="FFFFFF"/>
            <w:noWrap/>
            <w:hideMark/>
          </w:tcPr>
          <w:p w14:paraId="77EDEE64" w14:textId="779792BE" w:rsidR="00B91178" w:rsidRPr="0023512E" w:rsidRDefault="003C3EEF"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12</w:t>
            </w:r>
          </w:p>
        </w:tc>
        <w:tc>
          <w:tcPr>
            <w:tcW w:w="981" w:type="dxa"/>
            <w:tcBorders>
              <w:top w:val="nil"/>
              <w:left w:val="nil"/>
              <w:bottom w:val="single" w:sz="2" w:space="0" w:color="000000" w:themeColor="text1"/>
              <w:right w:val="nil"/>
            </w:tcBorders>
            <w:shd w:val="clear" w:color="000000" w:fill="FFFFFF"/>
            <w:noWrap/>
            <w:hideMark/>
          </w:tcPr>
          <w:p w14:paraId="7DDF78F9" w14:textId="5BEDD98F" w:rsidR="00B91178" w:rsidRPr="0023512E" w:rsidRDefault="003C3EEF"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4</w:t>
            </w:r>
          </w:p>
        </w:tc>
        <w:tc>
          <w:tcPr>
            <w:tcW w:w="1001" w:type="dxa"/>
            <w:tcBorders>
              <w:top w:val="nil"/>
              <w:left w:val="nil"/>
              <w:bottom w:val="single" w:sz="2" w:space="0" w:color="000000" w:themeColor="text1"/>
              <w:right w:val="nil"/>
            </w:tcBorders>
            <w:shd w:val="clear" w:color="auto" w:fill="E1E8EB"/>
            <w:noWrap/>
            <w:hideMark/>
          </w:tcPr>
          <w:p w14:paraId="0130D209" w14:textId="044EC5FE" w:rsidR="00B91178" w:rsidRPr="0023512E" w:rsidRDefault="003C3EEF" w:rsidP="006371D9">
            <w:pPr>
              <w:keepNext/>
              <w:keepLines/>
              <w:spacing w:after="0" w:line="240" w:lineRule="auto"/>
              <w:jc w:val="right"/>
              <w:rPr>
                <w:rFonts w:ascii="Arial" w:hAnsi="Arial" w:cs="Arial"/>
                <w:color w:val="auto"/>
                <w:sz w:val="16"/>
                <w:szCs w:val="16"/>
              </w:rPr>
            </w:pPr>
            <w:r w:rsidRPr="0023512E">
              <w:rPr>
                <w:rFonts w:ascii="Arial" w:hAnsi="Arial" w:cs="Arial"/>
                <w:sz w:val="16"/>
                <w:szCs w:val="16"/>
              </w:rPr>
              <w:t>15</w:t>
            </w:r>
          </w:p>
        </w:tc>
      </w:tr>
      <w:tr w:rsidR="00B91178" w:rsidRPr="00A521D5" w14:paraId="54F6E32D" w14:textId="77777777" w:rsidTr="00405179">
        <w:trPr>
          <w:trHeight w:val="225"/>
        </w:trPr>
        <w:tc>
          <w:tcPr>
            <w:tcW w:w="3766" w:type="dxa"/>
            <w:tcBorders>
              <w:top w:val="single" w:sz="4" w:space="0" w:color="auto"/>
              <w:left w:val="nil"/>
              <w:bottom w:val="single" w:sz="2" w:space="0" w:color="000000" w:themeColor="text1"/>
              <w:right w:val="nil"/>
            </w:tcBorders>
            <w:shd w:val="clear" w:color="000000" w:fill="FFFFFF"/>
            <w:noWrap/>
            <w:hideMark/>
          </w:tcPr>
          <w:p w14:paraId="2D08F375" w14:textId="77777777" w:rsidR="00B91178" w:rsidRPr="00A521D5" w:rsidRDefault="00B91178" w:rsidP="006371D9">
            <w:pPr>
              <w:keepNext/>
              <w:keepLines/>
              <w:spacing w:after="0" w:line="240" w:lineRule="auto"/>
              <w:jc w:val="left"/>
              <w:rPr>
                <w:rFonts w:ascii="Arial" w:hAnsi="Arial" w:cs="Arial"/>
                <w:b/>
                <w:bCs/>
                <w:color w:val="auto"/>
                <w:sz w:val="16"/>
                <w:szCs w:val="16"/>
              </w:rPr>
            </w:pPr>
            <w:r w:rsidRPr="00A521D5">
              <w:rPr>
                <w:rFonts w:ascii="Arial" w:hAnsi="Arial" w:cs="Arial"/>
                <w:b/>
                <w:sz w:val="16"/>
                <w:szCs w:val="16"/>
              </w:rPr>
              <w:t>Total</w:t>
            </w:r>
          </w:p>
        </w:tc>
        <w:tc>
          <w:tcPr>
            <w:tcW w:w="981" w:type="dxa"/>
            <w:tcBorders>
              <w:top w:val="single" w:sz="2" w:space="0" w:color="000000" w:themeColor="text1"/>
              <w:left w:val="nil"/>
              <w:bottom w:val="single" w:sz="2" w:space="0" w:color="000000" w:themeColor="text1"/>
              <w:right w:val="nil"/>
            </w:tcBorders>
            <w:shd w:val="clear" w:color="000000" w:fill="FFFFFF"/>
            <w:noWrap/>
            <w:hideMark/>
          </w:tcPr>
          <w:p w14:paraId="4B70A705" w14:textId="3476F12A" w:rsidR="00B91178" w:rsidRPr="0023512E" w:rsidRDefault="003C3EEF" w:rsidP="006371D9">
            <w:pPr>
              <w:keepNext/>
              <w:keepLines/>
              <w:spacing w:after="0" w:line="240" w:lineRule="auto"/>
              <w:jc w:val="right"/>
              <w:rPr>
                <w:rFonts w:ascii="Arial" w:hAnsi="Arial" w:cs="Arial"/>
                <w:b/>
                <w:color w:val="auto"/>
                <w:sz w:val="16"/>
                <w:szCs w:val="16"/>
              </w:rPr>
            </w:pPr>
            <w:r w:rsidRPr="0023512E">
              <w:rPr>
                <w:rFonts w:ascii="Arial" w:hAnsi="Arial" w:cs="Arial"/>
                <w:b/>
                <w:sz w:val="16"/>
                <w:szCs w:val="16"/>
              </w:rPr>
              <w:t>20</w:t>
            </w:r>
          </w:p>
        </w:tc>
        <w:tc>
          <w:tcPr>
            <w:tcW w:w="981" w:type="dxa"/>
            <w:tcBorders>
              <w:top w:val="single" w:sz="2" w:space="0" w:color="000000" w:themeColor="text1"/>
              <w:left w:val="nil"/>
              <w:bottom w:val="single" w:sz="2" w:space="0" w:color="000000" w:themeColor="text1"/>
              <w:right w:val="nil"/>
            </w:tcBorders>
            <w:shd w:val="clear" w:color="000000" w:fill="FFFFFF"/>
            <w:noWrap/>
            <w:hideMark/>
          </w:tcPr>
          <w:p w14:paraId="3BC44AA6" w14:textId="5508AA1D" w:rsidR="00B91178" w:rsidRPr="0023512E" w:rsidRDefault="003C3EEF" w:rsidP="006371D9">
            <w:pPr>
              <w:keepNext/>
              <w:keepLines/>
              <w:spacing w:after="0" w:line="240" w:lineRule="auto"/>
              <w:jc w:val="right"/>
              <w:rPr>
                <w:rFonts w:ascii="Arial" w:hAnsi="Arial" w:cs="Arial"/>
                <w:b/>
                <w:color w:val="auto"/>
                <w:sz w:val="16"/>
                <w:szCs w:val="16"/>
              </w:rPr>
            </w:pPr>
            <w:r w:rsidRPr="0023512E">
              <w:rPr>
                <w:rFonts w:ascii="Arial" w:hAnsi="Arial" w:cs="Arial"/>
                <w:b/>
                <w:sz w:val="16"/>
                <w:szCs w:val="16"/>
              </w:rPr>
              <w:t>22</w:t>
            </w:r>
          </w:p>
        </w:tc>
        <w:tc>
          <w:tcPr>
            <w:tcW w:w="981" w:type="dxa"/>
            <w:tcBorders>
              <w:top w:val="single" w:sz="2" w:space="0" w:color="000000" w:themeColor="text1"/>
              <w:left w:val="nil"/>
              <w:bottom w:val="single" w:sz="2" w:space="0" w:color="000000" w:themeColor="text1"/>
              <w:right w:val="nil"/>
            </w:tcBorders>
            <w:shd w:val="clear" w:color="000000" w:fill="FFFFFF"/>
            <w:noWrap/>
            <w:hideMark/>
          </w:tcPr>
          <w:p w14:paraId="7470A85B" w14:textId="4A214C40" w:rsidR="00B91178" w:rsidRPr="0023512E" w:rsidRDefault="003C3EEF" w:rsidP="006371D9">
            <w:pPr>
              <w:keepNext/>
              <w:keepLines/>
              <w:spacing w:after="0" w:line="240" w:lineRule="auto"/>
              <w:jc w:val="right"/>
              <w:rPr>
                <w:rFonts w:ascii="Arial" w:hAnsi="Arial" w:cs="Arial"/>
                <w:b/>
                <w:color w:val="auto"/>
                <w:sz w:val="16"/>
                <w:szCs w:val="16"/>
              </w:rPr>
            </w:pPr>
            <w:r w:rsidRPr="0023512E">
              <w:rPr>
                <w:rFonts w:ascii="Arial" w:hAnsi="Arial" w:cs="Arial"/>
                <w:b/>
                <w:sz w:val="16"/>
                <w:szCs w:val="16"/>
              </w:rPr>
              <w:t>11</w:t>
            </w:r>
          </w:p>
        </w:tc>
        <w:tc>
          <w:tcPr>
            <w:tcW w:w="1001" w:type="dxa"/>
            <w:tcBorders>
              <w:top w:val="single" w:sz="2" w:space="0" w:color="000000" w:themeColor="text1"/>
              <w:left w:val="nil"/>
              <w:bottom w:val="single" w:sz="2" w:space="0" w:color="000000" w:themeColor="text1"/>
              <w:right w:val="nil"/>
            </w:tcBorders>
            <w:shd w:val="clear" w:color="auto" w:fill="E1E8EB"/>
            <w:noWrap/>
            <w:hideMark/>
          </w:tcPr>
          <w:p w14:paraId="20F79409" w14:textId="42C51BC5" w:rsidR="00B91178" w:rsidRPr="0023512E" w:rsidRDefault="003C3EEF" w:rsidP="006371D9">
            <w:pPr>
              <w:keepNext/>
              <w:keepLines/>
              <w:spacing w:after="0" w:line="240" w:lineRule="auto"/>
              <w:jc w:val="right"/>
              <w:rPr>
                <w:rFonts w:ascii="Arial" w:hAnsi="Arial" w:cs="Arial"/>
                <w:b/>
                <w:color w:val="auto"/>
                <w:sz w:val="16"/>
                <w:szCs w:val="16"/>
              </w:rPr>
            </w:pPr>
            <w:r w:rsidRPr="0023512E">
              <w:rPr>
                <w:rFonts w:ascii="Arial" w:hAnsi="Arial" w:cs="Arial"/>
                <w:b/>
                <w:sz w:val="16"/>
                <w:szCs w:val="16"/>
              </w:rPr>
              <w:t>19</w:t>
            </w:r>
          </w:p>
        </w:tc>
      </w:tr>
    </w:tbl>
    <w:p w14:paraId="41F20195" w14:textId="14122B2D" w:rsidR="00414725" w:rsidRDefault="00414725" w:rsidP="00414725">
      <w:pPr>
        <w:pStyle w:val="ChartandTableFootnoteAlpha"/>
        <w:numPr>
          <w:ilvl w:val="0"/>
          <w:numId w:val="0"/>
        </w:numPr>
      </w:pPr>
      <w:bookmarkStart w:id="150" w:name="_Toc31296906"/>
      <w:bookmarkStart w:id="151" w:name="_Toc31636024"/>
      <w:bookmarkStart w:id="152" w:name="_Toc31642793"/>
      <w:bookmarkStart w:id="153" w:name="_Toc32247802"/>
      <w:bookmarkStart w:id="154" w:name="_Toc63782933"/>
      <w:r w:rsidRPr="00BF48CD">
        <w:t xml:space="preserve">Before republishing this data or comparing between years, thoroughly review the methodological and data caveats in Appendix </w:t>
      </w:r>
      <w:r w:rsidRPr="0023512E">
        <w:t>B</w:t>
      </w:r>
      <w:r w:rsidRPr="00BF48CD">
        <w:t xml:space="preserve">. </w:t>
      </w:r>
    </w:p>
    <w:p w14:paraId="283CDB08" w14:textId="77777777" w:rsidR="00B91178" w:rsidRPr="007117B6" w:rsidRDefault="00B91178" w:rsidP="00D76ED2">
      <w:pPr>
        <w:pStyle w:val="SingleParagraph"/>
      </w:pPr>
    </w:p>
    <w:p w14:paraId="7ED69935" w14:textId="3A006706" w:rsidR="00B91178" w:rsidRPr="00820C89" w:rsidRDefault="00B91178" w:rsidP="00B91178">
      <w:pPr>
        <w:pStyle w:val="Heading2"/>
      </w:pPr>
      <w:bookmarkStart w:id="155" w:name="_Toc75244062"/>
      <w:bookmarkStart w:id="156" w:name="_Toc89872887"/>
      <w:bookmarkStart w:id="157" w:name="_Toc89872934"/>
      <w:r w:rsidRPr="00820C89">
        <w:t>Investor countries</w:t>
      </w:r>
      <w:bookmarkEnd w:id="150"/>
      <w:bookmarkEnd w:id="151"/>
      <w:bookmarkEnd w:id="152"/>
      <w:bookmarkEnd w:id="153"/>
      <w:bookmarkEnd w:id="154"/>
      <w:bookmarkEnd w:id="155"/>
      <w:bookmarkEnd w:id="156"/>
      <w:bookmarkEnd w:id="157"/>
    </w:p>
    <w:p w14:paraId="09C08868" w14:textId="77777777" w:rsidR="00B91178" w:rsidRPr="00820C89" w:rsidRDefault="00B91178" w:rsidP="00655CC7">
      <w:pPr>
        <w:pStyle w:val="Heading3noTOC"/>
      </w:pPr>
      <w:bookmarkStart w:id="158" w:name="_Toc80368791"/>
      <w:bookmarkStart w:id="159" w:name="_Toc87014325"/>
      <w:r w:rsidRPr="00820C89">
        <w:t>Leading sources of proposed investment</w:t>
      </w:r>
      <w:bookmarkEnd w:id="158"/>
      <w:bookmarkEnd w:id="159"/>
    </w:p>
    <w:p w14:paraId="3A3DC4E4" w14:textId="7D878319" w:rsidR="00B91178" w:rsidRPr="002C48D7" w:rsidRDefault="00B91178" w:rsidP="00B91178">
      <w:pPr>
        <w:rPr>
          <w:color w:val="auto"/>
        </w:rPr>
      </w:pPr>
      <w:r w:rsidRPr="002C48D7">
        <w:rPr>
          <w:color w:val="auto"/>
        </w:rPr>
        <w:t>Table </w:t>
      </w:r>
      <w:r w:rsidRPr="000806DC">
        <w:rPr>
          <w:color w:val="auto"/>
        </w:rPr>
        <w:t xml:space="preserve">3.17 </w:t>
      </w:r>
      <w:r w:rsidRPr="002C48D7">
        <w:rPr>
          <w:color w:val="auto"/>
        </w:rPr>
        <w:t xml:space="preserve">shows proposed investment approvals in </w:t>
      </w:r>
      <w:r w:rsidR="00D76ED2">
        <w:rPr>
          <w:color w:val="auto"/>
        </w:rPr>
        <w:t>2020</w:t>
      </w:r>
      <w:r w:rsidR="00D76ED2">
        <w:rPr>
          <w:color w:val="auto"/>
        </w:rPr>
        <w:noBreakHyphen/>
        <w:t>21</w:t>
      </w:r>
      <w:r w:rsidRPr="002C48D7">
        <w:rPr>
          <w:color w:val="auto"/>
        </w:rPr>
        <w:t>, disaggregated by industry sector, for the top</w:t>
      </w:r>
      <w:r>
        <w:rPr>
          <w:color w:val="auto"/>
        </w:rPr>
        <w:t> </w:t>
      </w:r>
      <w:r w:rsidRPr="000806DC">
        <w:rPr>
          <w:color w:val="auto"/>
        </w:rPr>
        <w:t>18</w:t>
      </w:r>
      <w:r w:rsidRPr="002C48D7">
        <w:rPr>
          <w:color w:val="auto"/>
        </w:rPr>
        <w:t xml:space="preserve"> countries by </w:t>
      </w:r>
      <w:r>
        <w:rPr>
          <w:color w:val="auto"/>
        </w:rPr>
        <w:t xml:space="preserve">the </w:t>
      </w:r>
      <w:r w:rsidR="00B733F8">
        <w:rPr>
          <w:color w:val="auto"/>
        </w:rPr>
        <w:t xml:space="preserve">overall </w:t>
      </w:r>
      <w:r>
        <w:rPr>
          <w:color w:val="auto"/>
        </w:rPr>
        <w:t xml:space="preserve">value of </w:t>
      </w:r>
      <w:r w:rsidRPr="002C48D7">
        <w:rPr>
          <w:color w:val="auto"/>
        </w:rPr>
        <w:t xml:space="preserve">approvals. The </w:t>
      </w:r>
      <w:r w:rsidRPr="000806DC">
        <w:rPr>
          <w:color w:val="auto"/>
        </w:rPr>
        <w:t xml:space="preserve">United States </w:t>
      </w:r>
      <w:r>
        <w:rPr>
          <w:color w:val="auto"/>
        </w:rPr>
        <w:t xml:space="preserve">and </w:t>
      </w:r>
      <w:r w:rsidR="00517A62" w:rsidRPr="000806DC">
        <w:rPr>
          <w:color w:val="auto"/>
        </w:rPr>
        <w:t>Singapore</w:t>
      </w:r>
      <w:r>
        <w:rPr>
          <w:color w:val="auto"/>
        </w:rPr>
        <w:t xml:space="preserve"> were the top </w:t>
      </w:r>
      <w:r w:rsidRPr="002C48D7">
        <w:rPr>
          <w:color w:val="auto"/>
        </w:rPr>
        <w:t>two</w:t>
      </w:r>
      <w:r>
        <w:rPr>
          <w:color w:val="auto"/>
        </w:rPr>
        <w:t> </w:t>
      </w:r>
      <w:r w:rsidRPr="002C48D7">
        <w:rPr>
          <w:color w:val="auto"/>
        </w:rPr>
        <w:t>source</w:t>
      </w:r>
      <w:r w:rsidR="00B733F8">
        <w:rPr>
          <w:color w:val="auto"/>
        </w:rPr>
        <w:t xml:space="preserve"> countries</w:t>
      </w:r>
      <w:r w:rsidRPr="002C48D7">
        <w:rPr>
          <w:color w:val="auto"/>
        </w:rPr>
        <w:t xml:space="preserve"> of propose</w:t>
      </w:r>
      <w:r>
        <w:rPr>
          <w:color w:val="auto"/>
        </w:rPr>
        <w:t xml:space="preserve">d investment by value. </w:t>
      </w:r>
      <w:r w:rsidR="00517A62" w:rsidRPr="000806DC">
        <w:rPr>
          <w:color w:val="auto"/>
        </w:rPr>
        <w:t>Canada</w:t>
      </w:r>
      <w:r w:rsidRPr="000806DC">
        <w:rPr>
          <w:color w:val="auto"/>
        </w:rPr>
        <w:t>, C</w:t>
      </w:r>
      <w:r w:rsidR="00517A62" w:rsidRPr="000806DC">
        <w:rPr>
          <w:color w:val="auto"/>
        </w:rPr>
        <w:t>hina</w:t>
      </w:r>
      <w:r w:rsidRPr="000806DC">
        <w:rPr>
          <w:color w:val="auto"/>
        </w:rPr>
        <w:t xml:space="preserve"> </w:t>
      </w:r>
      <w:r>
        <w:rPr>
          <w:color w:val="auto"/>
        </w:rPr>
        <w:t xml:space="preserve">and </w:t>
      </w:r>
      <w:r w:rsidR="00517A62" w:rsidRPr="000806DC">
        <w:rPr>
          <w:color w:val="auto"/>
        </w:rPr>
        <w:t>Germany</w:t>
      </w:r>
      <w:r w:rsidRPr="000806DC">
        <w:rPr>
          <w:color w:val="auto"/>
        </w:rPr>
        <w:t xml:space="preserve"> </w:t>
      </w:r>
      <w:r w:rsidRPr="002C48D7">
        <w:rPr>
          <w:color w:val="auto"/>
        </w:rPr>
        <w:t xml:space="preserve">were the third to fifth </w:t>
      </w:r>
      <w:r w:rsidR="00B733F8">
        <w:rPr>
          <w:color w:val="auto"/>
        </w:rPr>
        <w:t xml:space="preserve">source countries </w:t>
      </w:r>
      <w:r w:rsidRPr="002C48D7">
        <w:rPr>
          <w:color w:val="auto"/>
        </w:rPr>
        <w:t>by value.</w:t>
      </w:r>
    </w:p>
    <w:p w14:paraId="0270D30D" w14:textId="3D864825" w:rsidR="00B91178" w:rsidRPr="002C48D7" w:rsidRDefault="00B91178" w:rsidP="00B91178">
      <w:r w:rsidRPr="002C48D7">
        <w:rPr>
          <w:rFonts w:ascii="Calibri" w:hAnsi="Calibri"/>
          <w:color w:val="auto"/>
        </w:rPr>
        <w:t xml:space="preserve">Key sectors for </w:t>
      </w:r>
      <w:r>
        <w:rPr>
          <w:rFonts w:ascii="Calibri" w:hAnsi="Calibri"/>
          <w:color w:val="auto"/>
        </w:rPr>
        <w:t xml:space="preserve">the </w:t>
      </w:r>
      <w:r w:rsidRPr="000806DC">
        <w:rPr>
          <w:rFonts w:ascii="Calibri" w:hAnsi="Calibri"/>
          <w:color w:val="auto"/>
        </w:rPr>
        <w:t xml:space="preserve">United States </w:t>
      </w:r>
      <w:r>
        <w:rPr>
          <w:rFonts w:ascii="Calibri" w:hAnsi="Calibri"/>
          <w:color w:val="auto"/>
        </w:rPr>
        <w:t xml:space="preserve">in </w:t>
      </w:r>
      <w:r w:rsidRPr="000806DC">
        <w:rPr>
          <w:rFonts w:ascii="Calibri" w:hAnsi="Calibri"/>
          <w:color w:val="auto"/>
        </w:rPr>
        <w:t>20</w:t>
      </w:r>
      <w:r w:rsidR="00517A62" w:rsidRPr="000806DC">
        <w:rPr>
          <w:rFonts w:ascii="Calibri" w:hAnsi="Calibri"/>
          <w:color w:val="auto"/>
        </w:rPr>
        <w:t>20</w:t>
      </w:r>
      <w:r w:rsidR="00065800">
        <w:rPr>
          <w:rFonts w:ascii="Calibri" w:hAnsi="Calibri"/>
          <w:color w:val="auto"/>
        </w:rPr>
        <w:noBreakHyphen/>
      </w:r>
      <w:r w:rsidRPr="000806DC">
        <w:rPr>
          <w:rFonts w:ascii="Calibri" w:hAnsi="Calibri"/>
          <w:color w:val="auto"/>
        </w:rPr>
        <w:t>2</w:t>
      </w:r>
      <w:r w:rsidR="00517A62" w:rsidRPr="000806DC">
        <w:rPr>
          <w:rFonts w:ascii="Calibri" w:hAnsi="Calibri"/>
          <w:color w:val="auto"/>
        </w:rPr>
        <w:t>1</w:t>
      </w:r>
      <w:r w:rsidRPr="000806DC">
        <w:rPr>
          <w:rFonts w:ascii="Calibri" w:hAnsi="Calibri"/>
          <w:color w:val="auto"/>
        </w:rPr>
        <w:t xml:space="preserve"> </w:t>
      </w:r>
      <w:r w:rsidRPr="002C48D7">
        <w:rPr>
          <w:rFonts w:ascii="Calibri" w:hAnsi="Calibri"/>
          <w:color w:val="auto"/>
        </w:rPr>
        <w:t xml:space="preserve">included the </w:t>
      </w:r>
      <w:r w:rsidR="00517A62">
        <w:rPr>
          <w:rFonts w:ascii="Calibri" w:hAnsi="Calibri"/>
          <w:color w:val="auto"/>
        </w:rPr>
        <w:t xml:space="preserve">services sector </w:t>
      </w:r>
      <w:r w:rsidRPr="002C48D7">
        <w:rPr>
          <w:rFonts w:ascii="Calibri" w:hAnsi="Calibri"/>
          <w:color w:val="auto"/>
        </w:rPr>
        <w:t>(</w:t>
      </w:r>
      <w:r w:rsidR="009265D4">
        <w:rPr>
          <w:rFonts w:ascii="Calibri" w:hAnsi="Calibri"/>
          <w:color w:val="auto"/>
        </w:rPr>
        <w:t>$</w:t>
      </w:r>
      <w:r w:rsidR="0020236F">
        <w:rPr>
          <w:rFonts w:ascii="Calibri" w:hAnsi="Calibri"/>
          <w:color w:val="auto"/>
        </w:rPr>
        <w:t>27.3</w:t>
      </w:r>
      <w:r w:rsidR="00E850DC">
        <w:rPr>
          <w:rFonts w:ascii="Calibri" w:hAnsi="Calibri"/>
          <w:color w:val="auto"/>
        </w:rPr>
        <w:t> </w:t>
      </w:r>
      <w:r w:rsidRPr="000806DC" w:rsidDel="009265D4">
        <w:rPr>
          <w:rFonts w:ascii="Calibri" w:hAnsi="Calibri"/>
          <w:color w:val="auto"/>
        </w:rPr>
        <w:t>billion</w:t>
      </w:r>
      <w:r w:rsidRPr="002C48D7">
        <w:rPr>
          <w:rFonts w:ascii="Calibri" w:hAnsi="Calibri"/>
          <w:color w:val="auto"/>
        </w:rPr>
        <w:t xml:space="preserve">) and the </w:t>
      </w:r>
      <w:r w:rsidR="009265D4">
        <w:rPr>
          <w:rFonts w:ascii="Calibri" w:hAnsi="Calibri"/>
          <w:color w:val="auto"/>
        </w:rPr>
        <w:t>real estate sector ($</w:t>
      </w:r>
      <w:r w:rsidR="0020236F">
        <w:rPr>
          <w:rFonts w:ascii="Calibri" w:hAnsi="Calibri"/>
          <w:color w:val="auto"/>
        </w:rPr>
        <w:t>20</w:t>
      </w:r>
      <w:r w:rsidR="009265D4">
        <w:rPr>
          <w:rFonts w:ascii="Calibri" w:hAnsi="Calibri"/>
          <w:color w:val="auto"/>
        </w:rPr>
        <w:t>.</w:t>
      </w:r>
      <w:r w:rsidR="00E850DC">
        <w:rPr>
          <w:rFonts w:ascii="Calibri" w:hAnsi="Calibri"/>
          <w:color w:val="auto"/>
        </w:rPr>
        <w:t>8 </w:t>
      </w:r>
      <w:r w:rsidR="009265D4">
        <w:rPr>
          <w:rFonts w:ascii="Calibri" w:hAnsi="Calibri"/>
          <w:color w:val="auto"/>
        </w:rPr>
        <w:t>billion).</w:t>
      </w:r>
      <w:r w:rsidR="009265D4">
        <w:t xml:space="preserve"> </w:t>
      </w:r>
      <w:r w:rsidR="001B575D">
        <w:t>The value of proposed investment from the United</w:t>
      </w:r>
      <w:r w:rsidR="00E850DC">
        <w:t> </w:t>
      </w:r>
      <w:r w:rsidR="001B575D">
        <w:t>States increased by over $7.</w:t>
      </w:r>
      <w:r w:rsidR="000063E4">
        <w:t>7</w:t>
      </w:r>
      <w:r w:rsidR="00E850DC">
        <w:t> </w:t>
      </w:r>
      <w:r w:rsidR="001B575D">
        <w:t>billion compared to 2019</w:t>
      </w:r>
      <w:r w:rsidR="00065800">
        <w:noBreakHyphen/>
      </w:r>
      <w:r w:rsidR="001B575D">
        <w:t xml:space="preserve">20. </w:t>
      </w:r>
      <w:r w:rsidR="009265D4">
        <w:t xml:space="preserve">The value of </w:t>
      </w:r>
      <w:r w:rsidR="00B733F8">
        <w:t>proposed</w:t>
      </w:r>
      <w:r w:rsidR="00E23A22">
        <w:t xml:space="preserve"> investment</w:t>
      </w:r>
      <w:r w:rsidR="009265D4">
        <w:t xml:space="preserve"> </w:t>
      </w:r>
      <w:r>
        <w:t xml:space="preserve">from </w:t>
      </w:r>
      <w:r w:rsidR="009265D4" w:rsidRPr="000806DC">
        <w:t>Singapore</w:t>
      </w:r>
      <w:r w:rsidRPr="002C48D7">
        <w:t xml:space="preserve"> increased by </w:t>
      </w:r>
      <w:r w:rsidR="009265D4">
        <w:t xml:space="preserve">over </w:t>
      </w:r>
      <w:r w:rsidRPr="000806DC">
        <w:t>$</w:t>
      </w:r>
      <w:r w:rsidR="001B575D" w:rsidRPr="000806DC">
        <w:t>5</w:t>
      </w:r>
      <w:r w:rsidRPr="000806DC">
        <w:t>.</w:t>
      </w:r>
      <w:r w:rsidR="004D64FF" w:rsidRPr="000806DC">
        <w:t>1</w:t>
      </w:r>
      <w:r w:rsidRPr="000806DC">
        <w:t> billion</w:t>
      </w:r>
      <w:r w:rsidR="00E909F4">
        <w:t xml:space="preserve"> with 524 approvals</w:t>
      </w:r>
      <w:r>
        <w:t xml:space="preserve">, shifting </w:t>
      </w:r>
      <w:r w:rsidR="00982035" w:rsidRPr="000806DC">
        <w:t>Singapore</w:t>
      </w:r>
      <w:r w:rsidRPr="002C48D7">
        <w:t xml:space="preserve"> to the second largest s</w:t>
      </w:r>
      <w:r>
        <w:t xml:space="preserve">ource country by value. </w:t>
      </w:r>
      <w:r w:rsidRPr="002C48D7">
        <w:t xml:space="preserve">There was </w:t>
      </w:r>
      <w:r w:rsidRPr="000806DC">
        <w:t xml:space="preserve">significant growth </w:t>
      </w:r>
      <w:r w:rsidRPr="002C48D7">
        <w:t xml:space="preserve">in the value of </w:t>
      </w:r>
      <w:r w:rsidR="00B733F8">
        <w:t>proposed investment</w:t>
      </w:r>
      <w:r w:rsidRPr="002C48D7">
        <w:t xml:space="preserve"> for </w:t>
      </w:r>
      <w:r w:rsidR="00982035" w:rsidRPr="000806DC">
        <w:t>Singaporean</w:t>
      </w:r>
      <w:r>
        <w:t xml:space="preserve"> </w:t>
      </w:r>
      <w:r w:rsidRPr="002C48D7">
        <w:t xml:space="preserve">investors in the </w:t>
      </w:r>
      <w:r w:rsidR="00982035">
        <w:t xml:space="preserve">real estate </w:t>
      </w:r>
      <w:r w:rsidRPr="002C48D7">
        <w:t xml:space="preserve">sector (which increased in value from </w:t>
      </w:r>
      <w:r w:rsidRPr="000806DC">
        <w:t>$</w:t>
      </w:r>
      <w:r w:rsidR="004D64FF" w:rsidRPr="000806DC">
        <w:t>9.9</w:t>
      </w:r>
      <w:r w:rsidR="00E850DC">
        <w:t> </w:t>
      </w:r>
      <w:r w:rsidRPr="000806DC">
        <w:t xml:space="preserve">billion </w:t>
      </w:r>
      <w:r w:rsidRPr="002C48D7">
        <w:t xml:space="preserve">in </w:t>
      </w:r>
      <w:r w:rsidRPr="000806DC">
        <w:t>20</w:t>
      </w:r>
      <w:r w:rsidR="004D64FF" w:rsidRPr="000806DC">
        <w:t>19</w:t>
      </w:r>
      <w:r w:rsidR="00065800">
        <w:noBreakHyphen/>
      </w:r>
      <w:r w:rsidR="004D64FF" w:rsidRPr="000806DC">
        <w:t>20</w:t>
      </w:r>
      <w:r w:rsidRPr="000806DC">
        <w:t xml:space="preserve"> </w:t>
      </w:r>
      <w:r>
        <w:t xml:space="preserve">to </w:t>
      </w:r>
      <w:r w:rsidRPr="000806DC">
        <w:t>$1</w:t>
      </w:r>
      <w:r w:rsidR="004D64FF" w:rsidRPr="000806DC">
        <w:t>3</w:t>
      </w:r>
      <w:r w:rsidRPr="000806DC">
        <w:t>.</w:t>
      </w:r>
      <w:r w:rsidR="004D64FF" w:rsidRPr="000806DC">
        <w:t>8</w:t>
      </w:r>
      <w:r w:rsidRPr="000806DC">
        <w:t xml:space="preserve"> billion </w:t>
      </w:r>
      <w:r>
        <w:t xml:space="preserve">in </w:t>
      </w:r>
      <w:r w:rsidRPr="000806DC">
        <w:t>20</w:t>
      </w:r>
      <w:r w:rsidR="004D64FF" w:rsidRPr="000806DC">
        <w:t>20</w:t>
      </w:r>
      <w:r w:rsidR="00065800">
        <w:noBreakHyphen/>
      </w:r>
      <w:r w:rsidRPr="000806DC">
        <w:t>2</w:t>
      </w:r>
      <w:r w:rsidR="004D64FF">
        <w:t>1</w:t>
      </w:r>
      <w:r>
        <w:t xml:space="preserve">). </w:t>
      </w:r>
    </w:p>
    <w:p w14:paraId="0FD336B0" w14:textId="036DE985" w:rsidR="004D64FF" w:rsidRDefault="004D64FF" w:rsidP="00414725">
      <w:pPr>
        <w:rPr>
          <w:color w:val="auto"/>
        </w:rPr>
      </w:pPr>
      <w:r>
        <w:rPr>
          <w:color w:val="auto"/>
        </w:rPr>
        <w:lastRenderedPageBreak/>
        <w:t>The value of proposed investment from Germany in 2020</w:t>
      </w:r>
      <w:r w:rsidR="00065800">
        <w:rPr>
          <w:color w:val="auto"/>
        </w:rPr>
        <w:noBreakHyphen/>
      </w:r>
      <w:r>
        <w:rPr>
          <w:color w:val="auto"/>
        </w:rPr>
        <w:t>21 (</w:t>
      </w:r>
      <w:r w:rsidR="006023F9">
        <w:rPr>
          <w:color w:val="auto"/>
        </w:rPr>
        <w:t>$12.0</w:t>
      </w:r>
      <w:r w:rsidR="00E850DC">
        <w:rPr>
          <w:color w:val="auto"/>
        </w:rPr>
        <w:t> </w:t>
      </w:r>
      <w:r w:rsidR="006023F9">
        <w:rPr>
          <w:color w:val="auto"/>
        </w:rPr>
        <w:t>billion) increased almost three</w:t>
      </w:r>
      <w:r w:rsidR="00065800">
        <w:rPr>
          <w:color w:val="auto"/>
        </w:rPr>
        <w:noBreakHyphen/>
      </w:r>
      <w:r w:rsidR="006023F9">
        <w:rPr>
          <w:color w:val="auto"/>
        </w:rPr>
        <w:t>fold compared to 2019</w:t>
      </w:r>
      <w:r w:rsidR="00065800">
        <w:rPr>
          <w:color w:val="auto"/>
        </w:rPr>
        <w:noBreakHyphen/>
      </w:r>
      <w:r w:rsidR="006023F9">
        <w:rPr>
          <w:color w:val="auto"/>
        </w:rPr>
        <w:t>20 ($4.3</w:t>
      </w:r>
      <w:r w:rsidR="00E850DC">
        <w:rPr>
          <w:color w:val="auto"/>
        </w:rPr>
        <w:t> </w:t>
      </w:r>
      <w:r w:rsidR="006023F9">
        <w:rPr>
          <w:color w:val="auto"/>
        </w:rPr>
        <w:t>billion). Germany was the f</w:t>
      </w:r>
      <w:r w:rsidR="000063E4">
        <w:rPr>
          <w:color w:val="auto"/>
        </w:rPr>
        <w:t>ifth</w:t>
      </w:r>
      <w:r w:rsidR="006023F9">
        <w:rPr>
          <w:color w:val="auto"/>
        </w:rPr>
        <w:t xml:space="preserve"> source </w:t>
      </w:r>
      <w:r w:rsidR="00B733F8">
        <w:rPr>
          <w:color w:val="auto"/>
        </w:rPr>
        <w:t xml:space="preserve">country </w:t>
      </w:r>
      <w:r w:rsidR="006023F9">
        <w:rPr>
          <w:color w:val="auto"/>
        </w:rPr>
        <w:t>of investment in 2020</w:t>
      </w:r>
      <w:r w:rsidR="00065800">
        <w:rPr>
          <w:color w:val="auto"/>
        </w:rPr>
        <w:noBreakHyphen/>
      </w:r>
      <w:r w:rsidR="006023F9">
        <w:rPr>
          <w:color w:val="auto"/>
        </w:rPr>
        <w:t>21 (up from the tenth largest source country in 2019</w:t>
      </w:r>
      <w:r w:rsidR="00065800">
        <w:rPr>
          <w:color w:val="auto"/>
        </w:rPr>
        <w:noBreakHyphen/>
      </w:r>
      <w:r w:rsidR="006023F9">
        <w:rPr>
          <w:color w:val="auto"/>
        </w:rPr>
        <w:t>20). In 2020</w:t>
      </w:r>
      <w:r w:rsidR="00065800">
        <w:rPr>
          <w:color w:val="auto"/>
        </w:rPr>
        <w:noBreakHyphen/>
      </w:r>
      <w:r w:rsidR="006023F9">
        <w:rPr>
          <w:color w:val="auto"/>
        </w:rPr>
        <w:t xml:space="preserve">21, the value of proposed investment from Germany increased in </w:t>
      </w:r>
      <w:r w:rsidR="00E64EF0">
        <w:rPr>
          <w:color w:val="auto"/>
        </w:rPr>
        <w:t xml:space="preserve">every sector listed in this report except the agriculture, forestry and fishing sector. </w:t>
      </w:r>
    </w:p>
    <w:p w14:paraId="1B190829" w14:textId="7E87E512" w:rsidR="00414725" w:rsidRPr="00A562F5" w:rsidRDefault="00414725" w:rsidP="00414725">
      <w:pPr>
        <w:rPr>
          <w:color w:val="auto"/>
        </w:rPr>
        <w:sectPr w:rsidR="00414725" w:rsidRPr="00A562F5" w:rsidSect="00CB7A07">
          <w:footerReference w:type="first" r:id="rId53"/>
          <w:type w:val="oddPage"/>
          <w:pgSz w:w="11906" w:h="16838" w:code="9"/>
          <w:pgMar w:top="2466" w:right="2098" w:bottom="2466" w:left="2098" w:header="1899" w:footer="1899" w:gutter="0"/>
          <w:cols w:space="708"/>
          <w:titlePg/>
          <w:docGrid w:linePitch="360"/>
        </w:sectPr>
      </w:pPr>
    </w:p>
    <w:p w14:paraId="5A0D8BBC" w14:textId="53CF45E1" w:rsidR="00F07785" w:rsidRPr="00D76ED2" w:rsidRDefault="00F07785" w:rsidP="00D76ED2">
      <w:pPr>
        <w:pStyle w:val="TableMainHeading"/>
      </w:pPr>
      <w:bookmarkStart w:id="160" w:name="_Toc89939951"/>
      <w:r w:rsidRPr="00D76ED2">
        <w:lastRenderedPageBreak/>
        <w:t xml:space="preserve">Table </w:t>
      </w:r>
      <w:fldSimple w:instr=" STYLEREF 1 \s ">
        <w:r w:rsidR="0019342F">
          <w:rPr>
            <w:noProof/>
          </w:rPr>
          <w:t>3</w:t>
        </w:r>
      </w:fldSimple>
      <w:r w:rsidR="009812FE" w:rsidRPr="00D76ED2">
        <w:t>.</w:t>
      </w:r>
      <w:fldSimple w:instr=" SEQ Table \* ARABIC \s 1 ">
        <w:r w:rsidR="0019342F">
          <w:rPr>
            <w:noProof/>
          </w:rPr>
          <w:t>17</w:t>
        </w:r>
      </w:fldSimple>
      <w:r w:rsidRPr="00D76ED2">
        <w:t xml:space="preserve">: Approvals by country of investor, by industry sector in </w:t>
      </w:r>
      <w:r w:rsidR="00D76ED2" w:rsidRPr="00D76ED2">
        <w:t>2020</w:t>
      </w:r>
      <w:r w:rsidR="00D76ED2" w:rsidRPr="00D76ED2">
        <w:noBreakHyphen/>
        <w:t>21</w:t>
      </w:r>
      <w:bookmarkEnd w:id="160"/>
    </w:p>
    <w:tbl>
      <w:tblPr>
        <w:tblW w:w="4983" w:type="pct"/>
        <w:tblCellMar>
          <w:left w:w="0" w:type="dxa"/>
        </w:tblCellMar>
        <w:tblLook w:val="04A0" w:firstRow="1" w:lastRow="0" w:firstColumn="1" w:lastColumn="0" w:noHBand="0" w:noVBand="1"/>
      </w:tblPr>
      <w:tblGrid>
        <w:gridCol w:w="339"/>
        <w:gridCol w:w="2511"/>
        <w:gridCol w:w="254"/>
        <w:gridCol w:w="1175"/>
        <w:gridCol w:w="1087"/>
        <w:gridCol w:w="1006"/>
        <w:gridCol w:w="1258"/>
        <w:gridCol w:w="1132"/>
        <w:gridCol w:w="1049"/>
        <w:gridCol w:w="1175"/>
        <w:gridCol w:w="880"/>
      </w:tblGrid>
      <w:tr w:rsidR="00D76ED2" w:rsidRPr="00586EE3" w14:paraId="24DCE55A" w14:textId="77777777" w:rsidTr="00D76ED2">
        <w:trPr>
          <w:trHeight w:val="456"/>
        </w:trPr>
        <w:tc>
          <w:tcPr>
            <w:tcW w:w="143" w:type="pct"/>
            <w:tcBorders>
              <w:top w:val="nil"/>
              <w:left w:val="nil"/>
              <w:bottom w:val="nil"/>
              <w:right w:val="nil"/>
            </w:tcBorders>
            <w:shd w:val="clear" w:color="000000" w:fill="FFFFFF"/>
            <w:noWrap/>
            <w:vAlign w:val="bottom"/>
            <w:hideMark/>
          </w:tcPr>
          <w:p w14:paraId="5F12A24E" w14:textId="77777777" w:rsidR="0020236F" w:rsidRPr="00586EE3" w:rsidRDefault="0020236F" w:rsidP="001B575D">
            <w:pPr>
              <w:spacing w:after="0" w:line="240" w:lineRule="auto"/>
              <w:rPr>
                <w:rFonts w:ascii="Arial" w:hAnsi="Arial" w:cs="Arial"/>
                <w:sz w:val="16"/>
                <w:szCs w:val="16"/>
              </w:rPr>
            </w:pPr>
            <w:r w:rsidRPr="00586EE3">
              <w:rPr>
                <w:rFonts w:ascii="Arial" w:hAnsi="Arial" w:cs="Arial"/>
                <w:sz w:val="16"/>
                <w:szCs w:val="16"/>
              </w:rPr>
              <w:t> </w:t>
            </w:r>
          </w:p>
        </w:tc>
        <w:tc>
          <w:tcPr>
            <w:tcW w:w="1058" w:type="pct"/>
            <w:tcBorders>
              <w:top w:val="single" w:sz="4" w:space="0" w:color="auto"/>
              <w:left w:val="nil"/>
              <w:bottom w:val="nil"/>
              <w:right w:val="nil"/>
            </w:tcBorders>
            <w:shd w:val="clear" w:color="000000" w:fill="FFFFFF"/>
            <w:vAlign w:val="bottom"/>
            <w:hideMark/>
          </w:tcPr>
          <w:p w14:paraId="68E96632" w14:textId="423DCFA9" w:rsidR="0020236F" w:rsidRPr="00586EE3" w:rsidRDefault="0020236F" w:rsidP="001B575D">
            <w:pPr>
              <w:spacing w:after="0" w:line="240" w:lineRule="auto"/>
              <w:rPr>
                <w:rFonts w:ascii="Arial" w:hAnsi="Arial" w:cs="Arial"/>
                <w:sz w:val="16"/>
                <w:szCs w:val="16"/>
              </w:rPr>
            </w:pPr>
            <w:r w:rsidRPr="00586EE3">
              <w:rPr>
                <w:rFonts w:ascii="Arial" w:hAnsi="Arial" w:cs="Arial"/>
                <w:sz w:val="16"/>
                <w:szCs w:val="16"/>
              </w:rPr>
              <w:t>Country</w:t>
            </w:r>
          </w:p>
        </w:tc>
        <w:tc>
          <w:tcPr>
            <w:tcW w:w="107" w:type="pct"/>
            <w:tcBorders>
              <w:top w:val="single" w:sz="4" w:space="0" w:color="auto"/>
              <w:left w:val="nil"/>
              <w:bottom w:val="nil"/>
              <w:right w:val="nil"/>
            </w:tcBorders>
            <w:shd w:val="clear" w:color="000000" w:fill="FFFFFF"/>
            <w:vAlign w:val="center"/>
            <w:hideMark/>
          </w:tcPr>
          <w:p w14:paraId="5D028087" w14:textId="77777777" w:rsidR="0020236F" w:rsidRPr="00586EE3" w:rsidRDefault="0020236F" w:rsidP="001B575D">
            <w:pPr>
              <w:spacing w:after="0" w:line="240" w:lineRule="auto"/>
              <w:rPr>
                <w:rFonts w:ascii="Arial" w:hAnsi="Arial" w:cs="Arial"/>
                <w:sz w:val="16"/>
                <w:szCs w:val="16"/>
              </w:rPr>
            </w:pPr>
            <w:r w:rsidRPr="00586EE3">
              <w:rPr>
                <w:rFonts w:ascii="Arial" w:hAnsi="Arial" w:cs="Arial"/>
                <w:sz w:val="16"/>
                <w:szCs w:val="16"/>
              </w:rPr>
              <w:t> </w:t>
            </w:r>
          </w:p>
        </w:tc>
        <w:tc>
          <w:tcPr>
            <w:tcW w:w="495" w:type="pct"/>
            <w:tcBorders>
              <w:top w:val="single" w:sz="4" w:space="0" w:color="auto"/>
              <w:left w:val="nil"/>
              <w:bottom w:val="nil"/>
              <w:right w:val="nil"/>
            </w:tcBorders>
            <w:shd w:val="clear" w:color="000000" w:fill="FFFFFF"/>
            <w:vAlign w:val="bottom"/>
            <w:hideMark/>
          </w:tcPr>
          <w:p w14:paraId="44099841" w14:textId="77307242" w:rsidR="0020236F" w:rsidRPr="0020236F" w:rsidRDefault="0020236F" w:rsidP="0020236F">
            <w:pPr>
              <w:spacing w:after="0" w:line="240" w:lineRule="auto"/>
              <w:jc w:val="right"/>
              <w:rPr>
                <w:rFonts w:ascii="Arial" w:hAnsi="Arial" w:cs="Arial"/>
                <w:sz w:val="14"/>
                <w:szCs w:val="14"/>
              </w:rPr>
            </w:pPr>
            <w:r w:rsidRPr="0020236F">
              <w:rPr>
                <w:rFonts w:ascii="Arial" w:hAnsi="Arial" w:cs="Arial"/>
                <w:sz w:val="14"/>
                <w:szCs w:val="14"/>
              </w:rPr>
              <w:t>N</w:t>
            </w:r>
            <w:r w:rsidR="000B3A27">
              <w:rPr>
                <w:rFonts w:ascii="Arial" w:hAnsi="Arial" w:cs="Arial"/>
                <w:sz w:val="14"/>
                <w:szCs w:val="14"/>
              </w:rPr>
              <w:t>o.</w:t>
            </w:r>
            <w:r w:rsidRPr="0020236F">
              <w:rPr>
                <w:rFonts w:ascii="Arial" w:hAnsi="Arial" w:cs="Arial"/>
                <w:sz w:val="14"/>
                <w:szCs w:val="14"/>
              </w:rPr>
              <w:t xml:space="preserve"> of</w:t>
            </w:r>
            <w:r w:rsidRPr="0020236F">
              <w:rPr>
                <w:rFonts w:ascii="Arial" w:hAnsi="Arial" w:cs="Arial"/>
                <w:sz w:val="14"/>
                <w:szCs w:val="14"/>
              </w:rPr>
              <w:br/>
              <w:t>approvals</w:t>
            </w:r>
          </w:p>
        </w:tc>
        <w:tc>
          <w:tcPr>
            <w:tcW w:w="458" w:type="pct"/>
            <w:tcBorders>
              <w:top w:val="single" w:sz="4" w:space="0" w:color="auto"/>
              <w:left w:val="nil"/>
              <w:bottom w:val="nil"/>
              <w:right w:val="nil"/>
            </w:tcBorders>
            <w:shd w:val="clear" w:color="000000" w:fill="FFFFFF"/>
            <w:vAlign w:val="bottom"/>
            <w:hideMark/>
          </w:tcPr>
          <w:p w14:paraId="3F22CDF4" w14:textId="77777777" w:rsidR="0020236F" w:rsidRPr="0020236F" w:rsidRDefault="0020236F" w:rsidP="0020236F">
            <w:pPr>
              <w:spacing w:after="0" w:line="240" w:lineRule="auto"/>
              <w:jc w:val="right"/>
              <w:rPr>
                <w:rFonts w:ascii="Arial" w:hAnsi="Arial" w:cs="Arial"/>
                <w:sz w:val="14"/>
                <w:szCs w:val="14"/>
              </w:rPr>
            </w:pPr>
            <w:r w:rsidRPr="0020236F">
              <w:rPr>
                <w:rFonts w:ascii="Arial" w:hAnsi="Arial" w:cs="Arial"/>
                <w:sz w:val="14"/>
                <w:szCs w:val="14"/>
              </w:rPr>
              <w:t>Agriculture,</w:t>
            </w:r>
            <w:r w:rsidRPr="0020236F">
              <w:rPr>
                <w:rFonts w:ascii="Arial" w:hAnsi="Arial" w:cs="Arial"/>
                <w:sz w:val="14"/>
                <w:szCs w:val="14"/>
              </w:rPr>
              <w:br/>
              <w:t>forestry</w:t>
            </w:r>
            <w:r w:rsidRPr="0020236F">
              <w:rPr>
                <w:rFonts w:ascii="Arial" w:hAnsi="Arial" w:cs="Arial"/>
                <w:sz w:val="14"/>
                <w:szCs w:val="14"/>
              </w:rPr>
              <w:br/>
              <w:t>&amp; fishing</w:t>
            </w:r>
          </w:p>
        </w:tc>
        <w:tc>
          <w:tcPr>
            <w:tcW w:w="424" w:type="pct"/>
            <w:tcBorders>
              <w:top w:val="single" w:sz="4" w:space="0" w:color="auto"/>
              <w:left w:val="nil"/>
              <w:bottom w:val="nil"/>
              <w:right w:val="nil"/>
            </w:tcBorders>
            <w:shd w:val="clear" w:color="000000" w:fill="FFFFFF"/>
            <w:vAlign w:val="bottom"/>
            <w:hideMark/>
          </w:tcPr>
          <w:p w14:paraId="3543E966" w14:textId="77777777" w:rsidR="0020236F" w:rsidRPr="0020236F" w:rsidRDefault="0020236F" w:rsidP="0020236F">
            <w:pPr>
              <w:spacing w:after="0" w:line="240" w:lineRule="auto"/>
              <w:jc w:val="right"/>
              <w:rPr>
                <w:rFonts w:ascii="Arial" w:hAnsi="Arial" w:cs="Arial"/>
                <w:sz w:val="14"/>
                <w:szCs w:val="14"/>
              </w:rPr>
            </w:pPr>
            <w:r w:rsidRPr="0020236F">
              <w:rPr>
                <w:rFonts w:ascii="Arial" w:hAnsi="Arial" w:cs="Arial"/>
                <w:sz w:val="14"/>
                <w:szCs w:val="14"/>
              </w:rPr>
              <w:t>Finance &amp;</w:t>
            </w:r>
            <w:r w:rsidRPr="0020236F">
              <w:rPr>
                <w:rFonts w:ascii="Arial" w:hAnsi="Arial" w:cs="Arial"/>
                <w:sz w:val="14"/>
                <w:szCs w:val="14"/>
              </w:rPr>
              <w:br/>
              <w:t>insurance</w:t>
            </w:r>
          </w:p>
        </w:tc>
        <w:tc>
          <w:tcPr>
            <w:tcW w:w="530" w:type="pct"/>
            <w:tcBorders>
              <w:top w:val="single" w:sz="4" w:space="0" w:color="auto"/>
              <w:left w:val="nil"/>
              <w:bottom w:val="nil"/>
              <w:right w:val="nil"/>
            </w:tcBorders>
            <w:shd w:val="clear" w:color="000000" w:fill="FFFFFF"/>
            <w:vAlign w:val="bottom"/>
            <w:hideMark/>
          </w:tcPr>
          <w:p w14:paraId="095DCD24" w14:textId="77777777" w:rsidR="0020236F" w:rsidRPr="0020236F" w:rsidRDefault="0020236F" w:rsidP="0020236F">
            <w:pPr>
              <w:spacing w:after="0" w:line="240" w:lineRule="auto"/>
              <w:jc w:val="right"/>
              <w:rPr>
                <w:rFonts w:ascii="Arial" w:hAnsi="Arial" w:cs="Arial"/>
                <w:sz w:val="14"/>
                <w:szCs w:val="14"/>
              </w:rPr>
            </w:pPr>
            <w:r w:rsidRPr="0020236F">
              <w:rPr>
                <w:rFonts w:ascii="Arial" w:hAnsi="Arial" w:cs="Arial"/>
                <w:sz w:val="14"/>
                <w:szCs w:val="14"/>
              </w:rPr>
              <w:t>Manufacturing,</w:t>
            </w:r>
            <w:r w:rsidRPr="0020236F">
              <w:rPr>
                <w:rFonts w:ascii="Arial" w:hAnsi="Arial" w:cs="Arial"/>
                <w:sz w:val="14"/>
                <w:szCs w:val="14"/>
              </w:rPr>
              <w:br/>
              <w:t>electricity &amp;</w:t>
            </w:r>
            <w:r w:rsidRPr="0020236F">
              <w:rPr>
                <w:rFonts w:ascii="Arial" w:hAnsi="Arial" w:cs="Arial"/>
                <w:sz w:val="14"/>
                <w:szCs w:val="14"/>
              </w:rPr>
              <w:br/>
              <w:t>gas</w:t>
            </w:r>
          </w:p>
        </w:tc>
        <w:tc>
          <w:tcPr>
            <w:tcW w:w="477" w:type="pct"/>
            <w:tcBorders>
              <w:top w:val="single" w:sz="4" w:space="0" w:color="auto"/>
              <w:left w:val="nil"/>
              <w:bottom w:val="nil"/>
              <w:right w:val="nil"/>
            </w:tcBorders>
            <w:shd w:val="clear" w:color="000000" w:fill="FFFFFF"/>
            <w:vAlign w:val="bottom"/>
            <w:hideMark/>
          </w:tcPr>
          <w:p w14:paraId="6E93A4CF" w14:textId="77777777" w:rsidR="0020236F" w:rsidRPr="0020236F" w:rsidRDefault="0020236F" w:rsidP="0020236F">
            <w:pPr>
              <w:spacing w:after="0" w:line="240" w:lineRule="auto"/>
              <w:jc w:val="right"/>
              <w:rPr>
                <w:rFonts w:ascii="Arial" w:hAnsi="Arial" w:cs="Arial"/>
                <w:sz w:val="14"/>
                <w:szCs w:val="14"/>
              </w:rPr>
            </w:pPr>
            <w:r w:rsidRPr="0020236F">
              <w:rPr>
                <w:rFonts w:ascii="Arial" w:hAnsi="Arial" w:cs="Arial"/>
                <w:sz w:val="14"/>
                <w:szCs w:val="14"/>
              </w:rPr>
              <w:t>Mineral</w:t>
            </w:r>
            <w:r w:rsidRPr="0020236F">
              <w:rPr>
                <w:rFonts w:ascii="Arial" w:hAnsi="Arial" w:cs="Arial"/>
                <w:sz w:val="14"/>
                <w:szCs w:val="14"/>
              </w:rPr>
              <w:br/>
              <w:t>exploration &amp;</w:t>
            </w:r>
            <w:r w:rsidRPr="0020236F">
              <w:rPr>
                <w:rFonts w:ascii="Arial" w:hAnsi="Arial" w:cs="Arial"/>
                <w:sz w:val="14"/>
                <w:szCs w:val="14"/>
              </w:rPr>
              <w:br/>
              <w:t>development</w:t>
            </w:r>
          </w:p>
        </w:tc>
        <w:tc>
          <w:tcPr>
            <w:tcW w:w="442" w:type="pct"/>
            <w:tcBorders>
              <w:top w:val="single" w:sz="4" w:space="0" w:color="auto"/>
              <w:left w:val="nil"/>
              <w:bottom w:val="nil"/>
              <w:right w:val="nil"/>
            </w:tcBorders>
            <w:shd w:val="clear" w:color="000000" w:fill="FFFFFF"/>
            <w:vAlign w:val="bottom"/>
            <w:hideMark/>
          </w:tcPr>
          <w:p w14:paraId="31268506" w14:textId="77777777" w:rsidR="0020236F" w:rsidRPr="0020236F" w:rsidRDefault="0020236F" w:rsidP="0020236F">
            <w:pPr>
              <w:spacing w:after="0" w:line="240" w:lineRule="auto"/>
              <w:jc w:val="right"/>
              <w:rPr>
                <w:rFonts w:ascii="Arial" w:hAnsi="Arial" w:cs="Arial"/>
                <w:sz w:val="14"/>
                <w:szCs w:val="14"/>
              </w:rPr>
            </w:pPr>
            <w:r w:rsidRPr="0020236F">
              <w:rPr>
                <w:rFonts w:ascii="Arial" w:hAnsi="Arial" w:cs="Arial"/>
                <w:sz w:val="14"/>
                <w:szCs w:val="14"/>
              </w:rPr>
              <w:t>Real</w:t>
            </w:r>
            <w:r w:rsidRPr="0020236F">
              <w:rPr>
                <w:rFonts w:ascii="Arial" w:hAnsi="Arial" w:cs="Arial"/>
                <w:sz w:val="14"/>
                <w:szCs w:val="14"/>
              </w:rPr>
              <w:br/>
              <w:t>estate</w:t>
            </w:r>
          </w:p>
        </w:tc>
        <w:tc>
          <w:tcPr>
            <w:tcW w:w="495" w:type="pct"/>
            <w:tcBorders>
              <w:top w:val="single" w:sz="4" w:space="0" w:color="auto"/>
              <w:left w:val="nil"/>
              <w:bottom w:val="nil"/>
              <w:right w:val="nil"/>
            </w:tcBorders>
            <w:shd w:val="clear" w:color="000000" w:fill="FFFFFF"/>
            <w:vAlign w:val="bottom"/>
            <w:hideMark/>
          </w:tcPr>
          <w:p w14:paraId="2DC9F958" w14:textId="77777777" w:rsidR="0020236F" w:rsidRPr="0020236F" w:rsidRDefault="0020236F" w:rsidP="0020236F">
            <w:pPr>
              <w:spacing w:after="0" w:line="240" w:lineRule="auto"/>
              <w:jc w:val="right"/>
              <w:rPr>
                <w:rFonts w:ascii="Arial" w:hAnsi="Arial" w:cs="Arial"/>
                <w:sz w:val="14"/>
                <w:szCs w:val="14"/>
              </w:rPr>
            </w:pPr>
            <w:r w:rsidRPr="0020236F">
              <w:rPr>
                <w:rFonts w:ascii="Arial" w:hAnsi="Arial" w:cs="Arial"/>
                <w:sz w:val="14"/>
                <w:szCs w:val="14"/>
              </w:rPr>
              <w:t>Services</w:t>
            </w:r>
          </w:p>
        </w:tc>
        <w:tc>
          <w:tcPr>
            <w:tcW w:w="371" w:type="pct"/>
            <w:tcBorders>
              <w:top w:val="single" w:sz="4" w:space="0" w:color="auto"/>
              <w:left w:val="nil"/>
              <w:bottom w:val="nil"/>
              <w:right w:val="nil"/>
            </w:tcBorders>
            <w:shd w:val="clear" w:color="000000" w:fill="FFFFFF"/>
            <w:vAlign w:val="bottom"/>
            <w:hideMark/>
          </w:tcPr>
          <w:p w14:paraId="386F675B" w14:textId="77777777" w:rsidR="0020236F" w:rsidRPr="0020236F" w:rsidRDefault="0020236F" w:rsidP="001B575D">
            <w:pPr>
              <w:spacing w:after="0" w:line="240" w:lineRule="auto"/>
              <w:jc w:val="right"/>
              <w:rPr>
                <w:rFonts w:ascii="Arial" w:hAnsi="Arial" w:cs="Arial"/>
                <w:sz w:val="14"/>
                <w:szCs w:val="14"/>
              </w:rPr>
            </w:pPr>
            <w:r w:rsidRPr="0020236F">
              <w:rPr>
                <w:rFonts w:ascii="Arial" w:hAnsi="Arial" w:cs="Arial"/>
                <w:sz w:val="14"/>
                <w:szCs w:val="14"/>
              </w:rPr>
              <w:t xml:space="preserve">Total </w:t>
            </w:r>
          </w:p>
        </w:tc>
      </w:tr>
      <w:tr w:rsidR="00D76ED2" w:rsidRPr="00586EE3" w14:paraId="42BE0F04" w14:textId="77777777" w:rsidTr="00D76ED2">
        <w:trPr>
          <w:trHeight w:val="91"/>
        </w:trPr>
        <w:tc>
          <w:tcPr>
            <w:tcW w:w="143" w:type="pct"/>
            <w:tcBorders>
              <w:top w:val="nil"/>
              <w:left w:val="nil"/>
              <w:bottom w:val="nil"/>
              <w:right w:val="nil"/>
            </w:tcBorders>
            <w:shd w:val="clear" w:color="000000" w:fill="FFFFFF"/>
            <w:noWrap/>
            <w:vAlign w:val="bottom"/>
            <w:hideMark/>
          </w:tcPr>
          <w:p w14:paraId="495778A0" w14:textId="77777777" w:rsidR="0020236F" w:rsidRPr="00586EE3" w:rsidRDefault="0020236F" w:rsidP="001B575D">
            <w:pPr>
              <w:spacing w:after="0" w:line="240" w:lineRule="auto"/>
              <w:rPr>
                <w:rFonts w:ascii="Arial" w:hAnsi="Arial" w:cs="Arial"/>
                <w:sz w:val="16"/>
                <w:szCs w:val="16"/>
              </w:rPr>
            </w:pPr>
            <w:r w:rsidRPr="00586EE3">
              <w:rPr>
                <w:rFonts w:ascii="Arial" w:hAnsi="Arial" w:cs="Arial"/>
                <w:sz w:val="16"/>
                <w:szCs w:val="16"/>
              </w:rPr>
              <w:t> </w:t>
            </w:r>
          </w:p>
        </w:tc>
        <w:tc>
          <w:tcPr>
            <w:tcW w:w="1058" w:type="pct"/>
            <w:tcBorders>
              <w:top w:val="nil"/>
              <w:left w:val="nil"/>
              <w:bottom w:val="single" w:sz="4" w:space="0" w:color="auto"/>
              <w:right w:val="nil"/>
            </w:tcBorders>
            <w:shd w:val="clear" w:color="000000" w:fill="FFFFFF"/>
            <w:vAlign w:val="center"/>
            <w:hideMark/>
          </w:tcPr>
          <w:p w14:paraId="3BBB5E2E" w14:textId="77777777" w:rsidR="0020236F" w:rsidRPr="00586EE3" w:rsidRDefault="0020236F" w:rsidP="001B575D">
            <w:pPr>
              <w:spacing w:after="0" w:line="240" w:lineRule="auto"/>
              <w:rPr>
                <w:rFonts w:ascii="Arial" w:hAnsi="Arial" w:cs="Arial"/>
                <w:sz w:val="16"/>
                <w:szCs w:val="16"/>
              </w:rPr>
            </w:pPr>
            <w:r w:rsidRPr="00586EE3">
              <w:rPr>
                <w:rFonts w:ascii="Arial" w:hAnsi="Arial" w:cs="Arial"/>
                <w:sz w:val="16"/>
                <w:szCs w:val="16"/>
              </w:rPr>
              <w:t> </w:t>
            </w:r>
          </w:p>
        </w:tc>
        <w:tc>
          <w:tcPr>
            <w:tcW w:w="107" w:type="pct"/>
            <w:tcBorders>
              <w:top w:val="nil"/>
              <w:left w:val="nil"/>
              <w:bottom w:val="single" w:sz="4" w:space="0" w:color="auto"/>
              <w:right w:val="nil"/>
            </w:tcBorders>
            <w:shd w:val="clear" w:color="000000" w:fill="FFFFFF"/>
            <w:vAlign w:val="center"/>
            <w:hideMark/>
          </w:tcPr>
          <w:p w14:paraId="1E18CC33" w14:textId="77777777" w:rsidR="0020236F" w:rsidRPr="00586EE3" w:rsidRDefault="0020236F" w:rsidP="001B575D">
            <w:pPr>
              <w:spacing w:after="0" w:line="240" w:lineRule="auto"/>
              <w:rPr>
                <w:rFonts w:ascii="Arial" w:hAnsi="Arial" w:cs="Arial"/>
                <w:sz w:val="16"/>
                <w:szCs w:val="16"/>
              </w:rPr>
            </w:pPr>
            <w:r w:rsidRPr="00586EE3">
              <w:rPr>
                <w:rFonts w:ascii="Arial" w:hAnsi="Arial" w:cs="Arial"/>
                <w:sz w:val="16"/>
                <w:szCs w:val="16"/>
              </w:rPr>
              <w:t> </w:t>
            </w:r>
          </w:p>
        </w:tc>
        <w:tc>
          <w:tcPr>
            <w:tcW w:w="495" w:type="pct"/>
            <w:tcBorders>
              <w:top w:val="nil"/>
              <w:left w:val="nil"/>
              <w:bottom w:val="single" w:sz="4" w:space="0" w:color="auto"/>
              <w:right w:val="nil"/>
            </w:tcBorders>
            <w:shd w:val="clear" w:color="000000" w:fill="FFFFFF"/>
            <w:vAlign w:val="center"/>
            <w:hideMark/>
          </w:tcPr>
          <w:p w14:paraId="385E90ED" w14:textId="77777777" w:rsidR="0020236F" w:rsidRPr="0020236F" w:rsidRDefault="0020236F" w:rsidP="001B575D">
            <w:pPr>
              <w:spacing w:after="0" w:line="240" w:lineRule="auto"/>
              <w:jc w:val="right"/>
              <w:rPr>
                <w:rFonts w:ascii="Arial" w:hAnsi="Arial" w:cs="Arial"/>
                <w:sz w:val="14"/>
                <w:szCs w:val="14"/>
              </w:rPr>
            </w:pPr>
            <w:r w:rsidRPr="0020236F">
              <w:rPr>
                <w:rFonts w:ascii="Arial" w:hAnsi="Arial" w:cs="Arial"/>
                <w:sz w:val="14"/>
                <w:szCs w:val="14"/>
              </w:rPr>
              <w:t> </w:t>
            </w:r>
          </w:p>
        </w:tc>
        <w:tc>
          <w:tcPr>
            <w:tcW w:w="458" w:type="pct"/>
            <w:tcBorders>
              <w:top w:val="nil"/>
              <w:left w:val="nil"/>
              <w:bottom w:val="single" w:sz="4" w:space="0" w:color="auto"/>
              <w:right w:val="nil"/>
            </w:tcBorders>
            <w:shd w:val="clear" w:color="000000" w:fill="FFFFFF"/>
            <w:vAlign w:val="center"/>
            <w:hideMark/>
          </w:tcPr>
          <w:p w14:paraId="1EEAAA1E" w14:textId="77777777" w:rsidR="0020236F" w:rsidRPr="0020236F" w:rsidRDefault="0020236F" w:rsidP="001B575D">
            <w:pPr>
              <w:spacing w:after="0" w:line="240" w:lineRule="auto"/>
              <w:jc w:val="right"/>
              <w:rPr>
                <w:rFonts w:ascii="Arial" w:hAnsi="Arial" w:cs="Arial"/>
                <w:sz w:val="14"/>
                <w:szCs w:val="14"/>
              </w:rPr>
            </w:pPr>
            <w:r w:rsidRPr="0020236F">
              <w:rPr>
                <w:rFonts w:ascii="Arial" w:hAnsi="Arial" w:cs="Arial"/>
                <w:sz w:val="14"/>
                <w:szCs w:val="14"/>
              </w:rPr>
              <w:t>$m</w:t>
            </w:r>
          </w:p>
        </w:tc>
        <w:tc>
          <w:tcPr>
            <w:tcW w:w="424" w:type="pct"/>
            <w:tcBorders>
              <w:top w:val="nil"/>
              <w:left w:val="nil"/>
              <w:bottom w:val="single" w:sz="4" w:space="0" w:color="auto"/>
              <w:right w:val="nil"/>
            </w:tcBorders>
            <w:shd w:val="clear" w:color="000000" w:fill="FFFFFF"/>
            <w:vAlign w:val="center"/>
            <w:hideMark/>
          </w:tcPr>
          <w:p w14:paraId="2B8D0875" w14:textId="77777777" w:rsidR="0020236F" w:rsidRPr="0020236F" w:rsidRDefault="0020236F" w:rsidP="001B575D">
            <w:pPr>
              <w:spacing w:after="0" w:line="240" w:lineRule="auto"/>
              <w:jc w:val="right"/>
              <w:rPr>
                <w:rFonts w:ascii="Arial" w:hAnsi="Arial" w:cs="Arial"/>
                <w:sz w:val="14"/>
                <w:szCs w:val="14"/>
              </w:rPr>
            </w:pPr>
            <w:r w:rsidRPr="0020236F">
              <w:rPr>
                <w:rFonts w:ascii="Arial" w:hAnsi="Arial" w:cs="Arial"/>
                <w:sz w:val="14"/>
                <w:szCs w:val="14"/>
              </w:rPr>
              <w:t>$m</w:t>
            </w:r>
          </w:p>
        </w:tc>
        <w:tc>
          <w:tcPr>
            <w:tcW w:w="530" w:type="pct"/>
            <w:tcBorders>
              <w:top w:val="nil"/>
              <w:left w:val="nil"/>
              <w:bottom w:val="single" w:sz="4" w:space="0" w:color="auto"/>
              <w:right w:val="nil"/>
            </w:tcBorders>
            <w:shd w:val="clear" w:color="000000" w:fill="FFFFFF"/>
            <w:vAlign w:val="center"/>
            <w:hideMark/>
          </w:tcPr>
          <w:p w14:paraId="5C8A35E3" w14:textId="77777777" w:rsidR="0020236F" w:rsidRPr="0020236F" w:rsidRDefault="0020236F" w:rsidP="001B575D">
            <w:pPr>
              <w:spacing w:after="0" w:line="240" w:lineRule="auto"/>
              <w:jc w:val="right"/>
              <w:rPr>
                <w:rFonts w:ascii="Arial" w:hAnsi="Arial" w:cs="Arial"/>
                <w:sz w:val="14"/>
                <w:szCs w:val="14"/>
              </w:rPr>
            </w:pPr>
            <w:r w:rsidRPr="0020236F">
              <w:rPr>
                <w:rFonts w:ascii="Arial" w:hAnsi="Arial" w:cs="Arial"/>
                <w:sz w:val="14"/>
                <w:szCs w:val="14"/>
              </w:rPr>
              <w:t>$m</w:t>
            </w:r>
          </w:p>
        </w:tc>
        <w:tc>
          <w:tcPr>
            <w:tcW w:w="477" w:type="pct"/>
            <w:tcBorders>
              <w:top w:val="nil"/>
              <w:left w:val="nil"/>
              <w:bottom w:val="single" w:sz="4" w:space="0" w:color="auto"/>
              <w:right w:val="nil"/>
            </w:tcBorders>
            <w:shd w:val="clear" w:color="000000" w:fill="FFFFFF"/>
            <w:vAlign w:val="center"/>
            <w:hideMark/>
          </w:tcPr>
          <w:p w14:paraId="3D4226F2" w14:textId="77777777" w:rsidR="0020236F" w:rsidRPr="0020236F" w:rsidRDefault="0020236F" w:rsidP="001B575D">
            <w:pPr>
              <w:spacing w:after="0" w:line="240" w:lineRule="auto"/>
              <w:jc w:val="right"/>
              <w:rPr>
                <w:rFonts w:ascii="Arial" w:hAnsi="Arial" w:cs="Arial"/>
                <w:sz w:val="14"/>
                <w:szCs w:val="14"/>
              </w:rPr>
            </w:pPr>
            <w:r w:rsidRPr="0020236F">
              <w:rPr>
                <w:rFonts w:ascii="Arial" w:hAnsi="Arial" w:cs="Arial"/>
                <w:sz w:val="14"/>
                <w:szCs w:val="14"/>
              </w:rPr>
              <w:t>$m</w:t>
            </w:r>
          </w:p>
        </w:tc>
        <w:tc>
          <w:tcPr>
            <w:tcW w:w="442" w:type="pct"/>
            <w:tcBorders>
              <w:top w:val="nil"/>
              <w:left w:val="nil"/>
              <w:bottom w:val="single" w:sz="4" w:space="0" w:color="auto"/>
              <w:right w:val="nil"/>
            </w:tcBorders>
            <w:shd w:val="clear" w:color="000000" w:fill="FFFFFF"/>
            <w:vAlign w:val="center"/>
            <w:hideMark/>
          </w:tcPr>
          <w:p w14:paraId="2DDCF7D1" w14:textId="77777777" w:rsidR="0020236F" w:rsidRPr="0020236F" w:rsidRDefault="0020236F" w:rsidP="001B575D">
            <w:pPr>
              <w:spacing w:after="0" w:line="240" w:lineRule="auto"/>
              <w:jc w:val="right"/>
              <w:rPr>
                <w:rFonts w:ascii="Arial" w:hAnsi="Arial" w:cs="Arial"/>
                <w:sz w:val="14"/>
                <w:szCs w:val="14"/>
              </w:rPr>
            </w:pPr>
            <w:r w:rsidRPr="0020236F">
              <w:rPr>
                <w:rFonts w:ascii="Arial" w:hAnsi="Arial" w:cs="Arial"/>
                <w:sz w:val="14"/>
                <w:szCs w:val="14"/>
              </w:rPr>
              <w:t>$m</w:t>
            </w:r>
          </w:p>
        </w:tc>
        <w:tc>
          <w:tcPr>
            <w:tcW w:w="495" w:type="pct"/>
            <w:tcBorders>
              <w:top w:val="nil"/>
              <w:left w:val="nil"/>
              <w:bottom w:val="single" w:sz="4" w:space="0" w:color="auto"/>
              <w:right w:val="nil"/>
            </w:tcBorders>
            <w:shd w:val="clear" w:color="000000" w:fill="FFFFFF"/>
            <w:vAlign w:val="center"/>
            <w:hideMark/>
          </w:tcPr>
          <w:p w14:paraId="111BE7F8" w14:textId="77777777" w:rsidR="0020236F" w:rsidRPr="0020236F" w:rsidRDefault="0020236F" w:rsidP="001B575D">
            <w:pPr>
              <w:spacing w:after="0" w:line="240" w:lineRule="auto"/>
              <w:jc w:val="right"/>
              <w:rPr>
                <w:rFonts w:ascii="Arial" w:hAnsi="Arial" w:cs="Arial"/>
                <w:sz w:val="14"/>
                <w:szCs w:val="14"/>
              </w:rPr>
            </w:pPr>
            <w:r w:rsidRPr="0020236F">
              <w:rPr>
                <w:rFonts w:ascii="Arial" w:hAnsi="Arial" w:cs="Arial"/>
                <w:sz w:val="14"/>
                <w:szCs w:val="14"/>
              </w:rPr>
              <w:t>$m</w:t>
            </w:r>
          </w:p>
        </w:tc>
        <w:tc>
          <w:tcPr>
            <w:tcW w:w="371" w:type="pct"/>
            <w:tcBorders>
              <w:top w:val="nil"/>
              <w:left w:val="nil"/>
              <w:bottom w:val="single" w:sz="4" w:space="0" w:color="auto"/>
              <w:right w:val="nil"/>
            </w:tcBorders>
            <w:shd w:val="clear" w:color="000000" w:fill="FFFFFF"/>
            <w:vAlign w:val="center"/>
            <w:hideMark/>
          </w:tcPr>
          <w:p w14:paraId="769EBCCE" w14:textId="77777777" w:rsidR="0020236F" w:rsidRPr="0020236F" w:rsidRDefault="0020236F" w:rsidP="001B575D">
            <w:pPr>
              <w:spacing w:after="0" w:line="240" w:lineRule="auto"/>
              <w:jc w:val="right"/>
              <w:rPr>
                <w:rFonts w:ascii="Arial" w:hAnsi="Arial" w:cs="Arial"/>
                <w:sz w:val="14"/>
                <w:szCs w:val="14"/>
              </w:rPr>
            </w:pPr>
            <w:r w:rsidRPr="0020236F">
              <w:rPr>
                <w:rFonts w:ascii="Arial" w:hAnsi="Arial" w:cs="Arial"/>
                <w:sz w:val="14"/>
                <w:szCs w:val="14"/>
              </w:rPr>
              <w:t>$m</w:t>
            </w:r>
          </w:p>
        </w:tc>
      </w:tr>
      <w:tr w:rsidR="00D76ED2" w:rsidRPr="00586EE3" w14:paraId="0830234A" w14:textId="77777777" w:rsidTr="00CB7A07">
        <w:trPr>
          <w:trHeight w:val="255"/>
        </w:trPr>
        <w:tc>
          <w:tcPr>
            <w:tcW w:w="143" w:type="pct"/>
            <w:tcBorders>
              <w:top w:val="nil"/>
              <w:left w:val="nil"/>
              <w:bottom w:val="nil"/>
              <w:right w:val="nil"/>
            </w:tcBorders>
            <w:shd w:val="clear" w:color="000000" w:fill="FFFFFF"/>
            <w:noWrap/>
            <w:vAlign w:val="bottom"/>
            <w:hideMark/>
          </w:tcPr>
          <w:p w14:paraId="1052E0C0" w14:textId="77777777" w:rsidR="0020236F" w:rsidRPr="00586EE3" w:rsidRDefault="0020236F" w:rsidP="001B575D">
            <w:pPr>
              <w:spacing w:after="0" w:line="240" w:lineRule="auto"/>
              <w:jc w:val="right"/>
              <w:rPr>
                <w:rFonts w:ascii="Arial" w:hAnsi="Arial" w:cs="Arial"/>
                <w:sz w:val="16"/>
                <w:szCs w:val="16"/>
              </w:rPr>
            </w:pPr>
            <w:r w:rsidRPr="00586EE3">
              <w:rPr>
                <w:rFonts w:ascii="Arial" w:hAnsi="Arial" w:cs="Arial"/>
                <w:sz w:val="16"/>
                <w:szCs w:val="16"/>
              </w:rPr>
              <w:t>1</w:t>
            </w:r>
          </w:p>
        </w:tc>
        <w:tc>
          <w:tcPr>
            <w:tcW w:w="1058" w:type="pct"/>
            <w:tcBorders>
              <w:top w:val="nil"/>
              <w:left w:val="nil"/>
              <w:bottom w:val="nil"/>
              <w:right w:val="nil"/>
            </w:tcBorders>
            <w:shd w:val="clear" w:color="000000" w:fill="FFFFFF"/>
            <w:noWrap/>
            <w:vAlign w:val="bottom"/>
            <w:hideMark/>
          </w:tcPr>
          <w:p w14:paraId="5684E67D" w14:textId="77777777" w:rsidR="0020236F" w:rsidRPr="00586EE3" w:rsidRDefault="0020236F" w:rsidP="0024750C">
            <w:pPr>
              <w:spacing w:after="0" w:line="240" w:lineRule="auto"/>
              <w:jc w:val="left"/>
              <w:rPr>
                <w:rFonts w:ascii="Arial" w:hAnsi="Arial" w:cs="Arial"/>
                <w:sz w:val="16"/>
                <w:szCs w:val="16"/>
              </w:rPr>
            </w:pPr>
            <w:r w:rsidRPr="00586EE3">
              <w:rPr>
                <w:rFonts w:ascii="Arial" w:hAnsi="Arial" w:cs="Arial"/>
                <w:sz w:val="16"/>
                <w:szCs w:val="16"/>
              </w:rPr>
              <w:t xml:space="preserve"> U</w:t>
            </w:r>
            <w:r>
              <w:rPr>
                <w:rFonts w:ascii="Arial" w:hAnsi="Arial" w:cs="Arial"/>
                <w:sz w:val="16"/>
                <w:szCs w:val="16"/>
              </w:rPr>
              <w:t>nited States</w:t>
            </w:r>
          </w:p>
        </w:tc>
        <w:tc>
          <w:tcPr>
            <w:tcW w:w="107" w:type="pct"/>
            <w:tcBorders>
              <w:top w:val="nil"/>
              <w:left w:val="nil"/>
              <w:bottom w:val="nil"/>
              <w:right w:val="nil"/>
            </w:tcBorders>
            <w:shd w:val="clear" w:color="000000" w:fill="FFFFFF"/>
            <w:noWrap/>
            <w:vAlign w:val="center"/>
            <w:hideMark/>
          </w:tcPr>
          <w:p w14:paraId="438B20DA" w14:textId="77777777" w:rsidR="0020236F" w:rsidRPr="00586EE3" w:rsidRDefault="0020236F" w:rsidP="001B575D">
            <w:pPr>
              <w:spacing w:after="0" w:line="240" w:lineRule="auto"/>
              <w:rPr>
                <w:rFonts w:ascii="Arial" w:hAnsi="Arial" w:cs="Arial"/>
                <w:sz w:val="16"/>
                <w:szCs w:val="16"/>
              </w:rPr>
            </w:pPr>
            <w:r w:rsidRPr="00586EE3">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hideMark/>
          </w:tcPr>
          <w:p w14:paraId="4B78240F" w14:textId="4DA3148E"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w:t>
            </w:r>
            <w:r w:rsidR="005D33D8">
              <w:rPr>
                <w:rFonts w:ascii="Arial" w:hAnsi="Arial" w:cs="Arial"/>
                <w:sz w:val="16"/>
                <w:szCs w:val="16"/>
              </w:rPr>
              <w:t>931</w:t>
            </w:r>
            <w:r w:rsidRPr="00586EE3">
              <w:rPr>
                <w:rFonts w:ascii="Arial" w:hAnsi="Arial" w:cs="Arial"/>
                <w:sz w:val="16"/>
                <w:szCs w:val="16"/>
              </w:rPr>
              <w:t xml:space="preserve"> </w:t>
            </w:r>
          </w:p>
        </w:tc>
        <w:tc>
          <w:tcPr>
            <w:tcW w:w="458" w:type="pct"/>
            <w:tcBorders>
              <w:top w:val="nil"/>
              <w:left w:val="nil"/>
              <w:bottom w:val="nil"/>
              <w:right w:val="nil"/>
            </w:tcBorders>
            <w:shd w:val="clear" w:color="000000" w:fill="FFFFFF"/>
            <w:noWrap/>
            <w:vAlign w:val="bottom"/>
            <w:hideMark/>
          </w:tcPr>
          <w:p w14:paraId="5B0C3D9F"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874.7 </w:t>
            </w:r>
          </w:p>
        </w:tc>
        <w:tc>
          <w:tcPr>
            <w:tcW w:w="424" w:type="pct"/>
            <w:tcBorders>
              <w:top w:val="nil"/>
              <w:left w:val="nil"/>
              <w:bottom w:val="nil"/>
              <w:right w:val="nil"/>
            </w:tcBorders>
            <w:shd w:val="clear" w:color="000000" w:fill="FFFFFF"/>
            <w:noWrap/>
            <w:vAlign w:val="bottom"/>
            <w:hideMark/>
          </w:tcPr>
          <w:p w14:paraId="7FA4E55C"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2,350.2 </w:t>
            </w:r>
          </w:p>
        </w:tc>
        <w:tc>
          <w:tcPr>
            <w:tcW w:w="530" w:type="pct"/>
            <w:tcBorders>
              <w:top w:val="nil"/>
              <w:left w:val="nil"/>
              <w:bottom w:val="nil"/>
              <w:right w:val="nil"/>
            </w:tcBorders>
            <w:shd w:val="clear" w:color="000000" w:fill="FFFFFF"/>
            <w:noWrap/>
            <w:vAlign w:val="bottom"/>
            <w:hideMark/>
          </w:tcPr>
          <w:p w14:paraId="73FFEA23"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3,958.6 </w:t>
            </w:r>
          </w:p>
        </w:tc>
        <w:tc>
          <w:tcPr>
            <w:tcW w:w="477" w:type="pct"/>
            <w:tcBorders>
              <w:top w:val="nil"/>
              <w:left w:val="nil"/>
              <w:bottom w:val="nil"/>
              <w:right w:val="nil"/>
            </w:tcBorders>
            <w:shd w:val="clear" w:color="000000" w:fill="FFFFFF"/>
            <w:noWrap/>
            <w:vAlign w:val="bottom"/>
            <w:hideMark/>
          </w:tcPr>
          <w:p w14:paraId="3BC63A53"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1,622.5 </w:t>
            </w:r>
          </w:p>
        </w:tc>
        <w:tc>
          <w:tcPr>
            <w:tcW w:w="442" w:type="pct"/>
            <w:tcBorders>
              <w:top w:val="nil"/>
              <w:left w:val="nil"/>
              <w:bottom w:val="nil"/>
              <w:right w:val="nil"/>
            </w:tcBorders>
            <w:shd w:val="clear" w:color="000000" w:fill="FFFFFF"/>
            <w:noWrap/>
            <w:vAlign w:val="bottom"/>
            <w:hideMark/>
          </w:tcPr>
          <w:p w14:paraId="3EB85480" w14:textId="7D71DC22"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20,</w:t>
            </w:r>
            <w:r w:rsidR="003D1F61">
              <w:rPr>
                <w:rFonts w:ascii="Arial" w:hAnsi="Arial" w:cs="Arial"/>
                <w:sz w:val="16"/>
                <w:szCs w:val="16"/>
              </w:rPr>
              <w:t>831</w:t>
            </w:r>
            <w:r w:rsidRPr="00586EE3">
              <w:rPr>
                <w:rFonts w:ascii="Arial" w:hAnsi="Arial" w:cs="Arial"/>
                <w:sz w:val="16"/>
                <w:szCs w:val="16"/>
              </w:rPr>
              <w:t>.</w:t>
            </w:r>
            <w:r w:rsidR="003D1F61">
              <w:rPr>
                <w:rFonts w:ascii="Arial" w:hAnsi="Arial" w:cs="Arial"/>
                <w:sz w:val="16"/>
                <w:szCs w:val="16"/>
              </w:rPr>
              <w:t>9</w:t>
            </w:r>
            <w:r w:rsidRPr="00586EE3">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hideMark/>
          </w:tcPr>
          <w:p w14:paraId="408E7DE1"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27,321.2 </w:t>
            </w:r>
          </w:p>
        </w:tc>
        <w:tc>
          <w:tcPr>
            <w:tcW w:w="371" w:type="pct"/>
            <w:tcBorders>
              <w:top w:val="nil"/>
              <w:left w:val="nil"/>
              <w:bottom w:val="nil"/>
              <w:right w:val="nil"/>
            </w:tcBorders>
            <w:shd w:val="clear" w:color="000000" w:fill="FFFFFF"/>
            <w:noWrap/>
            <w:vAlign w:val="bottom"/>
            <w:hideMark/>
          </w:tcPr>
          <w:p w14:paraId="357FF03D" w14:textId="74BDDD24"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56,</w:t>
            </w:r>
            <w:r w:rsidR="005D33D8">
              <w:rPr>
                <w:rFonts w:ascii="Arial" w:hAnsi="Arial" w:cs="Arial"/>
                <w:sz w:val="16"/>
                <w:szCs w:val="16"/>
              </w:rPr>
              <w:t>959</w:t>
            </w:r>
            <w:r w:rsidRPr="00586EE3">
              <w:rPr>
                <w:rFonts w:ascii="Arial" w:hAnsi="Arial" w:cs="Arial"/>
                <w:sz w:val="16"/>
                <w:szCs w:val="16"/>
              </w:rPr>
              <w:t>.</w:t>
            </w:r>
            <w:r w:rsidR="009E6B8A">
              <w:rPr>
                <w:rFonts w:ascii="Arial" w:hAnsi="Arial" w:cs="Arial"/>
                <w:sz w:val="16"/>
                <w:szCs w:val="16"/>
              </w:rPr>
              <w:t>1</w:t>
            </w:r>
          </w:p>
        </w:tc>
      </w:tr>
      <w:tr w:rsidR="00D76ED2" w:rsidRPr="00586EE3" w14:paraId="73911B30" w14:textId="77777777" w:rsidTr="00CB7A07">
        <w:trPr>
          <w:trHeight w:val="255"/>
        </w:trPr>
        <w:tc>
          <w:tcPr>
            <w:tcW w:w="143" w:type="pct"/>
            <w:tcBorders>
              <w:top w:val="nil"/>
              <w:left w:val="nil"/>
              <w:bottom w:val="nil"/>
              <w:right w:val="nil"/>
            </w:tcBorders>
            <w:shd w:val="clear" w:color="000000" w:fill="FFFFFF"/>
            <w:noWrap/>
            <w:vAlign w:val="bottom"/>
            <w:hideMark/>
          </w:tcPr>
          <w:p w14:paraId="39C67A2B" w14:textId="77777777" w:rsidR="0020236F" w:rsidRPr="00586EE3" w:rsidRDefault="0020236F" w:rsidP="001B575D">
            <w:pPr>
              <w:spacing w:after="0" w:line="240" w:lineRule="auto"/>
              <w:jc w:val="right"/>
              <w:rPr>
                <w:rFonts w:ascii="Arial" w:hAnsi="Arial" w:cs="Arial"/>
                <w:sz w:val="16"/>
                <w:szCs w:val="16"/>
              </w:rPr>
            </w:pPr>
            <w:r w:rsidRPr="00586EE3">
              <w:rPr>
                <w:rFonts w:ascii="Arial" w:hAnsi="Arial" w:cs="Arial"/>
                <w:sz w:val="16"/>
                <w:szCs w:val="16"/>
              </w:rPr>
              <w:t>2</w:t>
            </w:r>
          </w:p>
        </w:tc>
        <w:tc>
          <w:tcPr>
            <w:tcW w:w="1058" w:type="pct"/>
            <w:tcBorders>
              <w:top w:val="nil"/>
              <w:left w:val="nil"/>
              <w:bottom w:val="nil"/>
              <w:right w:val="nil"/>
            </w:tcBorders>
            <w:shd w:val="clear" w:color="000000" w:fill="FFFFFF"/>
            <w:noWrap/>
            <w:vAlign w:val="bottom"/>
          </w:tcPr>
          <w:p w14:paraId="0E498483" w14:textId="77777777" w:rsidR="0020236F" w:rsidRPr="00586EE3" w:rsidRDefault="0020236F" w:rsidP="0024750C">
            <w:pPr>
              <w:spacing w:after="0" w:line="240" w:lineRule="auto"/>
              <w:jc w:val="left"/>
              <w:rPr>
                <w:rFonts w:ascii="Arial" w:hAnsi="Arial" w:cs="Arial"/>
                <w:sz w:val="16"/>
                <w:szCs w:val="16"/>
              </w:rPr>
            </w:pPr>
            <w:r w:rsidRPr="00586EE3">
              <w:rPr>
                <w:rFonts w:ascii="Arial" w:hAnsi="Arial" w:cs="Arial"/>
                <w:sz w:val="16"/>
                <w:szCs w:val="16"/>
              </w:rPr>
              <w:t xml:space="preserve"> Singapore </w:t>
            </w:r>
          </w:p>
        </w:tc>
        <w:tc>
          <w:tcPr>
            <w:tcW w:w="107" w:type="pct"/>
            <w:tcBorders>
              <w:top w:val="nil"/>
              <w:left w:val="nil"/>
              <w:bottom w:val="nil"/>
              <w:right w:val="nil"/>
            </w:tcBorders>
            <w:shd w:val="clear" w:color="000000" w:fill="FFFFFF"/>
            <w:noWrap/>
            <w:vAlign w:val="bottom"/>
          </w:tcPr>
          <w:p w14:paraId="356D549B" w14:textId="77777777" w:rsidR="0020236F" w:rsidRPr="00586EE3" w:rsidRDefault="0020236F" w:rsidP="001B575D">
            <w:pPr>
              <w:spacing w:after="0" w:line="240" w:lineRule="auto"/>
              <w:rPr>
                <w:rFonts w:ascii="Arial" w:hAnsi="Arial" w:cs="Arial"/>
                <w:sz w:val="16"/>
                <w:szCs w:val="16"/>
              </w:rPr>
            </w:pPr>
            <w:r w:rsidRPr="00586EE3">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tcPr>
          <w:p w14:paraId="3E538EEF"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524 </w:t>
            </w:r>
          </w:p>
        </w:tc>
        <w:tc>
          <w:tcPr>
            <w:tcW w:w="458" w:type="pct"/>
            <w:tcBorders>
              <w:top w:val="nil"/>
              <w:left w:val="nil"/>
              <w:bottom w:val="nil"/>
              <w:right w:val="nil"/>
            </w:tcBorders>
            <w:shd w:val="clear" w:color="000000" w:fill="FFFFFF"/>
            <w:noWrap/>
            <w:vAlign w:val="bottom"/>
          </w:tcPr>
          <w:p w14:paraId="269F2B63"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186.0 </w:t>
            </w:r>
          </w:p>
        </w:tc>
        <w:tc>
          <w:tcPr>
            <w:tcW w:w="424" w:type="pct"/>
            <w:tcBorders>
              <w:top w:val="nil"/>
              <w:left w:val="nil"/>
              <w:bottom w:val="nil"/>
              <w:right w:val="nil"/>
            </w:tcBorders>
            <w:shd w:val="clear" w:color="000000" w:fill="FFFFFF"/>
            <w:noWrap/>
            <w:vAlign w:val="bottom"/>
          </w:tcPr>
          <w:p w14:paraId="43503029"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435.3 </w:t>
            </w:r>
          </w:p>
        </w:tc>
        <w:tc>
          <w:tcPr>
            <w:tcW w:w="530" w:type="pct"/>
            <w:tcBorders>
              <w:top w:val="nil"/>
              <w:left w:val="nil"/>
              <w:bottom w:val="nil"/>
              <w:right w:val="nil"/>
            </w:tcBorders>
            <w:shd w:val="clear" w:color="000000" w:fill="FFFFFF"/>
            <w:noWrap/>
            <w:vAlign w:val="bottom"/>
          </w:tcPr>
          <w:p w14:paraId="76545B66"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1,526.3 </w:t>
            </w:r>
          </w:p>
        </w:tc>
        <w:tc>
          <w:tcPr>
            <w:tcW w:w="477" w:type="pct"/>
            <w:tcBorders>
              <w:top w:val="nil"/>
              <w:left w:val="nil"/>
              <w:bottom w:val="nil"/>
              <w:right w:val="nil"/>
            </w:tcBorders>
            <w:shd w:val="clear" w:color="000000" w:fill="FFFFFF"/>
            <w:noWrap/>
            <w:vAlign w:val="bottom"/>
          </w:tcPr>
          <w:p w14:paraId="1D435556"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21.6 </w:t>
            </w:r>
          </w:p>
        </w:tc>
        <w:tc>
          <w:tcPr>
            <w:tcW w:w="442" w:type="pct"/>
            <w:tcBorders>
              <w:top w:val="nil"/>
              <w:left w:val="nil"/>
              <w:bottom w:val="nil"/>
              <w:right w:val="nil"/>
            </w:tcBorders>
            <w:shd w:val="clear" w:color="000000" w:fill="FFFFFF"/>
            <w:noWrap/>
            <w:vAlign w:val="bottom"/>
          </w:tcPr>
          <w:p w14:paraId="3B2D92B1"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13,848.6 </w:t>
            </w:r>
          </w:p>
        </w:tc>
        <w:tc>
          <w:tcPr>
            <w:tcW w:w="495" w:type="pct"/>
            <w:tcBorders>
              <w:top w:val="nil"/>
              <w:left w:val="nil"/>
              <w:bottom w:val="nil"/>
              <w:right w:val="nil"/>
            </w:tcBorders>
            <w:shd w:val="clear" w:color="000000" w:fill="FFFFFF"/>
            <w:noWrap/>
            <w:vAlign w:val="bottom"/>
          </w:tcPr>
          <w:p w14:paraId="5E6170F5"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5,327.1 </w:t>
            </w:r>
          </w:p>
        </w:tc>
        <w:tc>
          <w:tcPr>
            <w:tcW w:w="371" w:type="pct"/>
            <w:tcBorders>
              <w:top w:val="nil"/>
              <w:left w:val="nil"/>
              <w:bottom w:val="nil"/>
              <w:right w:val="nil"/>
            </w:tcBorders>
            <w:shd w:val="clear" w:color="000000" w:fill="FFFFFF"/>
            <w:noWrap/>
            <w:vAlign w:val="bottom"/>
          </w:tcPr>
          <w:p w14:paraId="5B374CFB"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21,344.9</w:t>
            </w:r>
          </w:p>
        </w:tc>
      </w:tr>
      <w:tr w:rsidR="00D76ED2" w:rsidRPr="00586EE3" w14:paraId="5E96A465" w14:textId="77777777" w:rsidTr="00CB7A07">
        <w:trPr>
          <w:trHeight w:val="255"/>
        </w:trPr>
        <w:tc>
          <w:tcPr>
            <w:tcW w:w="143" w:type="pct"/>
            <w:tcBorders>
              <w:top w:val="nil"/>
              <w:left w:val="nil"/>
              <w:bottom w:val="nil"/>
              <w:right w:val="nil"/>
            </w:tcBorders>
            <w:shd w:val="clear" w:color="000000" w:fill="FFFFFF"/>
            <w:noWrap/>
            <w:vAlign w:val="bottom"/>
            <w:hideMark/>
          </w:tcPr>
          <w:p w14:paraId="20CCF0C2" w14:textId="77777777" w:rsidR="0020236F" w:rsidRPr="00586EE3" w:rsidRDefault="0020236F" w:rsidP="001B575D">
            <w:pPr>
              <w:spacing w:after="0" w:line="240" w:lineRule="auto"/>
              <w:jc w:val="right"/>
              <w:rPr>
                <w:rFonts w:ascii="Arial" w:hAnsi="Arial" w:cs="Arial"/>
                <w:sz w:val="16"/>
                <w:szCs w:val="16"/>
              </w:rPr>
            </w:pPr>
            <w:r w:rsidRPr="00586EE3">
              <w:rPr>
                <w:rFonts w:ascii="Arial" w:hAnsi="Arial" w:cs="Arial"/>
                <w:sz w:val="16"/>
                <w:szCs w:val="16"/>
              </w:rPr>
              <w:t>3</w:t>
            </w:r>
          </w:p>
        </w:tc>
        <w:tc>
          <w:tcPr>
            <w:tcW w:w="1058" w:type="pct"/>
            <w:tcBorders>
              <w:top w:val="nil"/>
              <w:left w:val="nil"/>
              <w:bottom w:val="nil"/>
              <w:right w:val="nil"/>
            </w:tcBorders>
            <w:shd w:val="clear" w:color="000000" w:fill="FFFFFF"/>
            <w:noWrap/>
            <w:vAlign w:val="bottom"/>
          </w:tcPr>
          <w:p w14:paraId="713D00BD" w14:textId="77777777" w:rsidR="0020236F" w:rsidRPr="00586EE3" w:rsidRDefault="0020236F" w:rsidP="0024750C">
            <w:pPr>
              <w:spacing w:after="0" w:line="240" w:lineRule="auto"/>
              <w:jc w:val="left"/>
              <w:rPr>
                <w:rFonts w:ascii="Arial" w:hAnsi="Arial" w:cs="Arial"/>
                <w:sz w:val="16"/>
                <w:szCs w:val="16"/>
              </w:rPr>
            </w:pPr>
            <w:r w:rsidRPr="00586EE3">
              <w:rPr>
                <w:rFonts w:ascii="Arial" w:hAnsi="Arial" w:cs="Arial"/>
                <w:sz w:val="16"/>
                <w:szCs w:val="16"/>
              </w:rPr>
              <w:t xml:space="preserve"> Canada </w:t>
            </w:r>
          </w:p>
        </w:tc>
        <w:tc>
          <w:tcPr>
            <w:tcW w:w="107" w:type="pct"/>
            <w:tcBorders>
              <w:top w:val="nil"/>
              <w:left w:val="nil"/>
              <w:bottom w:val="nil"/>
              <w:right w:val="nil"/>
            </w:tcBorders>
            <w:shd w:val="clear" w:color="000000" w:fill="FFFFFF"/>
            <w:noWrap/>
            <w:vAlign w:val="bottom"/>
          </w:tcPr>
          <w:p w14:paraId="4C5250B0" w14:textId="77777777" w:rsidR="0020236F" w:rsidRPr="00586EE3" w:rsidRDefault="0020236F" w:rsidP="001B575D">
            <w:pPr>
              <w:spacing w:after="0" w:line="240" w:lineRule="auto"/>
              <w:rPr>
                <w:rFonts w:ascii="Arial" w:hAnsi="Arial" w:cs="Arial"/>
                <w:sz w:val="16"/>
                <w:szCs w:val="16"/>
              </w:rPr>
            </w:pPr>
            <w:r w:rsidRPr="00586EE3">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tcPr>
          <w:p w14:paraId="0CEE5DDC"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378 </w:t>
            </w:r>
          </w:p>
        </w:tc>
        <w:tc>
          <w:tcPr>
            <w:tcW w:w="458" w:type="pct"/>
            <w:tcBorders>
              <w:top w:val="nil"/>
              <w:left w:val="nil"/>
              <w:bottom w:val="nil"/>
              <w:right w:val="nil"/>
            </w:tcBorders>
            <w:shd w:val="clear" w:color="000000" w:fill="FFFFFF"/>
            <w:noWrap/>
            <w:vAlign w:val="bottom"/>
          </w:tcPr>
          <w:p w14:paraId="2F93864F"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818.5 </w:t>
            </w:r>
          </w:p>
        </w:tc>
        <w:tc>
          <w:tcPr>
            <w:tcW w:w="424" w:type="pct"/>
            <w:tcBorders>
              <w:top w:val="nil"/>
              <w:left w:val="nil"/>
              <w:bottom w:val="nil"/>
              <w:right w:val="nil"/>
            </w:tcBorders>
            <w:shd w:val="clear" w:color="000000" w:fill="FFFFFF"/>
            <w:noWrap/>
            <w:vAlign w:val="bottom"/>
          </w:tcPr>
          <w:p w14:paraId="49943FD1"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72.6 </w:t>
            </w:r>
          </w:p>
        </w:tc>
        <w:tc>
          <w:tcPr>
            <w:tcW w:w="530" w:type="pct"/>
            <w:tcBorders>
              <w:top w:val="nil"/>
              <w:left w:val="nil"/>
              <w:bottom w:val="nil"/>
              <w:right w:val="nil"/>
            </w:tcBorders>
            <w:shd w:val="clear" w:color="000000" w:fill="FFFFFF"/>
            <w:noWrap/>
            <w:vAlign w:val="bottom"/>
          </w:tcPr>
          <w:p w14:paraId="57611AD4"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3,533.5 </w:t>
            </w:r>
          </w:p>
        </w:tc>
        <w:tc>
          <w:tcPr>
            <w:tcW w:w="477" w:type="pct"/>
            <w:tcBorders>
              <w:top w:val="nil"/>
              <w:left w:val="nil"/>
              <w:bottom w:val="nil"/>
              <w:right w:val="nil"/>
            </w:tcBorders>
            <w:shd w:val="clear" w:color="000000" w:fill="FFFFFF"/>
            <w:noWrap/>
            <w:vAlign w:val="bottom"/>
          </w:tcPr>
          <w:p w14:paraId="434F120E"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82.4 </w:t>
            </w:r>
          </w:p>
        </w:tc>
        <w:tc>
          <w:tcPr>
            <w:tcW w:w="442" w:type="pct"/>
            <w:tcBorders>
              <w:top w:val="nil"/>
              <w:left w:val="nil"/>
              <w:bottom w:val="nil"/>
              <w:right w:val="nil"/>
            </w:tcBorders>
            <w:shd w:val="clear" w:color="000000" w:fill="FFFFFF"/>
            <w:noWrap/>
            <w:vAlign w:val="bottom"/>
          </w:tcPr>
          <w:p w14:paraId="4B747129"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7,371.1 </w:t>
            </w:r>
          </w:p>
        </w:tc>
        <w:tc>
          <w:tcPr>
            <w:tcW w:w="495" w:type="pct"/>
            <w:tcBorders>
              <w:top w:val="nil"/>
              <w:left w:val="nil"/>
              <w:bottom w:val="nil"/>
              <w:right w:val="nil"/>
            </w:tcBorders>
            <w:shd w:val="clear" w:color="000000" w:fill="FFFFFF"/>
            <w:noWrap/>
            <w:vAlign w:val="bottom"/>
          </w:tcPr>
          <w:p w14:paraId="4D261613"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 xml:space="preserve">      6,946.0 </w:t>
            </w:r>
          </w:p>
        </w:tc>
        <w:tc>
          <w:tcPr>
            <w:tcW w:w="371" w:type="pct"/>
            <w:tcBorders>
              <w:top w:val="nil"/>
              <w:left w:val="nil"/>
              <w:bottom w:val="nil"/>
              <w:right w:val="nil"/>
            </w:tcBorders>
            <w:shd w:val="clear" w:color="000000" w:fill="FFFFFF"/>
            <w:noWrap/>
            <w:vAlign w:val="bottom"/>
          </w:tcPr>
          <w:p w14:paraId="4929AB1F" w14:textId="77777777" w:rsidR="0020236F" w:rsidRPr="00586EE3" w:rsidRDefault="0020236F" w:rsidP="0024750C">
            <w:pPr>
              <w:spacing w:after="0" w:line="240" w:lineRule="auto"/>
              <w:jc w:val="right"/>
              <w:rPr>
                <w:rFonts w:ascii="Arial" w:hAnsi="Arial" w:cs="Arial"/>
                <w:sz w:val="16"/>
                <w:szCs w:val="16"/>
              </w:rPr>
            </w:pPr>
            <w:r w:rsidRPr="00586EE3">
              <w:rPr>
                <w:rFonts w:ascii="Arial" w:hAnsi="Arial" w:cs="Arial"/>
                <w:sz w:val="16"/>
                <w:szCs w:val="16"/>
              </w:rPr>
              <w:t>18,824.1</w:t>
            </w:r>
          </w:p>
        </w:tc>
      </w:tr>
      <w:tr w:rsidR="00D76ED2" w:rsidRPr="00586EE3" w14:paraId="4F0F1C92" w14:textId="77777777" w:rsidTr="00CB7A07">
        <w:trPr>
          <w:trHeight w:val="255"/>
        </w:trPr>
        <w:tc>
          <w:tcPr>
            <w:tcW w:w="143" w:type="pct"/>
            <w:tcBorders>
              <w:top w:val="nil"/>
              <w:left w:val="nil"/>
              <w:bottom w:val="nil"/>
              <w:right w:val="nil"/>
            </w:tcBorders>
            <w:shd w:val="clear" w:color="000000" w:fill="FFFFFF"/>
            <w:noWrap/>
            <w:vAlign w:val="bottom"/>
          </w:tcPr>
          <w:p w14:paraId="596CA5E5" w14:textId="1523691C" w:rsidR="004344BB" w:rsidRPr="00586EE3" w:rsidRDefault="004344BB" w:rsidP="004344BB">
            <w:pPr>
              <w:spacing w:after="0" w:line="240" w:lineRule="auto"/>
              <w:jc w:val="right"/>
              <w:rPr>
                <w:rFonts w:ascii="Arial" w:hAnsi="Arial" w:cs="Arial"/>
                <w:sz w:val="16"/>
                <w:szCs w:val="16"/>
              </w:rPr>
            </w:pPr>
            <w:r>
              <w:rPr>
                <w:rFonts w:ascii="Arial" w:hAnsi="Arial" w:cs="Arial"/>
                <w:sz w:val="16"/>
                <w:szCs w:val="16"/>
              </w:rPr>
              <w:t>4</w:t>
            </w:r>
          </w:p>
        </w:tc>
        <w:tc>
          <w:tcPr>
            <w:tcW w:w="1058" w:type="pct"/>
            <w:tcBorders>
              <w:top w:val="nil"/>
              <w:left w:val="nil"/>
              <w:bottom w:val="nil"/>
              <w:right w:val="nil"/>
            </w:tcBorders>
            <w:shd w:val="clear" w:color="000000" w:fill="FFFFFF"/>
            <w:noWrap/>
            <w:vAlign w:val="bottom"/>
          </w:tcPr>
          <w:p w14:paraId="38252193" w14:textId="30A44531" w:rsidR="004344BB" w:rsidRPr="00586EE3" w:rsidRDefault="004344BB" w:rsidP="0024750C">
            <w:pPr>
              <w:spacing w:after="0" w:line="240" w:lineRule="auto"/>
              <w:jc w:val="left"/>
              <w:rPr>
                <w:rFonts w:ascii="Arial" w:hAnsi="Arial" w:cs="Arial"/>
                <w:sz w:val="16"/>
                <w:szCs w:val="16"/>
              </w:rPr>
            </w:pPr>
            <w:r w:rsidRPr="00586EE3">
              <w:rPr>
                <w:rFonts w:ascii="Arial" w:hAnsi="Arial" w:cs="Arial"/>
                <w:sz w:val="16"/>
                <w:szCs w:val="16"/>
              </w:rPr>
              <w:t xml:space="preserve"> China </w:t>
            </w:r>
          </w:p>
        </w:tc>
        <w:tc>
          <w:tcPr>
            <w:tcW w:w="107" w:type="pct"/>
            <w:tcBorders>
              <w:top w:val="nil"/>
              <w:left w:val="nil"/>
              <w:bottom w:val="nil"/>
              <w:right w:val="nil"/>
            </w:tcBorders>
            <w:shd w:val="clear" w:color="000000" w:fill="FFFFFF"/>
            <w:noWrap/>
            <w:vAlign w:val="bottom"/>
          </w:tcPr>
          <w:p w14:paraId="0385E703" w14:textId="28FF4484"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tcPr>
          <w:p w14:paraId="42FC1310" w14:textId="63F43C04"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2,733 </w:t>
            </w:r>
          </w:p>
        </w:tc>
        <w:tc>
          <w:tcPr>
            <w:tcW w:w="458" w:type="pct"/>
            <w:tcBorders>
              <w:top w:val="nil"/>
              <w:left w:val="nil"/>
              <w:bottom w:val="nil"/>
              <w:right w:val="nil"/>
            </w:tcBorders>
            <w:shd w:val="clear" w:color="000000" w:fill="FFFFFF"/>
            <w:noWrap/>
            <w:vAlign w:val="bottom"/>
          </w:tcPr>
          <w:p w14:paraId="5B7436C2" w14:textId="2BAF4AE8"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645.5 </w:t>
            </w:r>
          </w:p>
        </w:tc>
        <w:tc>
          <w:tcPr>
            <w:tcW w:w="424" w:type="pct"/>
            <w:tcBorders>
              <w:top w:val="nil"/>
              <w:left w:val="nil"/>
              <w:bottom w:val="nil"/>
              <w:right w:val="nil"/>
            </w:tcBorders>
            <w:shd w:val="clear" w:color="000000" w:fill="FFFFFF"/>
            <w:noWrap/>
            <w:vAlign w:val="bottom"/>
          </w:tcPr>
          <w:p w14:paraId="1465AA8A" w14:textId="7ED97DDE"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1,901.7 </w:t>
            </w:r>
          </w:p>
        </w:tc>
        <w:tc>
          <w:tcPr>
            <w:tcW w:w="530" w:type="pct"/>
            <w:tcBorders>
              <w:top w:val="nil"/>
              <w:left w:val="nil"/>
              <w:bottom w:val="nil"/>
              <w:right w:val="nil"/>
            </w:tcBorders>
            <w:shd w:val="clear" w:color="000000" w:fill="FFFFFF"/>
            <w:noWrap/>
            <w:vAlign w:val="bottom"/>
          </w:tcPr>
          <w:p w14:paraId="1B4C1F7D" w14:textId="78BEBACF"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1,537.7 </w:t>
            </w:r>
          </w:p>
        </w:tc>
        <w:tc>
          <w:tcPr>
            <w:tcW w:w="477" w:type="pct"/>
            <w:tcBorders>
              <w:top w:val="nil"/>
              <w:left w:val="nil"/>
              <w:bottom w:val="nil"/>
              <w:right w:val="nil"/>
            </w:tcBorders>
            <w:shd w:val="clear" w:color="000000" w:fill="FFFFFF"/>
            <w:noWrap/>
            <w:vAlign w:val="bottom"/>
          </w:tcPr>
          <w:p w14:paraId="5260D075" w14:textId="48119F7E"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1,586.1 </w:t>
            </w:r>
          </w:p>
        </w:tc>
        <w:tc>
          <w:tcPr>
            <w:tcW w:w="442" w:type="pct"/>
            <w:tcBorders>
              <w:top w:val="nil"/>
              <w:left w:val="nil"/>
              <w:bottom w:val="nil"/>
              <w:right w:val="nil"/>
            </w:tcBorders>
            <w:shd w:val="clear" w:color="000000" w:fill="FFFFFF"/>
            <w:noWrap/>
            <w:vAlign w:val="bottom"/>
          </w:tcPr>
          <w:p w14:paraId="6729EE5F" w14:textId="67208E32"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6,306.0 </w:t>
            </w:r>
          </w:p>
        </w:tc>
        <w:tc>
          <w:tcPr>
            <w:tcW w:w="495" w:type="pct"/>
            <w:tcBorders>
              <w:top w:val="nil"/>
              <w:left w:val="nil"/>
              <w:bottom w:val="nil"/>
              <w:right w:val="nil"/>
            </w:tcBorders>
            <w:shd w:val="clear" w:color="000000" w:fill="FFFFFF"/>
            <w:noWrap/>
            <w:vAlign w:val="bottom"/>
          </w:tcPr>
          <w:p w14:paraId="4EAA927F" w14:textId="66FC03CE"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1,597.6 </w:t>
            </w:r>
          </w:p>
        </w:tc>
        <w:tc>
          <w:tcPr>
            <w:tcW w:w="371" w:type="pct"/>
            <w:tcBorders>
              <w:top w:val="nil"/>
              <w:left w:val="nil"/>
              <w:bottom w:val="nil"/>
              <w:right w:val="nil"/>
            </w:tcBorders>
            <w:shd w:val="clear" w:color="000000" w:fill="FFFFFF"/>
            <w:noWrap/>
            <w:vAlign w:val="bottom"/>
          </w:tcPr>
          <w:p w14:paraId="00C2DFC4" w14:textId="6D2AE866"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13,574.6</w:t>
            </w:r>
          </w:p>
        </w:tc>
      </w:tr>
      <w:tr w:rsidR="00D76ED2" w:rsidRPr="00586EE3" w14:paraId="044A0A3B" w14:textId="77777777" w:rsidTr="00CB7A07">
        <w:trPr>
          <w:trHeight w:val="255"/>
        </w:trPr>
        <w:tc>
          <w:tcPr>
            <w:tcW w:w="143" w:type="pct"/>
            <w:tcBorders>
              <w:top w:val="nil"/>
              <w:left w:val="nil"/>
              <w:bottom w:val="nil"/>
              <w:right w:val="nil"/>
            </w:tcBorders>
            <w:shd w:val="clear" w:color="000000" w:fill="FFFFFF"/>
            <w:noWrap/>
            <w:vAlign w:val="bottom"/>
            <w:hideMark/>
          </w:tcPr>
          <w:p w14:paraId="542D9241" w14:textId="6F1E78E0" w:rsidR="004344BB" w:rsidRPr="00586EE3" w:rsidRDefault="004344BB" w:rsidP="004344BB">
            <w:pPr>
              <w:spacing w:after="0" w:line="240" w:lineRule="auto"/>
              <w:jc w:val="right"/>
              <w:rPr>
                <w:rFonts w:ascii="Arial" w:hAnsi="Arial" w:cs="Arial"/>
                <w:sz w:val="16"/>
                <w:szCs w:val="16"/>
              </w:rPr>
            </w:pPr>
            <w:r>
              <w:rPr>
                <w:rFonts w:ascii="Arial" w:hAnsi="Arial" w:cs="Arial"/>
                <w:sz w:val="16"/>
                <w:szCs w:val="16"/>
              </w:rPr>
              <w:t>5</w:t>
            </w:r>
          </w:p>
        </w:tc>
        <w:tc>
          <w:tcPr>
            <w:tcW w:w="1058" w:type="pct"/>
            <w:tcBorders>
              <w:top w:val="nil"/>
              <w:left w:val="nil"/>
              <w:bottom w:val="nil"/>
              <w:right w:val="nil"/>
            </w:tcBorders>
            <w:shd w:val="clear" w:color="000000" w:fill="FFFFFF"/>
            <w:noWrap/>
            <w:vAlign w:val="bottom"/>
          </w:tcPr>
          <w:p w14:paraId="7350A01A" w14:textId="77777777" w:rsidR="004344BB" w:rsidRPr="00586EE3" w:rsidRDefault="004344BB" w:rsidP="0024750C">
            <w:pPr>
              <w:spacing w:after="0" w:line="240" w:lineRule="auto"/>
              <w:jc w:val="left"/>
              <w:rPr>
                <w:rFonts w:ascii="Arial" w:hAnsi="Arial" w:cs="Arial"/>
                <w:sz w:val="16"/>
                <w:szCs w:val="16"/>
              </w:rPr>
            </w:pPr>
            <w:r w:rsidRPr="00586EE3">
              <w:rPr>
                <w:rFonts w:ascii="Arial" w:hAnsi="Arial" w:cs="Arial"/>
                <w:sz w:val="16"/>
                <w:szCs w:val="16"/>
              </w:rPr>
              <w:t xml:space="preserve"> Germany </w:t>
            </w:r>
          </w:p>
        </w:tc>
        <w:tc>
          <w:tcPr>
            <w:tcW w:w="107" w:type="pct"/>
            <w:tcBorders>
              <w:top w:val="nil"/>
              <w:left w:val="nil"/>
              <w:bottom w:val="nil"/>
              <w:right w:val="nil"/>
            </w:tcBorders>
            <w:shd w:val="clear" w:color="000000" w:fill="FFFFFF"/>
            <w:noWrap/>
            <w:vAlign w:val="bottom"/>
          </w:tcPr>
          <w:p w14:paraId="771AF323"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tcPr>
          <w:p w14:paraId="5FEE82EB"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156 </w:t>
            </w:r>
          </w:p>
        </w:tc>
        <w:tc>
          <w:tcPr>
            <w:tcW w:w="458" w:type="pct"/>
            <w:tcBorders>
              <w:top w:val="nil"/>
              <w:left w:val="nil"/>
              <w:bottom w:val="nil"/>
              <w:right w:val="nil"/>
            </w:tcBorders>
            <w:shd w:val="clear" w:color="000000" w:fill="FFFFFF"/>
            <w:noWrap/>
            <w:vAlign w:val="bottom"/>
          </w:tcPr>
          <w:p w14:paraId="5C215F4A"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65.7 </w:t>
            </w:r>
          </w:p>
        </w:tc>
        <w:tc>
          <w:tcPr>
            <w:tcW w:w="424" w:type="pct"/>
            <w:tcBorders>
              <w:top w:val="nil"/>
              <w:left w:val="nil"/>
              <w:bottom w:val="nil"/>
              <w:right w:val="nil"/>
            </w:tcBorders>
            <w:shd w:val="clear" w:color="000000" w:fill="FFFFFF"/>
            <w:noWrap/>
            <w:vAlign w:val="bottom"/>
          </w:tcPr>
          <w:p w14:paraId="075185A2"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203.7 </w:t>
            </w:r>
          </w:p>
        </w:tc>
        <w:tc>
          <w:tcPr>
            <w:tcW w:w="530" w:type="pct"/>
            <w:tcBorders>
              <w:top w:val="nil"/>
              <w:left w:val="nil"/>
              <w:bottom w:val="nil"/>
              <w:right w:val="nil"/>
            </w:tcBorders>
            <w:shd w:val="clear" w:color="000000" w:fill="FFFFFF"/>
            <w:noWrap/>
            <w:vAlign w:val="bottom"/>
          </w:tcPr>
          <w:p w14:paraId="5D8052F8"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1,281.1 </w:t>
            </w:r>
          </w:p>
        </w:tc>
        <w:tc>
          <w:tcPr>
            <w:tcW w:w="477" w:type="pct"/>
            <w:tcBorders>
              <w:top w:val="nil"/>
              <w:left w:val="nil"/>
              <w:bottom w:val="nil"/>
              <w:right w:val="nil"/>
            </w:tcBorders>
            <w:shd w:val="clear" w:color="000000" w:fill="FFFFFF"/>
            <w:noWrap/>
            <w:vAlign w:val="bottom"/>
          </w:tcPr>
          <w:p w14:paraId="1EFBDA00"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1,081.5 </w:t>
            </w:r>
          </w:p>
        </w:tc>
        <w:tc>
          <w:tcPr>
            <w:tcW w:w="442" w:type="pct"/>
            <w:tcBorders>
              <w:top w:val="nil"/>
              <w:left w:val="nil"/>
              <w:bottom w:val="nil"/>
              <w:right w:val="nil"/>
            </w:tcBorders>
            <w:shd w:val="clear" w:color="000000" w:fill="FFFFFF"/>
            <w:noWrap/>
            <w:vAlign w:val="bottom"/>
          </w:tcPr>
          <w:p w14:paraId="3EE6E6AD"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7,572.1 </w:t>
            </w:r>
          </w:p>
        </w:tc>
        <w:tc>
          <w:tcPr>
            <w:tcW w:w="495" w:type="pct"/>
            <w:tcBorders>
              <w:top w:val="nil"/>
              <w:left w:val="nil"/>
              <w:bottom w:val="nil"/>
              <w:right w:val="nil"/>
            </w:tcBorders>
            <w:shd w:val="clear" w:color="000000" w:fill="FFFFFF"/>
            <w:noWrap/>
            <w:vAlign w:val="bottom"/>
          </w:tcPr>
          <w:p w14:paraId="3B2C48EC"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1,866.0 </w:t>
            </w:r>
          </w:p>
        </w:tc>
        <w:tc>
          <w:tcPr>
            <w:tcW w:w="371" w:type="pct"/>
            <w:tcBorders>
              <w:top w:val="nil"/>
              <w:left w:val="nil"/>
              <w:bottom w:val="nil"/>
              <w:right w:val="nil"/>
            </w:tcBorders>
            <w:shd w:val="clear" w:color="000000" w:fill="FFFFFF"/>
            <w:noWrap/>
            <w:vAlign w:val="bottom"/>
          </w:tcPr>
          <w:p w14:paraId="2CF669EA"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12,070.0</w:t>
            </w:r>
          </w:p>
        </w:tc>
      </w:tr>
      <w:tr w:rsidR="00D76ED2" w:rsidRPr="00586EE3" w14:paraId="27FDC49C" w14:textId="77777777" w:rsidTr="00CB7A07">
        <w:trPr>
          <w:trHeight w:val="255"/>
        </w:trPr>
        <w:tc>
          <w:tcPr>
            <w:tcW w:w="143" w:type="pct"/>
            <w:tcBorders>
              <w:top w:val="nil"/>
              <w:left w:val="nil"/>
              <w:bottom w:val="nil"/>
              <w:right w:val="nil"/>
            </w:tcBorders>
            <w:shd w:val="clear" w:color="000000" w:fill="FFFFFF"/>
            <w:noWrap/>
            <w:vAlign w:val="bottom"/>
            <w:hideMark/>
          </w:tcPr>
          <w:p w14:paraId="2B39448C" w14:textId="77777777" w:rsidR="004344BB" w:rsidRPr="00586EE3" w:rsidRDefault="004344BB" w:rsidP="004344BB">
            <w:pPr>
              <w:spacing w:after="0" w:line="240" w:lineRule="auto"/>
              <w:jc w:val="right"/>
              <w:rPr>
                <w:rFonts w:ascii="Arial" w:hAnsi="Arial" w:cs="Arial"/>
                <w:sz w:val="16"/>
                <w:szCs w:val="16"/>
              </w:rPr>
            </w:pPr>
            <w:r w:rsidRPr="00586EE3">
              <w:rPr>
                <w:rFonts w:ascii="Arial" w:hAnsi="Arial" w:cs="Arial"/>
                <w:sz w:val="16"/>
                <w:szCs w:val="16"/>
              </w:rPr>
              <w:t>6</w:t>
            </w:r>
          </w:p>
        </w:tc>
        <w:tc>
          <w:tcPr>
            <w:tcW w:w="1058" w:type="pct"/>
            <w:tcBorders>
              <w:top w:val="nil"/>
              <w:left w:val="nil"/>
              <w:bottom w:val="nil"/>
              <w:right w:val="nil"/>
            </w:tcBorders>
            <w:shd w:val="clear" w:color="000000" w:fill="FFFFFF"/>
            <w:noWrap/>
            <w:vAlign w:val="bottom"/>
          </w:tcPr>
          <w:p w14:paraId="4F077ECF" w14:textId="77777777" w:rsidR="004344BB" w:rsidRPr="00586EE3" w:rsidRDefault="004344BB" w:rsidP="0024750C">
            <w:pPr>
              <w:spacing w:after="0" w:line="240" w:lineRule="auto"/>
              <w:jc w:val="left"/>
              <w:rPr>
                <w:rFonts w:ascii="Arial" w:hAnsi="Arial" w:cs="Arial"/>
                <w:sz w:val="16"/>
                <w:szCs w:val="16"/>
              </w:rPr>
            </w:pPr>
            <w:r w:rsidRPr="00586EE3">
              <w:rPr>
                <w:rFonts w:ascii="Arial" w:hAnsi="Arial" w:cs="Arial"/>
                <w:sz w:val="16"/>
                <w:szCs w:val="16"/>
              </w:rPr>
              <w:t xml:space="preserve"> South Africa </w:t>
            </w:r>
          </w:p>
        </w:tc>
        <w:tc>
          <w:tcPr>
            <w:tcW w:w="107" w:type="pct"/>
            <w:tcBorders>
              <w:top w:val="nil"/>
              <w:left w:val="nil"/>
              <w:bottom w:val="nil"/>
              <w:right w:val="nil"/>
            </w:tcBorders>
            <w:shd w:val="clear" w:color="000000" w:fill="FFFFFF"/>
            <w:noWrap/>
            <w:vAlign w:val="bottom"/>
          </w:tcPr>
          <w:p w14:paraId="6D989DC5"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tcPr>
          <w:p w14:paraId="12E96EDA"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108 </w:t>
            </w:r>
          </w:p>
        </w:tc>
        <w:tc>
          <w:tcPr>
            <w:tcW w:w="458" w:type="pct"/>
            <w:tcBorders>
              <w:top w:val="nil"/>
              <w:left w:val="nil"/>
              <w:bottom w:val="nil"/>
              <w:right w:val="nil"/>
            </w:tcBorders>
            <w:shd w:val="clear" w:color="000000" w:fill="FFFFFF"/>
            <w:noWrap/>
            <w:vAlign w:val="bottom"/>
          </w:tcPr>
          <w:p w14:paraId="204E6469"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25.6 </w:t>
            </w:r>
          </w:p>
        </w:tc>
        <w:tc>
          <w:tcPr>
            <w:tcW w:w="424" w:type="pct"/>
            <w:tcBorders>
              <w:top w:val="nil"/>
              <w:left w:val="nil"/>
              <w:bottom w:val="nil"/>
              <w:right w:val="nil"/>
            </w:tcBorders>
            <w:shd w:val="clear" w:color="000000" w:fill="FFFFFF"/>
            <w:noWrap/>
            <w:vAlign w:val="bottom"/>
          </w:tcPr>
          <w:p w14:paraId="7A6EC0FF"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4.9 </w:t>
            </w:r>
          </w:p>
        </w:tc>
        <w:tc>
          <w:tcPr>
            <w:tcW w:w="530" w:type="pct"/>
            <w:tcBorders>
              <w:top w:val="nil"/>
              <w:left w:val="nil"/>
              <w:bottom w:val="nil"/>
              <w:right w:val="nil"/>
            </w:tcBorders>
            <w:shd w:val="clear" w:color="000000" w:fill="FFFFFF"/>
            <w:noWrap/>
            <w:vAlign w:val="bottom"/>
          </w:tcPr>
          <w:p w14:paraId="05EEE0F7"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2.4 </w:t>
            </w:r>
          </w:p>
        </w:tc>
        <w:tc>
          <w:tcPr>
            <w:tcW w:w="477" w:type="pct"/>
            <w:tcBorders>
              <w:top w:val="nil"/>
              <w:left w:val="nil"/>
              <w:bottom w:val="nil"/>
              <w:right w:val="nil"/>
            </w:tcBorders>
            <w:shd w:val="clear" w:color="000000" w:fill="FFFFFF"/>
            <w:noWrap/>
            <w:vAlign w:val="bottom"/>
          </w:tcPr>
          <w:p w14:paraId="38390D9E"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21.2 </w:t>
            </w:r>
          </w:p>
        </w:tc>
        <w:tc>
          <w:tcPr>
            <w:tcW w:w="442" w:type="pct"/>
            <w:tcBorders>
              <w:top w:val="nil"/>
              <w:left w:val="nil"/>
              <w:bottom w:val="nil"/>
              <w:right w:val="nil"/>
            </w:tcBorders>
            <w:shd w:val="clear" w:color="000000" w:fill="FFFFFF"/>
            <w:noWrap/>
            <w:vAlign w:val="bottom"/>
          </w:tcPr>
          <w:p w14:paraId="7FCC2E7A"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6,292.3 </w:t>
            </w:r>
          </w:p>
        </w:tc>
        <w:tc>
          <w:tcPr>
            <w:tcW w:w="495" w:type="pct"/>
            <w:tcBorders>
              <w:top w:val="nil"/>
              <w:left w:val="nil"/>
              <w:bottom w:val="nil"/>
              <w:right w:val="nil"/>
            </w:tcBorders>
            <w:shd w:val="clear" w:color="000000" w:fill="FFFFFF"/>
            <w:noWrap/>
            <w:vAlign w:val="bottom"/>
          </w:tcPr>
          <w:p w14:paraId="571FF47B"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282.8 </w:t>
            </w:r>
          </w:p>
        </w:tc>
        <w:tc>
          <w:tcPr>
            <w:tcW w:w="371" w:type="pct"/>
            <w:tcBorders>
              <w:top w:val="nil"/>
              <w:left w:val="nil"/>
              <w:bottom w:val="nil"/>
              <w:right w:val="nil"/>
            </w:tcBorders>
            <w:shd w:val="clear" w:color="000000" w:fill="FFFFFF"/>
            <w:noWrap/>
            <w:vAlign w:val="bottom"/>
          </w:tcPr>
          <w:p w14:paraId="7FF2FDC1"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6,629.2</w:t>
            </w:r>
          </w:p>
        </w:tc>
      </w:tr>
      <w:tr w:rsidR="00D76ED2" w:rsidRPr="00586EE3" w14:paraId="06A847E7" w14:textId="77777777" w:rsidTr="00CB7A07">
        <w:trPr>
          <w:trHeight w:val="255"/>
        </w:trPr>
        <w:tc>
          <w:tcPr>
            <w:tcW w:w="143" w:type="pct"/>
            <w:tcBorders>
              <w:top w:val="nil"/>
              <w:left w:val="nil"/>
              <w:bottom w:val="nil"/>
              <w:right w:val="nil"/>
            </w:tcBorders>
            <w:shd w:val="clear" w:color="000000" w:fill="FFFFFF"/>
            <w:noWrap/>
            <w:vAlign w:val="bottom"/>
            <w:hideMark/>
          </w:tcPr>
          <w:p w14:paraId="4D6C52F0" w14:textId="77777777" w:rsidR="004344BB" w:rsidRPr="00586EE3" w:rsidRDefault="004344BB" w:rsidP="004344BB">
            <w:pPr>
              <w:spacing w:after="0" w:line="240" w:lineRule="auto"/>
              <w:jc w:val="right"/>
              <w:rPr>
                <w:rFonts w:ascii="Arial" w:hAnsi="Arial" w:cs="Arial"/>
                <w:sz w:val="16"/>
                <w:szCs w:val="16"/>
              </w:rPr>
            </w:pPr>
            <w:r w:rsidRPr="00586EE3">
              <w:rPr>
                <w:rFonts w:ascii="Arial" w:hAnsi="Arial" w:cs="Arial"/>
                <w:sz w:val="16"/>
                <w:szCs w:val="16"/>
              </w:rPr>
              <w:t>7</w:t>
            </w:r>
          </w:p>
        </w:tc>
        <w:tc>
          <w:tcPr>
            <w:tcW w:w="1058" w:type="pct"/>
            <w:tcBorders>
              <w:top w:val="nil"/>
              <w:left w:val="nil"/>
              <w:bottom w:val="nil"/>
              <w:right w:val="nil"/>
            </w:tcBorders>
            <w:shd w:val="clear" w:color="000000" w:fill="FFFFFF"/>
            <w:noWrap/>
            <w:vAlign w:val="bottom"/>
          </w:tcPr>
          <w:p w14:paraId="4FB698DA" w14:textId="77777777" w:rsidR="004344BB" w:rsidRPr="00586EE3" w:rsidRDefault="004344BB" w:rsidP="0024750C">
            <w:pPr>
              <w:spacing w:after="0" w:line="240" w:lineRule="auto"/>
              <w:jc w:val="left"/>
              <w:rPr>
                <w:rFonts w:ascii="Arial" w:hAnsi="Arial" w:cs="Arial"/>
                <w:sz w:val="16"/>
                <w:szCs w:val="16"/>
              </w:rPr>
            </w:pPr>
            <w:r w:rsidRPr="00586EE3">
              <w:rPr>
                <w:rFonts w:ascii="Arial" w:hAnsi="Arial" w:cs="Arial"/>
                <w:sz w:val="16"/>
                <w:szCs w:val="16"/>
              </w:rPr>
              <w:t xml:space="preserve"> Spain </w:t>
            </w:r>
          </w:p>
        </w:tc>
        <w:tc>
          <w:tcPr>
            <w:tcW w:w="107" w:type="pct"/>
            <w:tcBorders>
              <w:top w:val="nil"/>
              <w:left w:val="nil"/>
              <w:bottom w:val="nil"/>
              <w:right w:val="nil"/>
            </w:tcBorders>
            <w:shd w:val="clear" w:color="000000" w:fill="FFFFFF"/>
            <w:noWrap/>
            <w:vAlign w:val="bottom"/>
          </w:tcPr>
          <w:p w14:paraId="2B12D0F8"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tcPr>
          <w:p w14:paraId="0BE7718B"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23 </w:t>
            </w:r>
          </w:p>
        </w:tc>
        <w:tc>
          <w:tcPr>
            <w:tcW w:w="458" w:type="pct"/>
            <w:tcBorders>
              <w:top w:val="nil"/>
              <w:left w:val="nil"/>
              <w:bottom w:val="nil"/>
              <w:right w:val="nil"/>
            </w:tcBorders>
            <w:shd w:val="clear" w:color="000000" w:fill="FFFFFF"/>
            <w:noWrap/>
            <w:vAlign w:val="bottom"/>
          </w:tcPr>
          <w:p w14:paraId="48FBA4DB" w14:textId="67128E2F"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w:t>
            </w:r>
            <w:r w:rsidR="003E7C79">
              <w:rPr>
                <w:rFonts w:ascii="Arial" w:hAnsi="Arial" w:cs="Arial"/>
                <w:sz w:val="16"/>
                <w:szCs w:val="16"/>
              </w:rPr>
              <w:t>–</w:t>
            </w:r>
            <w:r w:rsidRPr="00586EE3">
              <w:rPr>
                <w:rFonts w:ascii="Arial" w:hAnsi="Arial" w:cs="Arial"/>
                <w:sz w:val="16"/>
                <w:szCs w:val="16"/>
              </w:rPr>
              <w:t xml:space="preserve">   </w:t>
            </w:r>
          </w:p>
        </w:tc>
        <w:tc>
          <w:tcPr>
            <w:tcW w:w="424" w:type="pct"/>
            <w:tcBorders>
              <w:top w:val="nil"/>
              <w:left w:val="nil"/>
              <w:bottom w:val="nil"/>
              <w:right w:val="nil"/>
            </w:tcBorders>
            <w:shd w:val="clear" w:color="000000" w:fill="FFFFFF"/>
            <w:noWrap/>
            <w:vAlign w:val="bottom"/>
          </w:tcPr>
          <w:p w14:paraId="78F04AB5"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0.1 </w:t>
            </w:r>
          </w:p>
        </w:tc>
        <w:tc>
          <w:tcPr>
            <w:tcW w:w="530" w:type="pct"/>
            <w:tcBorders>
              <w:top w:val="nil"/>
              <w:left w:val="nil"/>
              <w:bottom w:val="nil"/>
              <w:right w:val="nil"/>
            </w:tcBorders>
            <w:shd w:val="clear" w:color="000000" w:fill="FFFFFF"/>
            <w:noWrap/>
            <w:vAlign w:val="bottom"/>
          </w:tcPr>
          <w:p w14:paraId="356F0A33"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5,083.6 </w:t>
            </w:r>
          </w:p>
        </w:tc>
        <w:tc>
          <w:tcPr>
            <w:tcW w:w="477" w:type="pct"/>
            <w:tcBorders>
              <w:top w:val="nil"/>
              <w:left w:val="nil"/>
              <w:bottom w:val="nil"/>
              <w:right w:val="nil"/>
            </w:tcBorders>
            <w:shd w:val="clear" w:color="000000" w:fill="FFFFFF"/>
            <w:noWrap/>
            <w:vAlign w:val="bottom"/>
          </w:tcPr>
          <w:p w14:paraId="7FE71785"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1,065.7 </w:t>
            </w:r>
          </w:p>
        </w:tc>
        <w:tc>
          <w:tcPr>
            <w:tcW w:w="442" w:type="pct"/>
            <w:tcBorders>
              <w:top w:val="nil"/>
              <w:left w:val="nil"/>
              <w:bottom w:val="nil"/>
              <w:right w:val="nil"/>
            </w:tcBorders>
            <w:shd w:val="clear" w:color="000000" w:fill="FFFFFF"/>
            <w:noWrap/>
            <w:vAlign w:val="bottom"/>
          </w:tcPr>
          <w:p w14:paraId="5F7E5714"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43.5 </w:t>
            </w:r>
          </w:p>
        </w:tc>
        <w:tc>
          <w:tcPr>
            <w:tcW w:w="495" w:type="pct"/>
            <w:tcBorders>
              <w:top w:val="nil"/>
              <w:left w:val="nil"/>
              <w:bottom w:val="nil"/>
              <w:right w:val="nil"/>
            </w:tcBorders>
            <w:shd w:val="clear" w:color="000000" w:fill="FFFFFF"/>
            <w:noWrap/>
            <w:vAlign w:val="bottom"/>
          </w:tcPr>
          <w:p w14:paraId="0CDF8D95"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0.1 </w:t>
            </w:r>
          </w:p>
        </w:tc>
        <w:tc>
          <w:tcPr>
            <w:tcW w:w="371" w:type="pct"/>
            <w:tcBorders>
              <w:top w:val="nil"/>
              <w:left w:val="nil"/>
              <w:bottom w:val="nil"/>
              <w:right w:val="nil"/>
            </w:tcBorders>
            <w:shd w:val="clear" w:color="000000" w:fill="FFFFFF"/>
            <w:noWrap/>
            <w:vAlign w:val="bottom"/>
          </w:tcPr>
          <w:p w14:paraId="77475582"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6,193.0</w:t>
            </w:r>
          </w:p>
        </w:tc>
      </w:tr>
      <w:tr w:rsidR="00D76ED2" w:rsidRPr="00586EE3" w14:paraId="56022FB1" w14:textId="77777777" w:rsidTr="00CB7A07">
        <w:trPr>
          <w:trHeight w:val="255"/>
        </w:trPr>
        <w:tc>
          <w:tcPr>
            <w:tcW w:w="143" w:type="pct"/>
            <w:tcBorders>
              <w:top w:val="nil"/>
              <w:left w:val="nil"/>
              <w:bottom w:val="nil"/>
              <w:right w:val="nil"/>
            </w:tcBorders>
            <w:shd w:val="clear" w:color="000000" w:fill="FFFFFF"/>
            <w:noWrap/>
            <w:vAlign w:val="bottom"/>
            <w:hideMark/>
          </w:tcPr>
          <w:p w14:paraId="00DB1D26" w14:textId="77777777" w:rsidR="004344BB" w:rsidRPr="00586EE3" w:rsidRDefault="004344BB" w:rsidP="004344BB">
            <w:pPr>
              <w:spacing w:after="0" w:line="240" w:lineRule="auto"/>
              <w:jc w:val="right"/>
              <w:rPr>
                <w:rFonts w:ascii="Arial" w:hAnsi="Arial" w:cs="Arial"/>
                <w:sz w:val="16"/>
                <w:szCs w:val="16"/>
              </w:rPr>
            </w:pPr>
            <w:r w:rsidRPr="00586EE3">
              <w:rPr>
                <w:rFonts w:ascii="Arial" w:hAnsi="Arial" w:cs="Arial"/>
                <w:sz w:val="16"/>
                <w:szCs w:val="16"/>
              </w:rPr>
              <w:t>8</w:t>
            </w:r>
          </w:p>
        </w:tc>
        <w:tc>
          <w:tcPr>
            <w:tcW w:w="1058" w:type="pct"/>
            <w:tcBorders>
              <w:top w:val="nil"/>
              <w:left w:val="nil"/>
              <w:bottom w:val="nil"/>
              <w:right w:val="nil"/>
            </w:tcBorders>
            <w:shd w:val="clear" w:color="000000" w:fill="FFFFFF"/>
            <w:noWrap/>
            <w:vAlign w:val="bottom"/>
          </w:tcPr>
          <w:p w14:paraId="70F9DF11" w14:textId="77777777" w:rsidR="004344BB" w:rsidRPr="00586EE3" w:rsidRDefault="004344BB" w:rsidP="0024750C">
            <w:pPr>
              <w:spacing w:after="0" w:line="240" w:lineRule="auto"/>
              <w:jc w:val="left"/>
              <w:rPr>
                <w:rFonts w:ascii="Arial" w:hAnsi="Arial" w:cs="Arial"/>
                <w:sz w:val="16"/>
                <w:szCs w:val="16"/>
              </w:rPr>
            </w:pPr>
            <w:r w:rsidRPr="00586EE3">
              <w:rPr>
                <w:rFonts w:ascii="Arial" w:hAnsi="Arial" w:cs="Arial"/>
                <w:sz w:val="16"/>
                <w:szCs w:val="16"/>
              </w:rPr>
              <w:t xml:space="preserve"> United Kingdom </w:t>
            </w:r>
          </w:p>
        </w:tc>
        <w:tc>
          <w:tcPr>
            <w:tcW w:w="107" w:type="pct"/>
            <w:tcBorders>
              <w:top w:val="nil"/>
              <w:left w:val="nil"/>
              <w:bottom w:val="nil"/>
              <w:right w:val="nil"/>
            </w:tcBorders>
            <w:shd w:val="clear" w:color="000000" w:fill="FFFFFF"/>
            <w:noWrap/>
            <w:vAlign w:val="bottom"/>
          </w:tcPr>
          <w:p w14:paraId="3CEF8C15"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tcPr>
          <w:p w14:paraId="4CDDDF37"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533 </w:t>
            </w:r>
          </w:p>
        </w:tc>
        <w:tc>
          <w:tcPr>
            <w:tcW w:w="458" w:type="pct"/>
            <w:tcBorders>
              <w:top w:val="nil"/>
              <w:left w:val="nil"/>
              <w:bottom w:val="nil"/>
              <w:right w:val="nil"/>
            </w:tcBorders>
            <w:shd w:val="clear" w:color="000000" w:fill="FFFFFF"/>
            <w:noWrap/>
            <w:vAlign w:val="bottom"/>
          </w:tcPr>
          <w:p w14:paraId="76C915CC"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518.8 </w:t>
            </w:r>
          </w:p>
        </w:tc>
        <w:tc>
          <w:tcPr>
            <w:tcW w:w="424" w:type="pct"/>
            <w:tcBorders>
              <w:top w:val="nil"/>
              <w:left w:val="nil"/>
              <w:bottom w:val="nil"/>
              <w:right w:val="nil"/>
            </w:tcBorders>
            <w:shd w:val="clear" w:color="000000" w:fill="FFFFFF"/>
            <w:noWrap/>
            <w:vAlign w:val="bottom"/>
          </w:tcPr>
          <w:p w14:paraId="1B5624A1"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687.7 </w:t>
            </w:r>
          </w:p>
        </w:tc>
        <w:tc>
          <w:tcPr>
            <w:tcW w:w="530" w:type="pct"/>
            <w:tcBorders>
              <w:top w:val="nil"/>
              <w:left w:val="nil"/>
              <w:bottom w:val="nil"/>
              <w:right w:val="nil"/>
            </w:tcBorders>
            <w:shd w:val="clear" w:color="000000" w:fill="FFFFFF"/>
            <w:noWrap/>
            <w:vAlign w:val="bottom"/>
          </w:tcPr>
          <w:p w14:paraId="52C7EF28"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291.1 </w:t>
            </w:r>
          </w:p>
        </w:tc>
        <w:tc>
          <w:tcPr>
            <w:tcW w:w="477" w:type="pct"/>
            <w:tcBorders>
              <w:top w:val="nil"/>
              <w:left w:val="nil"/>
              <w:bottom w:val="nil"/>
              <w:right w:val="nil"/>
            </w:tcBorders>
            <w:shd w:val="clear" w:color="000000" w:fill="FFFFFF"/>
            <w:noWrap/>
            <w:vAlign w:val="bottom"/>
          </w:tcPr>
          <w:p w14:paraId="5B2EB3FC"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596.5 </w:t>
            </w:r>
          </w:p>
        </w:tc>
        <w:tc>
          <w:tcPr>
            <w:tcW w:w="442" w:type="pct"/>
            <w:tcBorders>
              <w:top w:val="nil"/>
              <w:left w:val="nil"/>
              <w:bottom w:val="nil"/>
              <w:right w:val="nil"/>
            </w:tcBorders>
            <w:shd w:val="clear" w:color="000000" w:fill="FFFFFF"/>
            <w:noWrap/>
            <w:vAlign w:val="bottom"/>
          </w:tcPr>
          <w:p w14:paraId="29BBBE50"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2,402.6 </w:t>
            </w:r>
          </w:p>
        </w:tc>
        <w:tc>
          <w:tcPr>
            <w:tcW w:w="495" w:type="pct"/>
            <w:tcBorders>
              <w:top w:val="nil"/>
              <w:left w:val="nil"/>
              <w:bottom w:val="nil"/>
              <w:right w:val="nil"/>
            </w:tcBorders>
            <w:shd w:val="clear" w:color="000000" w:fill="FFFFFF"/>
            <w:noWrap/>
            <w:vAlign w:val="bottom"/>
          </w:tcPr>
          <w:p w14:paraId="2280CEE4"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1,191.2 </w:t>
            </w:r>
          </w:p>
        </w:tc>
        <w:tc>
          <w:tcPr>
            <w:tcW w:w="371" w:type="pct"/>
            <w:tcBorders>
              <w:top w:val="nil"/>
              <w:left w:val="nil"/>
              <w:bottom w:val="nil"/>
              <w:right w:val="nil"/>
            </w:tcBorders>
            <w:shd w:val="clear" w:color="000000" w:fill="FFFFFF"/>
            <w:noWrap/>
            <w:vAlign w:val="bottom"/>
          </w:tcPr>
          <w:p w14:paraId="428DD3C6"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5,687.9</w:t>
            </w:r>
          </w:p>
        </w:tc>
      </w:tr>
      <w:tr w:rsidR="00D76ED2" w:rsidRPr="00586EE3" w14:paraId="2DC876E9" w14:textId="77777777" w:rsidTr="00CB7A07">
        <w:trPr>
          <w:trHeight w:val="255"/>
        </w:trPr>
        <w:tc>
          <w:tcPr>
            <w:tcW w:w="143" w:type="pct"/>
            <w:tcBorders>
              <w:top w:val="nil"/>
              <w:left w:val="nil"/>
              <w:bottom w:val="nil"/>
              <w:right w:val="nil"/>
            </w:tcBorders>
            <w:shd w:val="clear" w:color="000000" w:fill="FFFFFF"/>
            <w:noWrap/>
            <w:vAlign w:val="bottom"/>
            <w:hideMark/>
          </w:tcPr>
          <w:p w14:paraId="2CEC6E32" w14:textId="77777777" w:rsidR="004344BB" w:rsidRPr="00586EE3" w:rsidRDefault="004344BB" w:rsidP="004344BB">
            <w:pPr>
              <w:spacing w:after="0" w:line="240" w:lineRule="auto"/>
              <w:jc w:val="right"/>
              <w:rPr>
                <w:rFonts w:ascii="Arial" w:hAnsi="Arial" w:cs="Arial"/>
                <w:sz w:val="16"/>
                <w:szCs w:val="16"/>
              </w:rPr>
            </w:pPr>
            <w:r w:rsidRPr="00586EE3">
              <w:rPr>
                <w:rFonts w:ascii="Arial" w:hAnsi="Arial" w:cs="Arial"/>
                <w:sz w:val="16"/>
                <w:szCs w:val="16"/>
              </w:rPr>
              <w:t>9</w:t>
            </w:r>
          </w:p>
        </w:tc>
        <w:tc>
          <w:tcPr>
            <w:tcW w:w="1058" w:type="pct"/>
            <w:tcBorders>
              <w:top w:val="nil"/>
              <w:left w:val="nil"/>
              <w:bottom w:val="nil"/>
              <w:right w:val="nil"/>
            </w:tcBorders>
            <w:shd w:val="clear" w:color="000000" w:fill="FFFFFF"/>
            <w:noWrap/>
            <w:vAlign w:val="bottom"/>
          </w:tcPr>
          <w:p w14:paraId="054C464A" w14:textId="77777777" w:rsidR="004344BB" w:rsidRPr="00586EE3" w:rsidRDefault="004344BB" w:rsidP="0024750C">
            <w:pPr>
              <w:spacing w:after="0" w:line="240" w:lineRule="auto"/>
              <w:jc w:val="left"/>
              <w:rPr>
                <w:rFonts w:ascii="Arial" w:hAnsi="Arial" w:cs="Arial"/>
                <w:sz w:val="16"/>
                <w:szCs w:val="16"/>
              </w:rPr>
            </w:pPr>
            <w:r w:rsidRPr="00586EE3">
              <w:rPr>
                <w:rFonts w:ascii="Arial" w:hAnsi="Arial" w:cs="Arial"/>
                <w:sz w:val="16"/>
                <w:szCs w:val="16"/>
              </w:rPr>
              <w:t xml:space="preserve"> Japan </w:t>
            </w:r>
          </w:p>
        </w:tc>
        <w:tc>
          <w:tcPr>
            <w:tcW w:w="107" w:type="pct"/>
            <w:tcBorders>
              <w:top w:val="nil"/>
              <w:left w:val="nil"/>
              <w:bottom w:val="nil"/>
              <w:right w:val="nil"/>
            </w:tcBorders>
            <w:shd w:val="clear" w:color="000000" w:fill="FFFFFF"/>
            <w:noWrap/>
            <w:vAlign w:val="bottom"/>
          </w:tcPr>
          <w:p w14:paraId="5A313B5B"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tcPr>
          <w:p w14:paraId="2DBEEDEC"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206 </w:t>
            </w:r>
          </w:p>
        </w:tc>
        <w:tc>
          <w:tcPr>
            <w:tcW w:w="458" w:type="pct"/>
            <w:tcBorders>
              <w:top w:val="nil"/>
              <w:left w:val="nil"/>
              <w:bottom w:val="nil"/>
              <w:right w:val="nil"/>
            </w:tcBorders>
            <w:shd w:val="clear" w:color="000000" w:fill="FFFFFF"/>
            <w:noWrap/>
            <w:vAlign w:val="bottom"/>
          </w:tcPr>
          <w:p w14:paraId="10BA44BD"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81.4 </w:t>
            </w:r>
          </w:p>
        </w:tc>
        <w:tc>
          <w:tcPr>
            <w:tcW w:w="424" w:type="pct"/>
            <w:tcBorders>
              <w:top w:val="nil"/>
              <w:left w:val="nil"/>
              <w:bottom w:val="nil"/>
              <w:right w:val="nil"/>
            </w:tcBorders>
            <w:shd w:val="clear" w:color="000000" w:fill="FFFFFF"/>
            <w:noWrap/>
            <w:vAlign w:val="bottom"/>
          </w:tcPr>
          <w:p w14:paraId="54EBBD82"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128.4 </w:t>
            </w:r>
          </w:p>
        </w:tc>
        <w:tc>
          <w:tcPr>
            <w:tcW w:w="530" w:type="pct"/>
            <w:tcBorders>
              <w:top w:val="nil"/>
              <w:left w:val="nil"/>
              <w:bottom w:val="nil"/>
              <w:right w:val="nil"/>
            </w:tcBorders>
            <w:shd w:val="clear" w:color="000000" w:fill="FFFFFF"/>
            <w:noWrap/>
            <w:vAlign w:val="bottom"/>
          </w:tcPr>
          <w:p w14:paraId="72D1FC90"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407.6 </w:t>
            </w:r>
          </w:p>
        </w:tc>
        <w:tc>
          <w:tcPr>
            <w:tcW w:w="477" w:type="pct"/>
            <w:tcBorders>
              <w:top w:val="nil"/>
              <w:left w:val="nil"/>
              <w:bottom w:val="nil"/>
              <w:right w:val="nil"/>
            </w:tcBorders>
            <w:shd w:val="clear" w:color="000000" w:fill="FFFFFF"/>
            <w:noWrap/>
            <w:vAlign w:val="bottom"/>
          </w:tcPr>
          <w:p w14:paraId="7CD3266E"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78.3 </w:t>
            </w:r>
          </w:p>
        </w:tc>
        <w:tc>
          <w:tcPr>
            <w:tcW w:w="442" w:type="pct"/>
            <w:tcBorders>
              <w:top w:val="nil"/>
              <w:left w:val="nil"/>
              <w:bottom w:val="nil"/>
              <w:right w:val="nil"/>
            </w:tcBorders>
            <w:shd w:val="clear" w:color="000000" w:fill="FFFFFF"/>
            <w:noWrap/>
            <w:vAlign w:val="bottom"/>
          </w:tcPr>
          <w:p w14:paraId="4B764F8F"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2,646.2 </w:t>
            </w:r>
          </w:p>
        </w:tc>
        <w:tc>
          <w:tcPr>
            <w:tcW w:w="495" w:type="pct"/>
            <w:tcBorders>
              <w:top w:val="nil"/>
              <w:left w:val="nil"/>
              <w:bottom w:val="nil"/>
              <w:right w:val="nil"/>
            </w:tcBorders>
            <w:shd w:val="clear" w:color="000000" w:fill="FFFFFF"/>
            <w:noWrap/>
            <w:vAlign w:val="bottom"/>
          </w:tcPr>
          <w:p w14:paraId="14D6F5B2"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1,756.7 </w:t>
            </w:r>
          </w:p>
        </w:tc>
        <w:tc>
          <w:tcPr>
            <w:tcW w:w="371" w:type="pct"/>
            <w:tcBorders>
              <w:top w:val="nil"/>
              <w:left w:val="nil"/>
              <w:bottom w:val="nil"/>
              <w:right w:val="nil"/>
            </w:tcBorders>
            <w:shd w:val="clear" w:color="000000" w:fill="FFFFFF"/>
            <w:noWrap/>
            <w:vAlign w:val="bottom"/>
          </w:tcPr>
          <w:p w14:paraId="159C71DA"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5,098.6</w:t>
            </w:r>
          </w:p>
        </w:tc>
      </w:tr>
      <w:tr w:rsidR="00D76ED2" w:rsidRPr="00586EE3" w14:paraId="08B6F64D" w14:textId="77777777" w:rsidTr="00CB7A07">
        <w:trPr>
          <w:trHeight w:val="255"/>
        </w:trPr>
        <w:tc>
          <w:tcPr>
            <w:tcW w:w="143" w:type="pct"/>
            <w:tcBorders>
              <w:top w:val="nil"/>
              <w:left w:val="nil"/>
              <w:bottom w:val="nil"/>
              <w:right w:val="nil"/>
            </w:tcBorders>
            <w:shd w:val="clear" w:color="000000" w:fill="FFFFFF"/>
            <w:noWrap/>
            <w:vAlign w:val="bottom"/>
            <w:hideMark/>
          </w:tcPr>
          <w:p w14:paraId="7E86A3C1" w14:textId="77777777" w:rsidR="004344BB" w:rsidRPr="00586EE3" w:rsidRDefault="004344BB" w:rsidP="004344BB">
            <w:pPr>
              <w:spacing w:after="0" w:line="240" w:lineRule="auto"/>
              <w:jc w:val="right"/>
              <w:rPr>
                <w:rFonts w:ascii="Arial" w:hAnsi="Arial" w:cs="Arial"/>
                <w:sz w:val="16"/>
                <w:szCs w:val="16"/>
              </w:rPr>
            </w:pPr>
            <w:r w:rsidRPr="00586EE3">
              <w:rPr>
                <w:rFonts w:ascii="Arial" w:hAnsi="Arial" w:cs="Arial"/>
                <w:sz w:val="16"/>
                <w:szCs w:val="16"/>
              </w:rPr>
              <w:t>10</w:t>
            </w:r>
          </w:p>
        </w:tc>
        <w:tc>
          <w:tcPr>
            <w:tcW w:w="1058" w:type="pct"/>
            <w:tcBorders>
              <w:top w:val="nil"/>
              <w:left w:val="nil"/>
              <w:bottom w:val="nil"/>
              <w:right w:val="nil"/>
            </w:tcBorders>
            <w:shd w:val="clear" w:color="000000" w:fill="FFFFFF"/>
            <w:noWrap/>
            <w:vAlign w:val="bottom"/>
          </w:tcPr>
          <w:p w14:paraId="0E451E86" w14:textId="77777777" w:rsidR="004344BB" w:rsidRPr="00586EE3" w:rsidRDefault="004344BB" w:rsidP="0024750C">
            <w:pPr>
              <w:spacing w:after="0" w:line="240" w:lineRule="auto"/>
              <w:jc w:val="left"/>
              <w:rPr>
                <w:rFonts w:ascii="Arial" w:hAnsi="Arial" w:cs="Arial"/>
                <w:sz w:val="16"/>
                <w:szCs w:val="16"/>
              </w:rPr>
            </w:pPr>
            <w:r w:rsidRPr="00586EE3">
              <w:rPr>
                <w:rFonts w:ascii="Arial" w:hAnsi="Arial" w:cs="Arial"/>
                <w:sz w:val="16"/>
                <w:szCs w:val="16"/>
              </w:rPr>
              <w:t xml:space="preserve"> Korea, Republic of (South Korea) </w:t>
            </w:r>
          </w:p>
        </w:tc>
        <w:tc>
          <w:tcPr>
            <w:tcW w:w="107" w:type="pct"/>
            <w:tcBorders>
              <w:top w:val="nil"/>
              <w:left w:val="nil"/>
              <w:bottom w:val="nil"/>
              <w:right w:val="nil"/>
            </w:tcBorders>
            <w:shd w:val="clear" w:color="000000" w:fill="FFFFFF"/>
            <w:noWrap/>
            <w:vAlign w:val="bottom"/>
          </w:tcPr>
          <w:p w14:paraId="0CB0B474"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tcPr>
          <w:p w14:paraId="72077B56"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159 </w:t>
            </w:r>
          </w:p>
        </w:tc>
        <w:tc>
          <w:tcPr>
            <w:tcW w:w="458" w:type="pct"/>
            <w:tcBorders>
              <w:top w:val="nil"/>
              <w:left w:val="nil"/>
              <w:bottom w:val="nil"/>
              <w:right w:val="nil"/>
            </w:tcBorders>
            <w:shd w:val="clear" w:color="000000" w:fill="FFFFFF"/>
            <w:noWrap/>
            <w:vAlign w:val="bottom"/>
          </w:tcPr>
          <w:p w14:paraId="24139119"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177.7 </w:t>
            </w:r>
          </w:p>
        </w:tc>
        <w:tc>
          <w:tcPr>
            <w:tcW w:w="424" w:type="pct"/>
            <w:tcBorders>
              <w:top w:val="nil"/>
              <w:left w:val="nil"/>
              <w:bottom w:val="nil"/>
              <w:right w:val="nil"/>
            </w:tcBorders>
            <w:shd w:val="clear" w:color="000000" w:fill="FFFFFF"/>
            <w:noWrap/>
            <w:vAlign w:val="bottom"/>
          </w:tcPr>
          <w:p w14:paraId="1DB2337E"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571.8 </w:t>
            </w:r>
          </w:p>
        </w:tc>
        <w:tc>
          <w:tcPr>
            <w:tcW w:w="530" w:type="pct"/>
            <w:tcBorders>
              <w:top w:val="nil"/>
              <w:left w:val="nil"/>
              <w:bottom w:val="nil"/>
              <w:right w:val="nil"/>
            </w:tcBorders>
            <w:shd w:val="clear" w:color="000000" w:fill="FFFFFF"/>
            <w:noWrap/>
            <w:vAlign w:val="bottom"/>
          </w:tcPr>
          <w:p w14:paraId="586E2038"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1,083.4 </w:t>
            </w:r>
          </w:p>
        </w:tc>
        <w:tc>
          <w:tcPr>
            <w:tcW w:w="477" w:type="pct"/>
            <w:tcBorders>
              <w:top w:val="nil"/>
              <w:left w:val="nil"/>
              <w:bottom w:val="nil"/>
              <w:right w:val="nil"/>
            </w:tcBorders>
            <w:shd w:val="clear" w:color="000000" w:fill="FFFFFF"/>
            <w:noWrap/>
            <w:vAlign w:val="bottom"/>
          </w:tcPr>
          <w:p w14:paraId="13D6EE12"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609.2 </w:t>
            </w:r>
          </w:p>
        </w:tc>
        <w:tc>
          <w:tcPr>
            <w:tcW w:w="442" w:type="pct"/>
            <w:tcBorders>
              <w:top w:val="nil"/>
              <w:left w:val="nil"/>
              <w:bottom w:val="nil"/>
              <w:right w:val="nil"/>
            </w:tcBorders>
            <w:shd w:val="clear" w:color="000000" w:fill="FFFFFF"/>
            <w:noWrap/>
            <w:vAlign w:val="bottom"/>
          </w:tcPr>
          <w:p w14:paraId="3777E754"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907.3 </w:t>
            </w:r>
          </w:p>
        </w:tc>
        <w:tc>
          <w:tcPr>
            <w:tcW w:w="495" w:type="pct"/>
            <w:tcBorders>
              <w:top w:val="nil"/>
              <w:left w:val="nil"/>
              <w:bottom w:val="nil"/>
              <w:right w:val="nil"/>
            </w:tcBorders>
            <w:shd w:val="clear" w:color="000000" w:fill="FFFFFF"/>
            <w:noWrap/>
            <w:vAlign w:val="bottom"/>
          </w:tcPr>
          <w:p w14:paraId="0DF2639A"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1,350.6 </w:t>
            </w:r>
          </w:p>
        </w:tc>
        <w:tc>
          <w:tcPr>
            <w:tcW w:w="371" w:type="pct"/>
            <w:tcBorders>
              <w:top w:val="nil"/>
              <w:left w:val="nil"/>
              <w:bottom w:val="nil"/>
              <w:right w:val="nil"/>
            </w:tcBorders>
            <w:shd w:val="clear" w:color="000000" w:fill="FFFFFF"/>
            <w:noWrap/>
            <w:vAlign w:val="bottom"/>
          </w:tcPr>
          <w:p w14:paraId="26E3B582"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4,700.1</w:t>
            </w:r>
          </w:p>
        </w:tc>
      </w:tr>
      <w:tr w:rsidR="00D76ED2" w:rsidRPr="00586EE3" w14:paraId="560DEC20" w14:textId="77777777" w:rsidTr="00CB7A07">
        <w:trPr>
          <w:trHeight w:val="255"/>
        </w:trPr>
        <w:tc>
          <w:tcPr>
            <w:tcW w:w="143" w:type="pct"/>
            <w:tcBorders>
              <w:top w:val="nil"/>
              <w:left w:val="nil"/>
              <w:bottom w:val="nil"/>
              <w:right w:val="nil"/>
            </w:tcBorders>
            <w:shd w:val="clear" w:color="000000" w:fill="FFFFFF"/>
            <w:noWrap/>
            <w:vAlign w:val="bottom"/>
            <w:hideMark/>
          </w:tcPr>
          <w:p w14:paraId="6E1392AE" w14:textId="77777777" w:rsidR="004344BB" w:rsidRPr="00586EE3" w:rsidRDefault="004344BB" w:rsidP="004344BB">
            <w:pPr>
              <w:spacing w:after="0" w:line="240" w:lineRule="auto"/>
              <w:jc w:val="right"/>
              <w:rPr>
                <w:rFonts w:ascii="Arial" w:hAnsi="Arial" w:cs="Arial"/>
                <w:sz w:val="16"/>
                <w:szCs w:val="16"/>
              </w:rPr>
            </w:pPr>
            <w:r w:rsidRPr="00586EE3">
              <w:rPr>
                <w:rFonts w:ascii="Arial" w:hAnsi="Arial" w:cs="Arial"/>
                <w:sz w:val="16"/>
                <w:szCs w:val="16"/>
              </w:rPr>
              <w:t>11</w:t>
            </w:r>
          </w:p>
        </w:tc>
        <w:tc>
          <w:tcPr>
            <w:tcW w:w="1058" w:type="pct"/>
            <w:tcBorders>
              <w:top w:val="nil"/>
              <w:left w:val="nil"/>
              <w:bottom w:val="nil"/>
              <w:right w:val="nil"/>
            </w:tcBorders>
            <w:shd w:val="clear" w:color="000000" w:fill="FFFFFF"/>
            <w:noWrap/>
            <w:vAlign w:val="bottom"/>
          </w:tcPr>
          <w:p w14:paraId="7FEF0B94" w14:textId="77777777" w:rsidR="004344BB" w:rsidRPr="00586EE3" w:rsidRDefault="004344BB" w:rsidP="0024750C">
            <w:pPr>
              <w:spacing w:after="0" w:line="240" w:lineRule="auto"/>
              <w:jc w:val="left"/>
              <w:rPr>
                <w:rFonts w:ascii="Arial" w:hAnsi="Arial" w:cs="Arial"/>
                <w:sz w:val="16"/>
                <w:szCs w:val="16"/>
              </w:rPr>
            </w:pPr>
            <w:r w:rsidRPr="00586EE3">
              <w:rPr>
                <w:rFonts w:ascii="Arial" w:hAnsi="Arial" w:cs="Arial"/>
                <w:sz w:val="16"/>
                <w:szCs w:val="16"/>
              </w:rPr>
              <w:t xml:space="preserve"> Netherlands </w:t>
            </w:r>
          </w:p>
        </w:tc>
        <w:tc>
          <w:tcPr>
            <w:tcW w:w="107" w:type="pct"/>
            <w:tcBorders>
              <w:top w:val="nil"/>
              <w:left w:val="nil"/>
              <w:bottom w:val="nil"/>
              <w:right w:val="nil"/>
            </w:tcBorders>
            <w:shd w:val="clear" w:color="000000" w:fill="FFFFFF"/>
            <w:noWrap/>
            <w:vAlign w:val="bottom"/>
          </w:tcPr>
          <w:p w14:paraId="109C1C0A"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tcPr>
          <w:p w14:paraId="4FEC5511"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148 </w:t>
            </w:r>
          </w:p>
        </w:tc>
        <w:tc>
          <w:tcPr>
            <w:tcW w:w="458" w:type="pct"/>
            <w:tcBorders>
              <w:top w:val="nil"/>
              <w:left w:val="nil"/>
              <w:bottom w:val="nil"/>
              <w:right w:val="nil"/>
            </w:tcBorders>
            <w:shd w:val="clear" w:color="000000" w:fill="FFFFFF"/>
            <w:noWrap/>
            <w:vAlign w:val="bottom"/>
          </w:tcPr>
          <w:p w14:paraId="3888582D"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292.2 </w:t>
            </w:r>
          </w:p>
        </w:tc>
        <w:tc>
          <w:tcPr>
            <w:tcW w:w="424" w:type="pct"/>
            <w:tcBorders>
              <w:top w:val="nil"/>
              <w:left w:val="nil"/>
              <w:bottom w:val="nil"/>
              <w:right w:val="nil"/>
            </w:tcBorders>
            <w:shd w:val="clear" w:color="000000" w:fill="FFFFFF"/>
            <w:noWrap/>
            <w:vAlign w:val="bottom"/>
          </w:tcPr>
          <w:p w14:paraId="61AB7882"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131.1 </w:t>
            </w:r>
          </w:p>
        </w:tc>
        <w:tc>
          <w:tcPr>
            <w:tcW w:w="530" w:type="pct"/>
            <w:tcBorders>
              <w:top w:val="nil"/>
              <w:left w:val="nil"/>
              <w:bottom w:val="nil"/>
              <w:right w:val="nil"/>
            </w:tcBorders>
            <w:shd w:val="clear" w:color="000000" w:fill="FFFFFF"/>
            <w:noWrap/>
            <w:vAlign w:val="bottom"/>
          </w:tcPr>
          <w:p w14:paraId="0A3AFBFB"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297.0 </w:t>
            </w:r>
          </w:p>
        </w:tc>
        <w:tc>
          <w:tcPr>
            <w:tcW w:w="477" w:type="pct"/>
            <w:tcBorders>
              <w:top w:val="nil"/>
              <w:left w:val="nil"/>
              <w:bottom w:val="nil"/>
              <w:right w:val="nil"/>
            </w:tcBorders>
            <w:shd w:val="clear" w:color="000000" w:fill="FFFFFF"/>
            <w:noWrap/>
            <w:vAlign w:val="bottom"/>
          </w:tcPr>
          <w:p w14:paraId="13E17D1D"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0.2 </w:t>
            </w:r>
          </w:p>
        </w:tc>
        <w:tc>
          <w:tcPr>
            <w:tcW w:w="442" w:type="pct"/>
            <w:tcBorders>
              <w:top w:val="nil"/>
              <w:left w:val="nil"/>
              <w:bottom w:val="nil"/>
              <w:right w:val="nil"/>
            </w:tcBorders>
            <w:shd w:val="clear" w:color="000000" w:fill="FFFFFF"/>
            <w:noWrap/>
            <w:vAlign w:val="bottom"/>
          </w:tcPr>
          <w:p w14:paraId="4C898C77"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2,575.8 </w:t>
            </w:r>
          </w:p>
        </w:tc>
        <w:tc>
          <w:tcPr>
            <w:tcW w:w="495" w:type="pct"/>
            <w:tcBorders>
              <w:top w:val="nil"/>
              <w:left w:val="nil"/>
              <w:bottom w:val="nil"/>
              <w:right w:val="nil"/>
            </w:tcBorders>
            <w:shd w:val="clear" w:color="000000" w:fill="FFFFFF"/>
            <w:noWrap/>
            <w:vAlign w:val="bottom"/>
          </w:tcPr>
          <w:p w14:paraId="53DE7D48"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387.5 </w:t>
            </w:r>
          </w:p>
        </w:tc>
        <w:tc>
          <w:tcPr>
            <w:tcW w:w="371" w:type="pct"/>
            <w:tcBorders>
              <w:top w:val="nil"/>
              <w:left w:val="nil"/>
              <w:bottom w:val="nil"/>
              <w:right w:val="nil"/>
            </w:tcBorders>
            <w:shd w:val="clear" w:color="000000" w:fill="FFFFFF"/>
            <w:noWrap/>
            <w:vAlign w:val="bottom"/>
          </w:tcPr>
          <w:p w14:paraId="19791B02"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3,683.8</w:t>
            </w:r>
          </w:p>
        </w:tc>
      </w:tr>
      <w:tr w:rsidR="00D76ED2" w:rsidRPr="00586EE3" w14:paraId="3F57BA91" w14:textId="77777777" w:rsidTr="00CB7A07">
        <w:trPr>
          <w:trHeight w:val="255"/>
        </w:trPr>
        <w:tc>
          <w:tcPr>
            <w:tcW w:w="143" w:type="pct"/>
            <w:tcBorders>
              <w:top w:val="nil"/>
              <w:left w:val="nil"/>
              <w:bottom w:val="nil"/>
              <w:right w:val="nil"/>
            </w:tcBorders>
            <w:shd w:val="clear" w:color="000000" w:fill="FFFFFF"/>
            <w:noWrap/>
            <w:vAlign w:val="bottom"/>
            <w:hideMark/>
          </w:tcPr>
          <w:p w14:paraId="6F285DA4" w14:textId="77777777" w:rsidR="004344BB" w:rsidRPr="00586EE3" w:rsidRDefault="004344BB" w:rsidP="004344BB">
            <w:pPr>
              <w:spacing w:after="0" w:line="240" w:lineRule="auto"/>
              <w:jc w:val="right"/>
              <w:rPr>
                <w:rFonts w:ascii="Arial" w:hAnsi="Arial" w:cs="Arial"/>
                <w:sz w:val="16"/>
                <w:szCs w:val="16"/>
              </w:rPr>
            </w:pPr>
            <w:r w:rsidRPr="00586EE3">
              <w:rPr>
                <w:rFonts w:ascii="Arial" w:hAnsi="Arial" w:cs="Arial"/>
                <w:sz w:val="16"/>
                <w:szCs w:val="16"/>
              </w:rPr>
              <w:t>12</w:t>
            </w:r>
          </w:p>
        </w:tc>
        <w:tc>
          <w:tcPr>
            <w:tcW w:w="1058" w:type="pct"/>
            <w:tcBorders>
              <w:top w:val="nil"/>
              <w:left w:val="nil"/>
              <w:bottom w:val="nil"/>
              <w:right w:val="nil"/>
            </w:tcBorders>
            <w:shd w:val="clear" w:color="000000" w:fill="FFFFFF"/>
            <w:noWrap/>
            <w:vAlign w:val="bottom"/>
          </w:tcPr>
          <w:p w14:paraId="7A9D4A7F" w14:textId="77777777" w:rsidR="004344BB" w:rsidRPr="00586EE3" w:rsidRDefault="004344BB" w:rsidP="0024750C">
            <w:pPr>
              <w:spacing w:after="0" w:line="240" w:lineRule="auto"/>
              <w:jc w:val="left"/>
              <w:rPr>
                <w:rFonts w:ascii="Arial" w:hAnsi="Arial" w:cs="Arial"/>
                <w:sz w:val="16"/>
                <w:szCs w:val="16"/>
              </w:rPr>
            </w:pPr>
            <w:r w:rsidRPr="00586EE3">
              <w:rPr>
                <w:rFonts w:ascii="Arial" w:hAnsi="Arial" w:cs="Arial"/>
                <w:sz w:val="16"/>
                <w:szCs w:val="16"/>
              </w:rPr>
              <w:t xml:space="preserve"> United Arab Emirates </w:t>
            </w:r>
          </w:p>
        </w:tc>
        <w:tc>
          <w:tcPr>
            <w:tcW w:w="107" w:type="pct"/>
            <w:tcBorders>
              <w:top w:val="nil"/>
              <w:left w:val="nil"/>
              <w:bottom w:val="nil"/>
              <w:right w:val="nil"/>
            </w:tcBorders>
            <w:shd w:val="clear" w:color="000000" w:fill="FFFFFF"/>
            <w:noWrap/>
            <w:vAlign w:val="bottom"/>
          </w:tcPr>
          <w:p w14:paraId="7F3FD5F4"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tcPr>
          <w:p w14:paraId="4F000087"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149 </w:t>
            </w:r>
          </w:p>
        </w:tc>
        <w:tc>
          <w:tcPr>
            <w:tcW w:w="458" w:type="pct"/>
            <w:tcBorders>
              <w:top w:val="nil"/>
              <w:left w:val="nil"/>
              <w:bottom w:val="nil"/>
              <w:right w:val="nil"/>
            </w:tcBorders>
            <w:shd w:val="clear" w:color="000000" w:fill="FFFFFF"/>
            <w:noWrap/>
            <w:vAlign w:val="bottom"/>
          </w:tcPr>
          <w:p w14:paraId="4E2123DE"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17.7 </w:t>
            </w:r>
          </w:p>
        </w:tc>
        <w:tc>
          <w:tcPr>
            <w:tcW w:w="424" w:type="pct"/>
            <w:tcBorders>
              <w:top w:val="nil"/>
              <w:left w:val="nil"/>
              <w:bottom w:val="nil"/>
              <w:right w:val="nil"/>
            </w:tcBorders>
            <w:shd w:val="clear" w:color="000000" w:fill="FFFFFF"/>
            <w:noWrap/>
            <w:vAlign w:val="bottom"/>
          </w:tcPr>
          <w:p w14:paraId="6869D9E8"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2.4 </w:t>
            </w:r>
          </w:p>
        </w:tc>
        <w:tc>
          <w:tcPr>
            <w:tcW w:w="530" w:type="pct"/>
            <w:tcBorders>
              <w:top w:val="nil"/>
              <w:left w:val="nil"/>
              <w:bottom w:val="nil"/>
              <w:right w:val="nil"/>
            </w:tcBorders>
            <w:shd w:val="clear" w:color="000000" w:fill="FFFFFF"/>
            <w:noWrap/>
            <w:vAlign w:val="bottom"/>
          </w:tcPr>
          <w:p w14:paraId="3FD98674"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1,322.3 </w:t>
            </w:r>
          </w:p>
        </w:tc>
        <w:tc>
          <w:tcPr>
            <w:tcW w:w="477" w:type="pct"/>
            <w:tcBorders>
              <w:top w:val="nil"/>
              <w:left w:val="nil"/>
              <w:bottom w:val="nil"/>
              <w:right w:val="nil"/>
            </w:tcBorders>
            <w:shd w:val="clear" w:color="000000" w:fill="FFFFFF"/>
            <w:noWrap/>
            <w:vAlign w:val="bottom"/>
          </w:tcPr>
          <w:p w14:paraId="1707DC92"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3.4 </w:t>
            </w:r>
          </w:p>
        </w:tc>
        <w:tc>
          <w:tcPr>
            <w:tcW w:w="442" w:type="pct"/>
            <w:tcBorders>
              <w:top w:val="nil"/>
              <w:left w:val="nil"/>
              <w:bottom w:val="nil"/>
              <w:right w:val="nil"/>
            </w:tcBorders>
            <w:shd w:val="clear" w:color="000000" w:fill="FFFFFF"/>
            <w:noWrap/>
            <w:vAlign w:val="bottom"/>
          </w:tcPr>
          <w:p w14:paraId="23A58B02"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567.1 </w:t>
            </w:r>
          </w:p>
        </w:tc>
        <w:tc>
          <w:tcPr>
            <w:tcW w:w="495" w:type="pct"/>
            <w:tcBorders>
              <w:top w:val="nil"/>
              <w:left w:val="nil"/>
              <w:bottom w:val="nil"/>
              <w:right w:val="nil"/>
            </w:tcBorders>
            <w:shd w:val="clear" w:color="000000" w:fill="FFFFFF"/>
            <w:noWrap/>
            <w:vAlign w:val="bottom"/>
          </w:tcPr>
          <w:p w14:paraId="20D28786"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1,557.7 </w:t>
            </w:r>
          </w:p>
        </w:tc>
        <w:tc>
          <w:tcPr>
            <w:tcW w:w="371" w:type="pct"/>
            <w:tcBorders>
              <w:top w:val="nil"/>
              <w:left w:val="nil"/>
              <w:bottom w:val="nil"/>
              <w:right w:val="nil"/>
            </w:tcBorders>
            <w:shd w:val="clear" w:color="000000" w:fill="FFFFFF"/>
            <w:noWrap/>
            <w:vAlign w:val="bottom"/>
          </w:tcPr>
          <w:p w14:paraId="47A5D135"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3,470.5</w:t>
            </w:r>
          </w:p>
        </w:tc>
      </w:tr>
      <w:tr w:rsidR="00D76ED2" w:rsidRPr="00586EE3" w14:paraId="4C49F118" w14:textId="77777777" w:rsidTr="00CB7A07">
        <w:trPr>
          <w:trHeight w:val="255"/>
        </w:trPr>
        <w:tc>
          <w:tcPr>
            <w:tcW w:w="143" w:type="pct"/>
            <w:tcBorders>
              <w:top w:val="nil"/>
              <w:left w:val="nil"/>
              <w:bottom w:val="nil"/>
              <w:right w:val="nil"/>
            </w:tcBorders>
            <w:shd w:val="clear" w:color="000000" w:fill="FFFFFF"/>
            <w:noWrap/>
            <w:vAlign w:val="bottom"/>
            <w:hideMark/>
          </w:tcPr>
          <w:p w14:paraId="239D1E20" w14:textId="77777777" w:rsidR="004344BB" w:rsidRPr="00586EE3" w:rsidRDefault="004344BB" w:rsidP="004344BB">
            <w:pPr>
              <w:spacing w:after="0" w:line="240" w:lineRule="auto"/>
              <w:jc w:val="right"/>
              <w:rPr>
                <w:rFonts w:ascii="Arial" w:hAnsi="Arial" w:cs="Arial"/>
                <w:sz w:val="16"/>
                <w:szCs w:val="16"/>
              </w:rPr>
            </w:pPr>
            <w:r w:rsidRPr="00586EE3">
              <w:rPr>
                <w:rFonts w:ascii="Arial" w:hAnsi="Arial" w:cs="Arial"/>
                <w:sz w:val="16"/>
                <w:szCs w:val="16"/>
              </w:rPr>
              <w:t>13</w:t>
            </w:r>
          </w:p>
        </w:tc>
        <w:tc>
          <w:tcPr>
            <w:tcW w:w="1058" w:type="pct"/>
            <w:tcBorders>
              <w:top w:val="nil"/>
              <w:left w:val="nil"/>
              <w:bottom w:val="nil"/>
              <w:right w:val="nil"/>
            </w:tcBorders>
            <w:shd w:val="clear" w:color="000000" w:fill="FFFFFF"/>
            <w:noWrap/>
            <w:vAlign w:val="bottom"/>
          </w:tcPr>
          <w:p w14:paraId="5D99761C" w14:textId="77777777" w:rsidR="004344BB" w:rsidRPr="00586EE3" w:rsidRDefault="004344BB" w:rsidP="0024750C">
            <w:pPr>
              <w:spacing w:after="0" w:line="240" w:lineRule="auto"/>
              <w:jc w:val="left"/>
              <w:rPr>
                <w:rFonts w:ascii="Arial" w:hAnsi="Arial" w:cs="Arial"/>
                <w:sz w:val="16"/>
                <w:szCs w:val="16"/>
              </w:rPr>
            </w:pPr>
            <w:r w:rsidRPr="00586EE3">
              <w:rPr>
                <w:rFonts w:ascii="Arial" w:hAnsi="Arial" w:cs="Arial"/>
                <w:sz w:val="16"/>
                <w:szCs w:val="16"/>
              </w:rPr>
              <w:t xml:space="preserve"> France </w:t>
            </w:r>
          </w:p>
        </w:tc>
        <w:tc>
          <w:tcPr>
            <w:tcW w:w="107" w:type="pct"/>
            <w:tcBorders>
              <w:top w:val="nil"/>
              <w:left w:val="nil"/>
              <w:bottom w:val="nil"/>
              <w:right w:val="nil"/>
            </w:tcBorders>
            <w:shd w:val="clear" w:color="000000" w:fill="FFFFFF"/>
            <w:noWrap/>
            <w:vAlign w:val="bottom"/>
          </w:tcPr>
          <w:p w14:paraId="6354EAC2"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tcPr>
          <w:p w14:paraId="4BBF0578"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107 </w:t>
            </w:r>
          </w:p>
        </w:tc>
        <w:tc>
          <w:tcPr>
            <w:tcW w:w="458" w:type="pct"/>
            <w:tcBorders>
              <w:top w:val="nil"/>
              <w:left w:val="nil"/>
              <w:bottom w:val="nil"/>
              <w:right w:val="nil"/>
            </w:tcBorders>
            <w:shd w:val="clear" w:color="000000" w:fill="FFFFFF"/>
            <w:noWrap/>
            <w:vAlign w:val="bottom"/>
          </w:tcPr>
          <w:p w14:paraId="7A41A322"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16.8 </w:t>
            </w:r>
          </w:p>
        </w:tc>
        <w:tc>
          <w:tcPr>
            <w:tcW w:w="424" w:type="pct"/>
            <w:tcBorders>
              <w:top w:val="nil"/>
              <w:left w:val="nil"/>
              <w:bottom w:val="nil"/>
              <w:right w:val="nil"/>
            </w:tcBorders>
            <w:shd w:val="clear" w:color="000000" w:fill="FFFFFF"/>
            <w:noWrap/>
            <w:vAlign w:val="bottom"/>
          </w:tcPr>
          <w:p w14:paraId="431C47B0"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410.8 </w:t>
            </w:r>
          </w:p>
        </w:tc>
        <w:tc>
          <w:tcPr>
            <w:tcW w:w="530" w:type="pct"/>
            <w:tcBorders>
              <w:top w:val="nil"/>
              <w:left w:val="nil"/>
              <w:bottom w:val="nil"/>
              <w:right w:val="nil"/>
            </w:tcBorders>
            <w:shd w:val="clear" w:color="000000" w:fill="FFFFFF"/>
            <w:noWrap/>
            <w:vAlign w:val="bottom"/>
          </w:tcPr>
          <w:p w14:paraId="2EF6F9FD"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675.1 </w:t>
            </w:r>
          </w:p>
        </w:tc>
        <w:tc>
          <w:tcPr>
            <w:tcW w:w="477" w:type="pct"/>
            <w:tcBorders>
              <w:top w:val="nil"/>
              <w:left w:val="nil"/>
              <w:bottom w:val="nil"/>
              <w:right w:val="nil"/>
            </w:tcBorders>
            <w:shd w:val="clear" w:color="000000" w:fill="FFFFFF"/>
            <w:noWrap/>
            <w:vAlign w:val="bottom"/>
          </w:tcPr>
          <w:p w14:paraId="53E12A96"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2.9 </w:t>
            </w:r>
          </w:p>
        </w:tc>
        <w:tc>
          <w:tcPr>
            <w:tcW w:w="442" w:type="pct"/>
            <w:tcBorders>
              <w:top w:val="nil"/>
              <w:left w:val="nil"/>
              <w:bottom w:val="nil"/>
              <w:right w:val="nil"/>
            </w:tcBorders>
            <w:shd w:val="clear" w:color="000000" w:fill="FFFFFF"/>
            <w:noWrap/>
            <w:vAlign w:val="bottom"/>
          </w:tcPr>
          <w:p w14:paraId="002BA7DE"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654.4 </w:t>
            </w:r>
          </w:p>
        </w:tc>
        <w:tc>
          <w:tcPr>
            <w:tcW w:w="495" w:type="pct"/>
            <w:tcBorders>
              <w:top w:val="nil"/>
              <w:left w:val="nil"/>
              <w:bottom w:val="nil"/>
              <w:right w:val="nil"/>
            </w:tcBorders>
            <w:shd w:val="clear" w:color="000000" w:fill="FFFFFF"/>
            <w:noWrap/>
            <w:vAlign w:val="bottom"/>
          </w:tcPr>
          <w:p w14:paraId="25D3AE4A"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1,266.1 </w:t>
            </w:r>
          </w:p>
        </w:tc>
        <w:tc>
          <w:tcPr>
            <w:tcW w:w="371" w:type="pct"/>
            <w:tcBorders>
              <w:top w:val="nil"/>
              <w:left w:val="nil"/>
              <w:bottom w:val="nil"/>
              <w:right w:val="nil"/>
            </w:tcBorders>
            <w:shd w:val="clear" w:color="000000" w:fill="FFFFFF"/>
            <w:noWrap/>
            <w:vAlign w:val="bottom"/>
          </w:tcPr>
          <w:p w14:paraId="44D22107"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3,026.0</w:t>
            </w:r>
          </w:p>
        </w:tc>
      </w:tr>
      <w:tr w:rsidR="00D76ED2" w:rsidRPr="00586EE3" w14:paraId="4F7D02DE" w14:textId="77777777" w:rsidTr="00CB7A07">
        <w:trPr>
          <w:trHeight w:val="255"/>
        </w:trPr>
        <w:tc>
          <w:tcPr>
            <w:tcW w:w="143" w:type="pct"/>
            <w:tcBorders>
              <w:top w:val="nil"/>
              <w:left w:val="nil"/>
              <w:bottom w:val="nil"/>
              <w:right w:val="nil"/>
            </w:tcBorders>
            <w:shd w:val="clear" w:color="000000" w:fill="FFFFFF"/>
            <w:noWrap/>
            <w:vAlign w:val="bottom"/>
            <w:hideMark/>
          </w:tcPr>
          <w:p w14:paraId="4BB3009B" w14:textId="77777777" w:rsidR="004344BB" w:rsidRPr="00586EE3" w:rsidRDefault="004344BB" w:rsidP="004344BB">
            <w:pPr>
              <w:spacing w:after="0" w:line="240" w:lineRule="auto"/>
              <w:jc w:val="right"/>
              <w:rPr>
                <w:rFonts w:ascii="Arial" w:hAnsi="Arial" w:cs="Arial"/>
                <w:sz w:val="16"/>
                <w:szCs w:val="16"/>
              </w:rPr>
            </w:pPr>
            <w:r w:rsidRPr="00586EE3">
              <w:rPr>
                <w:rFonts w:ascii="Arial" w:hAnsi="Arial" w:cs="Arial"/>
                <w:sz w:val="16"/>
                <w:szCs w:val="16"/>
              </w:rPr>
              <w:t>14</w:t>
            </w:r>
          </w:p>
        </w:tc>
        <w:tc>
          <w:tcPr>
            <w:tcW w:w="1058" w:type="pct"/>
            <w:tcBorders>
              <w:top w:val="nil"/>
              <w:left w:val="nil"/>
              <w:bottom w:val="nil"/>
              <w:right w:val="nil"/>
            </w:tcBorders>
            <w:shd w:val="clear" w:color="000000" w:fill="FFFFFF"/>
            <w:noWrap/>
            <w:vAlign w:val="bottom"/>
          </w:tcPr>
          <w:p w14:paraId="2D2B20D0" w14:textId="77777777" w:rsidR="004344BB" w:rsidRPr="00586EE3" w:rsidRDefault="004344BB" w:rsidP="0024750C">
            <w:pPr>
              <w:spacing w:after="0" w:line="240" w:lineRule="auto"/>
              <w:jc w:val="left"/>
              <w:rPr>
                <w:rFonts w:ascii="Arial" w:hAnsi="Arial" w:cs="Arial"/>
                <w:sz w:val="16"/>
                <w:szCs w:val="16"/>
              </w:rPr>
            </w:pPr>
            <w:r w:rsidRPr="00586EE3">
              <w:rPr>
                <w:rFonts w:ascii="Arial" w:hAnsi="Arial" w:cs="Arial"/>
                <w:sz w:val="16"/>
                <w:szCs w:val="16"/>
              </w:rPr>
              <w:t xml:space="preserve"> Cayman Islands </w:t>
            </w:r>
          </w:p>
        </w:tc>
        <w:tc>
          <w:tcPr>
            <w:tcW w:w="107" w:type="pct"/>
            <w:tcBorders>
              <w:top w:val="nil"/>
              <w:left w:val="nil"/>
              <w:bottom w:val="nil"/>
              <w:right w:val="nil"/>
            </w:tcBorders>
            <w:shd w:val="clear" w:color="000000" w:fill="FFFFFF"/>
            <w:noWrap/>
            <w:vAlign w:val="bottom"/>
          </w:tcPr>
          <w:p w14:paraId="6A96919E"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tcPr>
          <w:p w14:paraId="2D5D543C"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71 </w:t>
            </w:r>
          </w:p>
        </w:tc>
        <w:tc>
          <w:tcPr>
            <w:tcW w:w="458" w:type="pct"/>
            <w:tcBorders>
              <w:top w:val="nil"/>
              <w:left w:val="nil"/>
              <w:bottom w:val="nil"/>
              <w:right w:val="nil"/>
            </w:tcBorders>
            <w:shd w:val="clear" w:color="000000" w:fill="FFFFFF"/>
            <w:noWrap/>
            <w:vAlign w:val="bottom"/>
          </w:tcPr>
          <w:p w14:paraId="7075429B"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24.1 </w:t>
            </w:r>
          </w:p>
        </w:tc>
        <w:tc>
          <w:tcPr>
            <w:tcW w:w="424" w:type="pct"/>
            <w:tcBorders>
              <w:top w:val="nil"/>
              <w:left w:val="nil"/>
              <w:bottom w:val="nil"/>
              <w:right w:val="nil"/>
            </w:tcBorders>
            <w:shd w:val="clear" w:color="000000" w:fill="FFFFFF"/>
            <w:noWrap/>
            <w:vAlign w:val="bottom"/>
          </w:tcPr>
          <w:p w14:paraId="5D893914"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32.9 </w:t>
            </w:r>
          </w:p>
        </w:tc>
        <w:tc>
          <w:tcPr>
            <w:tcW w:w="530" w:type="pct"/>
            <w:tcBorders>
              <w:top w:val="nil"/>
              <w:left w:val="nil"/>
              <w:bottom w:val="nil"/>
              <w:right w:val="nil"/>
            </w:tcBorders>
            <w:shd w:val="clear" w:color="000000" w:fill="FFFFFF"/>
            <w:noWrap/>
            <w:vAlign w:val="bottom"/>
          </w:tcPr>
          <w:p w14:paraId="745FAF5F"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422.2 </w:t>
            </w:r>
          </w:p>
        </w:tc>
        <w:tc>
          <w:tcPr>
            <w:tcW w:w="477" w:type="pct"/>
            <w:tcBorders>
              <w:top w:val="nil"/>
              <w:left w:val="nil"/>
              <w:bottom w:val="nil"/>
              <w:right w:val="nil"/>
            </w:tcBorders>
            <w:shd w:val="clear" w:color="000000" w:fill="FFFFFF"/>
            <w:noWrap/>
            <w:vAlign w:val="bottom"/>
          </w:tcPr>
          <w:p w14:paraId="15D7BA10"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1,330.0 </w:t>
            </w:r>
          </w:p>
        </w:tc>
        <w:tc>
          <w:tcPr>
            <w:tcW w:w="442" w:type="pct"/>
            <w:tcBorders>
              <w:top w:val="nil"/>
              <w:left w:val="nil"/>
              <w:bottom w:val="nil"/>
              <w:right w:val="nil"/>
            </w:tcBorders>
            <w:shd w:val="clear" w:color="000000" w:fill="FFFFFF"/>
            <w:noWrap/>
            <w:vAlign w:val="bottom"/>
          </w:tcPr>
          <w:p w14:paraId="1009B6AE"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221.0 </w:t>
            </w:r>
          </w:p>
        </w:tc>
        <w:tc>
          <w:tcPr>
            <w:tcW w:w="495" w:type="pct"/>
            <w:tcBorders>
              <w:top w:val="nil"/>
              <w:left w:val="nil"/>
              <w:bottom w:val="nil"/>
              <w:right w:val="nil"/>
            </w:tcBorders>
            <w:shd w:val="clear" w:color="000000" w:fill="FFFFFF"/>
            <w:noWrap/>
            <w:vAlign w:val="bottom"/>
          </w:tcPr>
          <w:p w14:paraId="5FB1F3E5"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444.7 </w:t>
            </w:r>
          </w:p>
        </w:tc>
        <w:tc>
          <w:tcPr>
            <w:tcW w:w="371" w:type="pct"/>
            <w:tcBorders>
              <w:top w:val="nil"/>
              <w:left w:val="nil"/>
              <w:bottom w:val="nil"/>
              <w:right w:val="nil"/>
            </w:tcBorders>
            <w:shd w:val="clear" w:color="000000" w:fill="FFFFFF"/>
            <w:noWrap/>
            <w:vAlign w:val="bottom"/>
          </w:tcPr>
          <w:p w14:paraId="48E68B5B"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2,474.9</w:t>
            </w:r>
          </w:p>
        </w:tc>
      </w:tr>
      <w:tr w:rsidR="00D76ED2" w:rsidRPr="00586EE3" w14:paraId="73B7DBC6" w14:textId="77777777" w:rsidTr="00CB7A07">
        <w:trPr>
          <w:trHeight w:val="255"/>
        </w:trPr>
        <w:tc>
          <w:tcPr>
            <w:tcW w:w="143" w:type="pct"/>
            <w:tcBorders>
              <w:top w:val="nil"/>
              <w:left w:val="nil"/>
              <w:bottom w:val="nil"/>
              <w:right w:val="nil"/>
            </w:tcBorders>
            <w:shd w:val="clear" w:color="000000" w:fill="FFFFFF"/>
            <w:noWrap/>
            <w:vAlign w:val="bottom"/>
            <w:hideMark/>
          </w:tcPr>
          <w:p w14:paraId="09E3CC34" w14:textId="77777777" w:rsidR="004344BB" w:rsidRPr="00586EE3" w:rsidRDefault="004344BB" w:rsidP="004344BB">
            <w:pPr>
              <w:spacing w:after="0" w:line="240" w:lineRule="auto"/>
              <w:jc w:val="right"/>
              <w:rPr>
                <w:rFonts w:ascii="Arial" w:hAnsi="Arial" w:cs="Arial"/>
                <w:sz w:val="16"/>
                <w:szCs w:val="16"/>
              </w:rPr>
            </w:pPr>
            <w:r w:rsidRPr="00586EE3">
              <w:rPr>
                <w:rFonts w:ascii="Arial" w:hAnsi="Arial" w:cs="Arial"/>
                <w:sz w:val="16"/>
                <w:szCs w:val="16"/>
              </w:rPr>
              <w:t>15</w:t>
            </w:r>
          </w:p>
        </w:tc>
        <w:tc>
          <w:tcPr>
            <w:tcW w:w="1058" w:type="pct"/>
            <w:tcBorders>
              <w:top w:val="nil"/>
              <w:left w:val="nil"/>
              <w:bottom w:val="nil"/>
              <w:right w:val="nil"/>
            </w:tcBorders>
            <w:shd w:val="clear" w:color="000000" w:fill="FFFFFF"/>
            <w:noWrap/>
            <w:vAlign w:val="bottom"/>
          </w:tcPr>
          <w:p w14:paraId="031D9A4C" w14:textId="77777777" w:rsidR="004344BB" w:rsidRPr="00586EE3" w:rsidRDefault="004344BB" w:rsidP="0024750C">
            <w:pPr>
              <w:spacing w:after="0" w:line="240" w:lineRule="auto"/>
              <w:jc w:val="left"/>
              <w:rPr>
                <w:rFonts w:ascii="Arial" w:hAnsi="Arial" w:cs="Arial"/>
                <w:sz w:val="16"/>
                <w:szCs w:val="16"/>
              </w:rPr>
            </w:pPr>
            <w:r w:rsidRPr="00586EE3">
              <w:rPr>
                <w:rFonts w:ascii="Arial" w:hAnsi="Arial" w:cs="Arial"/>
                <w:sz w:val="16"/>
                <w:szCs w:val="16"/>
              </w:rPr>
              <w:t xml:space="preserve"> Sweden </w:t>
            </w:r>
          </w:p>
        </w:tc>
        <w:tc>
          <w:tcPr>
            <w:tcW w:w="107" w:type="pct"/>
            <w:tcBorders>
              <w:top w:val="nil"/>
              <w:left w:val="nil"/>
              <w:bottom w:val="nil"/>
              <w:right w:val="nil"/>
            </w:tcBorders>
            <w:shd w:val="clear" w:color="000000" w:fill="FFFFFF"/>
            <w:noWrap/>
            <w:vAlign w:val="bottom"/>
          </w:tcPr>
          <w:p w14:paraId="21B4F9F4"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tcPr>
          <w:p w14:paraId="36E5BCCB"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47 </w:t>
            </w:r>
          </w:p>
        </w:tc>
        <w:tc>
          <w:tcPr>
            <w:tcW w:w="458" w:type="pct"/>
            <w:tcBorders>
              <w:top w:val="nil"/>
              <w:left w:val="nil"/>
              <w:bottom w:val="nil"/>
              <w:right w:val="nil"/>
            </w:tcBorders>
            <w:shd w:val="clear" w:color="000000" w:fill="FFFFFF"/>
            <w:noWrap/>
            <w:vAlign w:val="bottom"/>
          </w:tcPr>
          <w:p w14:paraId="2688763D"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2.3 </w:t>
            </w:r>
          </w:p>
        </w:tc>
        <w:tc>
          <w:tcPr>
            <w:tcW w:w="424" w:type="pct"/>
            <w:tcBorders>
              <w:top w:val="nil"/>
              <w:left w:val="nil"/>
              <w:bottom w:val="nil"/>
              <w:right w:val="nil"/>
            </w:tcBorders>
            <w:shd w:val="clear" w:color="000000" w:fill="FFFFFF"/>
            <w:noWrap/>
            <w:vAlign w:val="bottom"/>
          </w:tcPr>
          <w:p w14:paraId="5C2CC85E"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1.2 </w:t>
            </w:r>
          </w:p>
        </w:tc>
        <w:tc>
          <w:tcPr>
            <w:tcW w:w="530" w:type="pct"/>
            <w:tcBorders>
              <w:top w:val="nil"/>
              <w:left w:val="nil"/>
              <w:bottom w:val="nil"/>
              <w:right w:val="nil"/>
            </w:tcBorders>
            <w:shd w:val="clear" w:color="000000" w:fill="FFFFFF"/>
            <w:noWrap/>
            <w:vAlign w:val="bottom"/>
          </w:tcPr>
          <w:p w14:paraId="3D0F9F8E"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719.2 </w:t>
            </w:r>
          </w:p>
        </w:tc>
        <w:tc>
          <w:tcPr>
            <w:tcW w:w="477" w:type="pct"/>
            <w:tcBorders>
              <w:top w:val="nil"/>
              <w:left w:val="nil"/>
              <w:bottom w:val="nil"/>
              <w:right w:val="nil"/>
            </w:tcBorders>
            <w:shd w:val="clear" w:color="000000" w:fill="FFFFFF"/>
            <w:noWrap/>
            <w:vAlign w:val="bottom"/>
          </w:tcPr>
          <w:p w14:paraId="1B68E986"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695.0 </w:t>
            </w:r>
          </w:p>
        </w:tc>
        <w:tc>
          <w:tcPr>
            <w:tcW w:w="442" w:type="pct"/>
            <w:tcBorders>
              <w:top w:val="nil"/>
              <w:left w:val="nil"/>
              <w:bottom w:val="nil"/>
              <w:right w:val="nil"/>
            </w:tcBorders>
            <w:shd w:val="clear" w:color="000000" w:fill="FFFFFF"/>
            <w:noWrap/>
            <w:vAlign w:val="bottom"/>
          </w:tcPr>
          <w:p w14:paraId="22D3727A"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84.4 </w:t>
            </w:r>
          </w:p>
        </w:tc>
        <w:tc>
          <w:tcPr>
            <w:tcW w:w="495" w:type="pct"/>
            <w:tcBorders>
              <w:top w:val="nil"/>
              <w:left w:val="nil"/>
              <w:bottom w:val="nil"/>
              <w:right w:val="nil"/>
            </w:tcBorders>
            <w:shd w:val="clear" w:color="000000" w:fill="FFFFFF"/>
            <w:noWrap/>
            <w:vAlign w:val="bottom"/>
          </w:tcPr>
          <w:p w14:paraId="24DB8006"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473.4 </w:t>
            </w:r>
          </w:p>
        </w:tc>
        <w:tc>
          <w:tcPr>
            <w:tcW w:w="371" w:type="pct"/>
            <w:tcBorders>
              <w:top w:val="nil"/>
              <w:left w:val="nil"/>
              <w:bottom w:val="nil"/>
              <w:right w:val="nil"/>
            </w:tcBorders>
            <w:shd w:val="clear" w:color="000000" w:fill="FFFFFF"/>
            <w:noWrap/>
            <w:vAlign w:val="bottom"/>
          </w:tcPr>
          <w:p w14:paraId="13CB2785"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1,975.6</w:t>
            </w:r>
          </w:p>
        </w:tc>
      </w:tr>
      <w:tr w:rsidR="00D76ED2" w:rsidRPr="00586EE3" w14:paraId="58E5A99F" w14:textId="77777777" w:rsidTr="00CB7A07">
        <w:trPr>
          <w:trHeight w:val="255"/>
        </w:trPr>
        <w:tc>
          <w:tcPr>
            <w:tcW w:w="143" w:type="pct"/>
            <w:tcBorders>
              <w:top w:val="nil"/>
              <w:left w:val="nil"/>
              <w:bottom w:val="nil"/>
              <w:right w:val="nil"/>
            </w:tcBorders>
            <w:shd w:val="clear" w:color="000000" w:fill="FFFFFF"/>
            <w:noWrap/>
            <w:vAlign w:val="bottom"/>
          </w:tcPr>
          <w:p w14:paraId="23340E87" w14:textId="089E523F" w:rsidR="004344BB" w:rsidRPr="00586EE3" w:rsidRDefault="004344BB" w:rsidP="004344BB">
            <w:pPr>
              <w:spacing w:after="0" w:line="240" w:lineRule="auto"/>
              <w:jc w:val="right"/>
              <w:rPr>
                <w:rFonts w:ascii="Arial" w:hAnsi="Arial" w:cs="Arial"/>
                <w:sz w:val="16"/>
                <w:szCs w:val="16"/>
              </w:rPr>
            </w:pPr>
            <w:r w:rsidRPr="00586EE3">
              <w:rPr>
                <w:rFonts w:ascii="Arial" w:hAnsi="Arial" w:cs="Arial"/>
                <w:sz w:val="16"/>
                <w:szCs w:val="16"/>
              </w:rPr>
              <w:t>1</w:t>
            </w:r>
            <w:r>
              <w:rPr>
                <w:rFonts w:ascii="Arial" w:hAnsi="Arial" w:cs="Arial"/>
                <w:sz w:val="16"/>
                <w:szCs w:val="16"/>
              </w:rPr>
              <w:t>6</w:t>
            </w:r>
          </w:p>
        </w:tc>
        <w:tc>
          <w:tcPr>
            <w:tcW w:w="1058" w:type="pct"/>
            <w:tcBorders>
              <w:top w:val="nil"/>
              <w:left w:val="nil"/>
              <w:bottom w:val="nil"/>
              <w:right w:val="nil"/>
            </w:tcBorders>
            <w:shd w:val="clear" w:color="000000" w:fill="FFFFFF"/>
            <w:noWrap/>
            <w:vAlign w:val="bottom"/>
          </w:tcPr>
          <w:p w14:paraId="1F1E057F" w14:textId="07D662E8" w:rsidR="004344BB" w:rsidRPr="00586EE3" w:rsidRDefault="004344BB" w:rsidP="0024750C">
            <w:pPr>
              <w:spacing w:after="0" w:line="240" w:lineRule="auto"/>
              <w:jc w:val="left"/>
              <w:rPr>
                <w:rFonts w:ascii="Arial" w:hAnsi="Arial" w:cs="Arial"/>
                <w:sz w:val="16"/>
                <w:szCs w:val="16"/>
              </w:rPr>
            </w:pPr>
            <w:r w:rsidRPr="00586EE3">
              <w:rPr>
                <w:rFonts w:ascii="Arial" w:hAnsi="Arial" w:cs="Arial"/>
                <w:sz w:val="16"/>
                <w:szCs w:val="16"/>
              </w:rPr>
              <w:t xml:space="preserve"> New Zealand </w:t>
            </w:r>
          </w:p>
        </w:tc>
        <w:tc>
          <w:tcPr>
            <w:tcW w:w="107" w:type="pct"/>
            <w:tcBorders>
              <w:top w:val="nil"/>
              <w:left w:val="nil"/>
              <w:bottom w:val="nil"/>
              <w:right w:val="nil"/>
            </w:tcBorders>
            <w:shd w:val="clear" w:color="000000" w:fill="FFFFFF"/>
            <w:noWrap/>
          </w:tcPr>
          <w:p w14:paraId="5DC5924E" w14:textId="469D0F82"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tcPr>
          <w:p w14:paraId="7F8AAAE0" w14:textId="1268D508"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81 </w:t>
            </w:r>
          </w:p>
        </w:tc>
        <w:tc>
          <w:tcPr>
            <w:tcW w:w="458" w:type="pct"/>
            <w:tcBorders>
              <w:top w:val="nil"/>
              <w:left w:val="nil"/>
              <w:bottom w:val="nil"/>
              <w:right w:val="nil"/>
            </w:tcBorders>
            <w:shd w:val="clear" w:color="000000" w:fill="FFFFFF"/>
            <w:noWrap/>
            <w:vAlign w:val="bottom"/>
          </w:tcPr>
          <w:p w14:paraId="05CA4CD6" w14:textId="5AC14F79"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6.5 </w:t>
            </w:r>
          </w:p>
        </w:tc>
        <w:tc>
          <w:tcPr>
            <w:tcW w:w="424" w:type="pct"/>
            <w:tcBorders>
              <w:top w:val="nil"/>
              <w:left w:val="nil"/>
              <w:bottom w:val="nil"/>
              <w:right w:val="nil"/>
            </w:tcBorders>
            <w:shd w:val="clear" w:color="000000" w:fill="FFFFFF"/>
            <w:noWrap/>
            <w:vAlign w:val="bottom"/>
          </w:tcPr>
          <w:p w14:paraId="3CF27227" w14:textId="4512BE4E"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2.6 </w:t>
            </w:r>
          </w:p>
        </w:tc>
        <w:tc>
          <w:tcPr>
            <w:tcW w:w="530" w:type="pct"/>
            <w:tcBorders>
              <w:top w:val="nil"/>
              <w:left w:val="nil"/>
              <w:bottom w:val="nil"/>
              <w:right w:val="nil"/>
            </w:tcBorders>
            <w:shd w:val="clear" w:color="000000" w:fill="FFFFFF"/>
            <w:noWrap/>
            <w:vAlign w:val="bottom"/>
          </w:tcPr>
          <w:p w14:paraId="3C1215CA" w14:textId="7B1B9F02"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100.1 </w:t>
            </w:r>
          </w:p>
        </w:tc>
        <w:tc>
          <w:tcPr>
            <w:tcW w:w="477" w:type="pct"/>
            <w:tcBorders>
              <w:top w:val="nil"/>
              <w:left w:val="nil"/>
              <w:bottom w:val="nil"/>
              <w:right w:val="nil"/>
            </w:tcBorders>
            <w:shd w:val="clear" w:color="000000" w:fill="FFFFFF"/>
            <w:noWrap/>
            <w:vAlign w:val="bottom"/>
          </w:tcPr>
          <w:p w14:paraId="1CDAB523" w14:textId="6DB00669"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325.0 </w:t>
            </w:r>
          </w:p>
        </w:tc>
        <w:tc>
          <w:tcPr>
            <w:tcW w:w="442" w:type="pct"/>
            <w:tcBorders>
              <w:top w:val="nil"/>
              <w:left w:val="nil"/>
              <w:bottom w:val="nil"/>
              <w:right w:val="nil"/>
            </w:tcBorders>
            <w:shd w:val="clear" w:color="000000" w:fill="FFFFFF"/>
            <w:noWrap/>
            <w:vAlign w:val="bottom"/>
          </w:tcPr>
          <w:p w14:paraId="0D63AF86" w14:textId="14F2DF8F"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441.8 </w:t>
            </w:r>
          </w:p>
        </w:tc>
        <w:tc>
          <w:tcPr>
            <w:tcW w:w="495" w:type="pct"/>
            <w:tcBorders>
              <w:top w:val="nil"/>
              <w:left w:val="nil"/>
              <w:bottom w:val="nil"/>
              <w:right w:val="nil"/>
            </w:tcBorders>
            <w:shd w:val="clear" w:color="000000" w:fill="FFFFFF"/>
            <w:noWrap/>
            <w:vAlign w:val="bottom"/>
          </w:tcPr>
          <w:p w14:paraId="445156CF" w14:textId="44773CB4"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980.5 </w:t>
            </w:r>
          </w:p>
        </w:tc>
        <w:tc>
          <w:tcPr>
            <w:tcW w:w="371" w:type="pct"/>
            <w:tcBorders>
              <w:top w:val="nil"/>
              <w:left w:val="nil"/>
              <w:bottom w:val="nil"/>
              <w:right w:val="nil"/>
            </w:tcBorders>
            <w:shd w:val="clear" w:color="000000" w:fill="FFFFFF"/>
            <w:noWrap/>
            <w:vAlign w:val="bottom"/>
          </w:tcPr>
          <w:p w14:paraId="7F7C26B3" w14:textId="2D60915F"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1,856.5</w:t>
            </w:r>
          </w:p>
        </w:tc>
      </w:tr>
      <w:tr w:rsidR="00D76ED2" w:rsidRPr="00586EE3" w14:paraId="045EC17A" w14:textId="77777777" w:rsidTr="00CB7A07">
        <w:trPr>
          <w:trHeight w:val="255"/>
        </w:trPr>
        <w:tc>
          <w:tcPr>
            <w:tcW w:w="143" w:type="pct"/>
            <w:tcBorders>
              <w:top w:val="nil"/>
              <w:left w:val="nil"/>
              <w:bottom w:val="nil"/>
              <w:right w:val="nil"/>
            </w:tcBorders>
            <w:shd w:val="clear" w:color="000000" w:fill="FFFFFF"/>
            <w:noWrap/>
            <w:vAlign w:val="bottom"/>
          </w:tcPr>
          <w:p w14:paraId="6F773F8D" w14:textId="24A8D99B" w:rsidR="004344BB" w:rsidRPr="00586EE3" w:rsidRDefault="004344BB" w:rsidP="004344BB">
            <w:pPr>
              <w:spacing w:after="0" w:line="240" w:lineRule="auto"/>
              <w:jc w:val="center"/>
              <w:rPr>
                <w:rFonts w:ascii="Arial" w:hAnsi="Arial" w:cs="Arial"/>
                <w:sz w:val="16"/>
                <w:szCs w:val="16"/>
              </w:rPr>
            </w:pPr>
            <w:r w:rsidRPr="00586EE3">
              <w:rPr>
                <w:rFonts w:ascii="Arial" w:hAnsi="Arial" w:cs="Arial"/>
                <w:sz w:val="16"/>
                <w:szCs w:val="16"/>
              </w:rPr>
              <w:t>1</w:t>
            </w:r>
            <w:r>
              <w:rPr>
                <w:rFonts w:ascii="Arial" w:hAnsi="Arial" w:cs="Arial"/>
                <w:sz w:val="16"/>
                <w:szCs w:val="16"/>
              </w:rPr>
              <w:t>7</w:t>
            </w:r>
          </w:p>
        </w:tc>
        <w:tc>
          <w:tcPr>
            <w:tcW w:w="1058" w:type="pct"/>
            <w:tcBorders>
              <w:top w:val="nil"/>
              <w:left w:val="nil"/>
              <w:bottom w:val="nil"/>
              <w:right w:val="nil"/>
            </w:tcBorders>
            <w:shd w:val="clear" w:color="000000" w:fill="FFFFFF"/>
            <w:noWrap/>
            <w:vAlign w:val="bottom"/>
          </w:tcPr>
          <w:p w14:paraId="4CCDF18B" w14:textId="1EA942D3" w:rsidR="004344BB" w:rsidRPr="00586EE3" w:rsidRDefault="004344BB" w:rsidP="0024750C">
            <w:pPr>
              <w:spacing w:after="0" w:line="240" w:lineRule="auto"/>
              <w:jc w:val="left"/>
              <w:rPr>
                <w:rFonts w:ascii="Arial" w:hAnsi="Arial" w:cs="Arial"/>
                <w:sz w:val="16"/>
                <w:szCs w:val="16"/>
              </w:rPr>
            </w:pPr>
            <w:r>
              <w:rPr>
                <w:rFonts w:ascii="Arial" w:hAnsi="Arial" w:cs="Arial"/>
                <w:sz w:val="16"/>
                <w:szCs w:val="16"/>
              </w:rPr>
              <w:t xml:space="preserve"> Hong Kong </w:t>
            </w:r>
          </w:p>
        </w:tc>
        <w:tc>
          <w:tcPr>
            <w:tcW w:w="107" w:type="pct"/>
            <w:tcBorders>
              <w:top w:val="nil"/>
              <w:left w:val="nil"/>
              <w:bottom w:val="nil"/>
              <w:right w:val="nil"/>
            </w:tcBorders>
            <w:shd w:val="clear" w:color="000000" w:fill="FFFFFF"/>
            <w:noWrap/>
            <w:vAlign w:val="bottom"/>
          </w:tcPr>
          <w:p w14:paraId="13B83BF0" w14:textId="77777777" w:rsidR="004344BB" w:rsidRPr="00586EE3" w:rsidRDefault="004344BB" w:rsidP="004344BB">
            <w:pPr>
              <w:spacing w:after="0" w:line="240" w:lineRule="auto"/>
              <w:rPr>
                <w:rFonts w:ascii="Arial" w:hAnsi="Arial" w:cs="Arial"/>
                <w:sz w:val="16"/>
                <w:szCs w:val="16"/>
              </w:rPr>
            </w:pPr>
            <w:r>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tcPr>
          <w:p w14:paraId="1DE022E2" w14:textId="577A42B1" w:rsidR="004344BB" w:rsidRPr="00586EE3" w:rsidRDefault="004344BB" w:rsidP="0024750C">
            <w:pPr>
              <w:spacing w:after="0" w:line="240" w:lineRule="auto"/>
              <w:jc w:val="right"/>
              <w:rPr>
                <w:rFonts w:ascii="Arial" w:hAnsi="Arial" w:cs="Arial"/>
                <w:sz w:val="16"/>
                <w:szCs w:val="16"/>
              </w:rPr>
            </w:pPr>
            <w:r>
              <w:rPr>
                <w:rFonts w:ascii="Arial" w:hAnsi="Arial" w:cs="Arial"/>
                <w:sz w:val="16"/>
                <w:szCs w:val="16"/>
              </w:rPr>
              <w:t xml:space="preserve">               651 </w:t>
            </w:r>
          </w:p>
        </w:tc>
        <w:tc>
          <w:tcPr>
            <w:tcW w:w="458" w:type="pct"/>
            <w:tcBorders>
              <w:top w:val="nil"/>
              <w:left w:val="nil"/>
              <w:bottom w:val="nil"/>
              <w:right w:val="nil"/>
            </w:tcBorders>
            <w:shd w:val="clear" w:color="000000" w:fill="FFFFFF"/>
            <w:noWrap/>
            <w:vAlign w:val="bottom"/>
          </w:tcPr>
          <w:p w14:paraId="3AA6F086" w14:textId="085D574C" w:rsidR="004344BB" w:rsidRPr="00586EE3" w:rsidRDefault="004344BB" w:rsidP="0024750C">
            <w:pPr>
              <w:spacing w:after="0" w:line="240" w:lineRule="auto"/>
              <w:jc w:val="right"/>
              <w:rPr>
                <w:rFonts w:ascii="Arial" w:hAnsi="Arial" w:cs="Arial"/>
                <w:sz w:val="16"/>
                <w:szCs w:val="16"/>
              </w:rPr>
            </w:pPr>
            <w:r>
              <w:rPr>
                <w:rFonts w:ascii="Arial" w:hAnsi="Arial" w:cs="Arial"/>
                <w:sz w:val="16"/>
                <w:szCs w:val="16"/>
              </w:rPr>
              <w:t xml:space="preserve">              76.8 </w:t>
            </w:r>
          </w:p>
        </w:tc>
        <w:tc>
          <w:tcPr>
            <w:tcW w:w="424" w:type="pct"/>
            <w:tcBorders>
              <w:top w:val="nil"/>
              <w:left w:val="nil"/>
              <w:bottom w:val="nil"/>
              <w:right w:val="nil"/>
            </w:tcBorders>
            <w:shd w:val="clear" w:color="000000" w:fill="FFFFFF"/>
            <w:noWrap/>
            <w:vAlign w:val="bottom"/>
          </w:tcPr>
          <w:p w14:paraId="316615E7" w14:textId="7FEAADA9" w:rsidR="004344BB" w:rsidRPr="00586EE3" w:rsidRDefault="004344BB" w:rsidP="0024750C">
            <w:pPr>
              <w:spacing w:after="0" w:line="240" w:lineRule="auto"/>
              <w:jc w:val="right"/>
              <w:rPr>
                <w:rFonts w:ascii="Arial" w:hAnsi="Arial" w:cs="Arial"/>
                <w:sz w:val="16"/>
                <w:szCs w:val="16"/>
              </w:rPr>
            </w:pPr>
            <w:r>
              <w:rPr>
                <w:rFonts w:ascii="Arial" w:hAnsi="Arial" w:cs="Arial"/>
                <w:sz w:val="16"/>
                <w:szCs w:val="16"/>
              </w:rPr>
              <w:t xml:space="preserve">              2.5 </w:t>
            </w:r>
          </w:p>
        </w:tc>
        <w:tc>
          <w:tcPr>
            <w:tcW w:w="530" w:type="pct"/>
            <w:tcBorders>
              <w:top w:val="nil"/>
              <w:left w:val="nil"/>
              <w:bottom w:val="nil"/>
              <w:right w:val="nil"/>
            </w:tcBorders>
            <w:shd w:val="clear" w:color="000000" w:fill="FFFFFF"/>
            <w:noWrap/>
            <w:vAlign w:val="bottom"/>
          </w:tcPr>
          <w:p w14:paraId="346314DD" w14:textId="69152F4B" w:rsidR="004344BB" w:rsidRPr="00586EE3" w:rsidRDefault="004344BB" w:rsidP="0024750C">
            <w:pPr>
              <w:spacing w:after="0" w:line="240" w:lineRule="auto"/>
              <w:jc w:val="right"/>
              <w:rPr>
                <w:rFonts w:ascii="Arial" w:hAnsi="Arial" w:cs="Arial"/>
                <w:sz w:val="16"/>
                <w:szCs w:val="16"/>
              </w:rPr>
            </w:pPr>
            <w:r>
              <w:rPr>
                <w:rFonts w:ascii="Arial" w:hAnsi="Arial" w:cs="Arial"/>
                <w:sz w:val="16"/>
                <w:szCs w:val="16"/>
              </w:rPr>
              <w:t xml:space="preserve">                  39.7 </w:t>
            </w:r>
          </w:p>
        </w:tc>
        <w:tc>
          <w:tcPr>
            <w:tcW w:w="477" w:type="pct"/>
            <w:tcBorders>
              <w:top w:val="nil"/>
              <w:left w:val="nil"/>
              <w:bottom w:val="nil"/>
              <w:right w:val="nil"/>
            </w:tcBorders>
            <w:shd w:val="clear" w:color="000000" w:fill="FFFFFF"/>
            <w:noWrap/>
            <w:vAlign w:val="bottom"/>
          </w:tcPr>
          <w:p w14:paraId="582422DF" w14:textId="6CC436AC" w:rsidR="004344BB" w:rsidRPr="00586EE3" w:rsidRDefault="004344BB" w:rsidP="0024750C">
            <w:pPr>
              <w:spacing w:after="0" w:line="240" w:lineRule="auto"/>
              <w:jc w:val="right"/>
              <w:rPr>
                <w:rFonts w:ascii="Arial" w:hAnsi="Arial" w:cs="Arial"/>
                <w:sz w:val="16"/>
                <w:szCs w:val="16"/>
              </w:rPr>
            </w:pPr>
            <w:r>
              <w:rPr>
                <w:rFonts w:ascii="Arial" w:hAnsi="Arial" w:cs="Arial"/>
                <w:sz w:val="16"/>
                <w:szCs w:val="16"/>
              </w:rPr>
              <w:t xml:space="preserve">               20.3 </w:t>
            </w:r>
          </w:p>
        </w:tc>
        <w:tc>
          <w:tcPr>
            <w:tcW w:w="442" w:type="pct"/>
            <w:tcBorders>
              <w:top w:val="nil"/>
              <w:left w:val="nil"/>
              <w:bottom w:val="nil"/>
              <w:right w:val="nil"/>
            </w:tcBorders>
            <w:shd w:val="clear" w:color="000000" w:fill="FFFFFF"/>
            <w:noWrap/>
            <w:vAlign w:val="bottom"/>
          </w:tcPr>
          <w:p w14:paraId="7D5AB4E0" w14:textId="3E7249F0" w:rsidR="004344BB" w:rsidRPr="00586EE3" w:rsidRDefault="004344BB" w:rsidP="0024750C">
            <w:pPr>
              <w:spacing w:after="0" w:line="240" w:lineRule="auto"/>
              <w:jc w:val="right"/>
              <w:rPr>
                <w:rFonts w:ascii="Arial" w:hAnsi="Arial" w:cs="Arial"/>
                <w:sz w:val="16"/>
                <w:szCs w:val="16"/>
              </w:rPr>
            </w:pPr>
            <w:r>
              <w:rPr>
                <w:rFonts w:ascii="Arial" w:hAnsi="Arial" w:cs="Arial"/>
                <w:sz w:val="16"/>
                <w:szCs w:val="16"/>
              </w:rPr>
              <w:t xml:space="preserve">     1,419.7 </w:t>
            </w:r>
          </w:p>
        </w:tc>
        <w:tc>
          <w:tcPr>
            <w:tcW w:w="495" w:type="pct"/>
            <w:tcBorders>
              <w:top w:val="nil"/>
              <w:left w:val="nil"/>
              <w:bottom w:val="nil"/>
              <w:right w:val="nil"/>
            </w:tcBorders>
            <w:shd w:val="clear" w:color="000000" w:fill="FFFFFF"/>
            <w:noWrap/>
            <w:vAlign w:val="bottom"/>
          </w:tcPr>
          <w:p w14:paraId="1BD9FCD9" w14:textId="418B53EE" w:rsidR="004344BB" w:rsidRPr="00586EE3" w:rsidRDefault="004344BB" w:rsidP="0024750C">
            <w:pPr>
              <w:spacing w:after="0" w:line="240" w:lineRule="auto"/>
              <w:jc w:val="right"/>
              <w:rPr>
                <w:rFonts w:ascii="Arial" w:hAnsi="Arial" w:cs="Arial"/>
                <w:sz w:val="16"/>
                <w:szCs w:val="16"/>
              </w:rPr>
            </w:pPr>
            <w:r>
              <w:rPr>
                <w:rFonts w:ascii="Arial" w:hAnsi="Arial" w:cs="Arial"/>
                <w:sz w:val="16"/>
                <w:szCs w:val="16"/>
              </w:rPr>
              <w:t xml:space="preserve">         249.6 </w:t>
            </w:r>
          </w:p>
        </w:tc>
        <w:tc>
          <w:tcPr>
            <w:tcW w:w="371" w:type="pct"/>
            <w:tcBorders>
              <w:top w:val="nil"/>
              <w:left w:val="nil"/>
              <w:bottom w:val="nil"/>
              <w:right w:val="nil"/>
            </w:tcBorders>
            <w:shd w:val="clear" w:color="000000" w:fill="FFFFFF"/>
            <w:noWrap/>
            <w:vAlign w:val="bottom"/>
          </w:tcPr>
          <w:p w14:paraId="14C5D3E5" w14:textId="191F9FD7" w:rsidR="004344BB" w:rsidRPr="00586EE3" w:rsidRDefault="004344BB" w:rsidP="0024750C">
            <w:pPr>
              <w:spacing w:after="0" w:line="240" w:lineRule="auto"/>
              <w:jc w:val="right"/>
              <w:rPr>
                <w:rFonts w:ascii="Arial" w:hAnsi="Arial" w:cs="Arial"/>
                <w:sz w:val="16"/>
                <w:szCs w:val="16"/>
              </w:rPr>
            </w:pPr>
            <w:r>
              <w:rPr>
                <w:rFonts w:ascii="Arial" w:hAnsi="Arial" w:cs="Arial"/>
                <w:sz w:val="16"/>
                <w:szCs w:val="16"/>
              </w:rPr>
              <w:t>1,809</w:t>
            </w:r>
          </w:p>
        </w:tc>
      </w:tr>
      <w:tr w:rsidR="00D76ED2" w:rsidRPr="00586EE3" w14:paraId="3FD9B318" w14:textId="77777777" w:rsidTr="00CB7A07">
        <w:trPr>
          <w:trHeight w:val="255"/>
        </w:trPr>
        <w:tc>
          <w:tcPr>
            <w:tcW w:w="143" w:type="pct"/>
            <w:tcBorders>
              <w:top w:val="nil"/>
              <w:left w:val="nil"/>
              <w:bottom w:val="nil"/>
              <w:right w:val="nil"/>
            </w:tcBorders>
            <w:shd w:val="clear" w:color="000000" w:fill="FFFFFF"/>
            <w:noWrap/>
            <w:vAlign w:val="bottom"/>
          </w:tcPr>
          <w:p w14:paraId="42310B29" w14:textId="23668199" w:rsidR="004344BB" w:rsidRPr="00586EE3" w:rsidRDefault="004344BB" w:rsidP="004344BB">
            <w:pPr>
              <w:spacing w:after="0" w:line="240" w:lineRule="auto"/>
              <w:jc w:val="right"/>
              <w:rPr>
                <w:rFonts w:ascii="Arial" w:hAnsi="Arial" w:cs="Arial"/>
                <w:sz w:val="16"/>
                <w:szCs w:val="16"/>
              </w:rPr>
            </w:pPr>
            <w:r w:rsidRPr="00586EE3">
              <w:rPr>
                <w:rFonts w:ascii="Arial" w:hAnsi="Arial" w:cs="Arial"/>
                <w:sz w:val="16"/>
                <w:szCs w:val="16"/>
              </w:rPr>
              <w:t>1</w:t>
            </w:r>
            <w:r>
              <w:rPr>
                <w:rFonts w:ascii="Arial" w:hAnsi="Arial" w:cs="Arial"/>
                <w:sz w:val="16"/>
                <w:szCs w:val="16"/>
              </w:rPr>
              <w:t>8</w:t>
            </w:r>
          </w:p>
        </w:tc>
        <w:tc>
          <w:tcPr>
            <w:tcW w:w="1058" w:type="pct"/>
            <w:tcBorders>
              <w:top w:val="nil"/>
              <w:left w:val="nil"/>
              <w:bottom w:val="nil"/>
              <w:right w:val="nil"/>
            </w:tcBorders>
            <w:shd w:val="clear" w:color="000000" w:fill="FFFFFF"/>
            <w:noWrap/>
            <w:vAlign w:val="bottom"/>
          </w:tcPr>
          <w:p w14:paraId="6E85F351" w14:textId="31CDC6FC" w:rsidR="004344BB" w:rsidRPr="00586EE3" w:rsidRDefault="004344BB" w:rsidP="0024750C">
            <w:pPr>
              <w:spacing w:after="0" w:line="240" w:lineRule="auto"/>
              <w:jc w:val="left"/>
              <w:rPr>
                <w:rFonts w:ascii="Arial" w:hAnsi="Arial" w:cs="Arial"/>
                <w:sz w:val="16"/>
                <w:szCs w:val="16"/>
              </w:rPr>
            </w:pPr>
            <w:r w:rsidRPr="00586EE3">
              <w:rPr>
                <w:rFonts w:ascii="Arial" w:hAnsi="Arial" w:cs="Arial"/>
                <w:sz w:val="16"/>
                <w:szCs w:val="16"/>
              </w:rPr>
              <w:t xml:space="preserve"> Switzerland </w:t>
            </w:r>
          </w:p>
        </w:tc>
        <w:tc>
          <w:tcPr>
            <w:tcW w:w="107" w:type="pct"/>
            <w:tcBorders>
              <w:top w:val="nil"/>
              <w:left w:val="nil"/>
              <w:bottom w:val="nil"/>
              <w:right w:val="nil"/>
            </w:tcBorders>
            <w:shd w:val="clear" w:color="000000" w:fill="FFFFFF"/>
            <w:noWrap/>
            <w:vAlign w:val="bottom"/>
          </w:tcPr>
          <w:p w14:paraId="23D458F2"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tcPr>
          <w:p w14:paraId="246512C2" w14:textId="3AF93B46"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113 </w:t>
            </w:r>
          </w:p>
        </w:tc>
        <w:tc>
          <w:tcPr>
            <w:tcW w:w="458" w:type="pct"/>
            <w:tcBorders>
              <w:top w:val="nil"/>
              <w:left w:val="nil"/>
              <w:bottom w:val="nil"/>
              <w:right w:val="nil"/>
            </w:tcBorders>
            <w:shd w:val="clear" w:color="000000" w:fill="FFFFFF"/>
            <w:noWrap/>
            <w:vAlign w:val="bottom"/>
          </w:tcPr>
          <w:p w14:paraId="548D63F5" w14:textId="0663BB1C"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48.3 </w:t>
            </w:r>
          </w:p>
        </w:tc>
        <w:tc>
          <w:tcPr>
            <w:tcW w:w="424" w:type="pct"/>
            <w:tcBorders>
              <w:top w:val="nil"/>
              <w:left w:val="nil"/>
              <w:bottom w:val="nil"/>
              <w:right w:val="nil"/>
            </w:tcBorders>
            <w:shd w:val="clear" w:color="000000" w:fill="FFFFFF"/>
            <w:noWrap/>
            <w:vAlign w:val="bottom"/>
          </w:tcPr>
          <w:p w14:paraId="4F4092C8" w14:textId="3B0DCA02"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77.6 </w:t>
            </w:r>
          </w:p>
        </w:tc>
        <w:tc>
          <w:tcPr>
            <w:tcW w:w="530" w:type="pct"/>
            <w:tcBorders>
              <w:top w:val="nil"/>
              <w:left w:val="nil"/>
              <w:bottom w:val="nil"/>
              <w:right w:val="nil"/>
            </w:tcBorders>
            <w:shd w:val="clear" w:color="000000" w:fill="FFFFFF"/>
            <w:noWrap/>
            <w:vAlign w:val="bottom"/>
          </w:tcPr>
          <w:p w14:paraId="7B4BE841" w14:textId="1B0B8858"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465.0 </w:t>
            </w:r>
          </w:p>
        </w:tc>
        <w:tc>
          <w:tcPr>
            <w:tcW w:w="477" w:type="pct"/>
            <w:tcBorders>
              <w:top w:val="nil"/>
              <w:left w:val="nil"/>
              <w:bottom w:val="nil"/>
              <w:right w:val="nil"/>
            </w:tcBorders>
            <w:shd w:val="clear" w:color="000000" w:fill="FFFFFF"/>
            <w:noWrap/>
            <w:vAlign w:val="bottom"/>
          </w:tcPr>
          <w:p w14:paraId="2A1A1182" w14:textId="247A54BD"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236.4 </w:t>
            </w:r>
          </w:p>
        </w:tc>
        <w:tc>
          <w:tcPr>
            <w:tcW w:w="442" w:type="pct"/>
            <w:tcBorders>
              <w:top w:val="nil"/>
              <w:left w:val="nil"/>
              <w:bottom w:val="nil"/>
              <w:right w:val="nil"/>
            </w:tcBorders>
            <w:shd w:val="clear" w:color="000000" w:fill="FFFFFF"/>
            <w:noWrap/>
            <w:vAlign w:val="bottom"/>
          </w:tcPr>
          <w:p w14:paraId="451E607F" w14:textId="0411960E"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694.4 </w:t>
            </w:r>
          </w:p>
        </w:tc>
        <w:tc>
          <w:tcPr>
            <w:tcW w:w="495" w:type="pct"/>
            <w:tcBorders>
              <w:top w:val="nil"/>
              <w:left w:val="nil"/>
              <w:bottom w:val="nil"/>
              <w:right w:val="nil"/>
            </w:tcBorders>
            <w:shd w:val="clear" w:color="000000" w:fill="FFFFFF"/>
            <w:noWrap/>
            <w:vAlign w:val="bottom"/>
          </w:tcPr>
          <w:p w14:paraId="3968D1C9" w14:textId="31B63DD3"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215.6 </w:t>
            </w:r>
          </w:p>
        </w:tc>
        <w:tc>
          <w:tcPr>
            <w:tcW w:w="371" w:type="pct"/>
            <w:tcBorders>
              <w:top w:val="nil"/>
              <w:left w:val="nil"/>
              <w:bottom w:val="nil"/>
              <w:right w:val="nil"/>
            </w:tcBorders>
            <w:shd w:val="clear" w:color="000000" w:fill="FFFFFF"/>
            <w:noWrap/>
            <w:vAlign w:val="bottom"/>
          </w:tcPr>
          <w:p w14:paraId="0544EA35" w14:textId="376E9DF8"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1,737.4</w:t>
            </w:r>
          </w:p>
        </w:tc>
      </w:tr>
      <w:tr w:rsidR="00D76ED2" w:rsidRPr="00586EE3" w14:paraId="216AD61B" w14:textId="77777777" w:rsidTr="00CB7A07">
        <w:trPr>
          <w:trHeight w:val="255"/>
        </w:trPr>
        <w:tc>
          <w:tcPr>
            <w:tcW w:w="143" w:type="pct"/>
            <w:tcBorders>
              <w:top w:val="nil"/>
              <w:left w:val="nil"/>
              <w:bottom w:val="nil"/>
              <w:right w:val="nil"/>
            </w:tcBorders>
            <w:shd w:val="clear" w:color="000000" w:fill="FFFFFF"/>
            <w:noWrap/>
            <w:vAlign w:val="bottom"/>
            <w:hideMark/>
          </w:tcPr>
          <w:p w14:paraId="1C88FEB8"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w:t>
            </w:r>
          </w:p>
        </w:tc>
        <w:tc>
          <w:tcPr>
            <w:tcW w:w="1058" w:type="pct"/>
            <w:tcBorders>
              <w:top w:val="nil"/>
              <w:left w:val="nil"/>
              <w:bottom w:val="nil"/>
              <w:right w:val="nil"/>
            </w:tcBorders>
            <w:shd w:val="clear" w:color="000000" w:fill="FFFFFF"/>
            <w:noWrap/>
            <w:vAlign w:val="bottom"/>
            <w:hideMark/>
          </w:tcPr>
          <w:p w14:paraId="4EA0AC77" w14:textId="46DEA32A" w:rsidR="004344BB" w:rsidRPr="00586EE3" w:rsidRDefault="004344BB" w:rsidP="0024750C">
            <w:pPr>
              <w:spacing w:after="0" w:line="240" w:lineRule="auto"/>
              <w:jc w:val="left"/>
              <w:rPr>
                <w:rFonts w:ascii="Arial" w:hAnsi="Arial" w:cs="Arial"/>
                <w:sz w:val="16"/>
                <w:szCs w:val="16"/>
              </w:rPr>
            </w:pPr>
            <w:r w:rsidRPr="00586EE3">
              <w:rPr>
                <w:rFonts w:ascii="Arial" w:hAnsi="Arial" w:cs="Arial"/>
                <w:sz w:val="16"/>
                <w:szCs w:val="16"/>
              </w:rPr>
              <w:t xml:space="preserve"> Other Countries </w:t>
            </w:r>
          </w:p>
        </w:tc>
        <w:tc>
          <w:tcPr>
            <w:tcW w:w="107" w:type="pct"/>
            <w:tcBorders>
              <w:top w:val="nil"/>
              <w:left w:val="nil"/>
              <w:bottom w:val="nil"/>
              <w:right w:val="nil"/>
            </w:tcBorders>
            <w:shd w:val="clear" w:color="000000" w:fill="FFFFFF"/>
            <w:noWrap/>
            <w:vAlign w:val="bottom"/>
            <w:hideMark/>
          </w:tcPr>
          <w:p w14:paraId="05051FFC"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w:t>
            </w:r>
          </w:p>
        </w:tc>
        <w:tc>
          <w:tcPr>
            <w:tcW w:w="495" w:type="pct"/>
            <w:tcBorders>
              <w:top w:val="nil"/>
              <w:left w:val="nil"/>
              <w:bottom w:val="nil"/>
              <w:right w:val="nil"/>
            </w:tcBorders>
            <w:shd w:val="clear" w:color="000000" w:fill="FFFFFF"/>
            <w:noWrap/>
            <w:vAlign w:val="bottom"/>
            <w:hideMark/>
          </w:tcPr>
          <w:p w14:paraId="30A8B65A" w14:textId="64232A18"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w:t>
            </w:r>
            <w:r>
              <w:rPr>
                <w:rFonts w:ascii="Arial" w:hAnsi="Arial" w:cs="Arial"/>
                <w:sz w:val="16"/>
                <w:szCs w:val="16"/>
              </w:rPr>
              <w:t>1,</w:t>
            </w:r>
            <w:r w:rsidR="009E6B8A">
              <w:rPr>
                <w:rFonts w:ascii="Arial" w:hAnsi="Arial" w:cs="Arial"/>
                <w:sz w:val="16"/>
                <w:szCs w:val="16"/>
              </w:rPr>
              <w:t>858</w:t>
            </w:r>
            <w:r w:rsidRPr="00586EE3">
              <w:rPr>
                <w:rFonts w:ascii="Arial" w:hAnsi="Arial" w:cs="Arial"/>
                <w:sz w:val="16"/>
                <w:szCs w:val="16"/>
              </w:rPr>
              <w:t xml:space="preserve"> </w:t>
            </w:r>
          </w:p>
        </w:tc>
        <w:tc>
          <w:tcPr>
            <w:tcW w:w="458" w:type="pct"/>
            <w:tcBorders>
              <w:top w:val="nil"/>
              <w:left w:val="nil"/>
              <w:bottom w:val="nil"/>
              <w:right w:val="nil"/>
            </w:tcBorders>
            <w:shd w:val="clear" w:color="000000" w:fill="FFFFFF"/>
            <w:noWrap/>
            <w:vAlign w:val="bottom"/>
            <w:hideMark/>
          </w:tcPr>
          <w:p w14:paraId="53687030" w14:textId="571C6338" w:rsidR="004344BB" w:rsidRPr="00586EE3" w:rsidRDefault="009E6B8A" w:rsidP="0024750C">
            <w:pPr>
              <w:spacing w:after="0" w:line="240" w:lineRule="auto"/>
              <w:jc w:val="right"/>
              <w:rPr>
                <w:rFonts w:ascii="Arial" w:hAnsi="Arial" w:cs="Arial"/>
                <w:sz w:val="16"/>
                <w:szCs w:val="16"/>
              </w:rPr>
            </w:pPr>
            <w:r>
              <w:rPr>
                <w:rFonts w:ascii="Arial" w:hAnsi="Arial" w:cs="Arial"/>
                <w:sz w:val="16"/>
                <w:szCs w:val="16"/>
              </w:rPr>
              <w:t>388.8</w:t>
            </w:r>
          </w:p>
        </w:tc>
        <w:tc>
          <w:tcPr>
            <w:tcW w:w="424" w:type="pct"/>
            <w:tcBorders>
              <w:top w:val="nil"/>
              <w:left w:val="nil"/>
              <w:bottom w:val="nil"/>
              <w:right w:val="nil"/>
            </w:tcBorders>
            <w:shd w:val="clear" w:color="000000" w:fill="FFFFFF"/>
            <w:noWrap/>
            <w:vAlign w:val="bottom"/>
            <w:hideMark/>
          </w:tcPr>
          <w:p w14:paraId="68A4C4F1" w14:textId="3B74E7AF" w:rsidR="004344BB" w:rsidRPr="00586EE3" w:rsidRDefault="009E6B8A" w:rsidP="0024750C">
            <w:pPr>
              <w:spacing w:after="0" w:line="240" w:lineRule="auto"/>
              <w:jc w:val="right"/>
              <w:rPr>
                <w:rFonts w:ascii="Arial" w:hAnsi="Arial" w:cs="Arial"/>
                <w:sz w:val="16"/>
                <w:szCs w:val="16"/>
              </w:rPr>
            </w:pPr>
            <w:r>
              <w:rPr>
                <w:rFonts w:ascii="Arial" w:hAnsi="Arial" w:cs="Arial"/>
                <w:sz w:val="16"/>
                <w:szCs w:val="16"/>
              </w:rPr>
              <w:t>865.0</w:t>
            </w:r>
          </w:p>
        </w:tc>
        <w:tc>
          <w:tcPr>
            <w:tcW w:w="530" w:type="pct"/>
            <w:tcBorders>
              <w:top w:val="nil"/>
              <w:left w:val="nil"/>
              <w:bottom w:val="nil"/>
              <w:right w:val="nil"/>
            </w:tcBorders>
            <w:shd w:val="clear" w:color="000000" w:fill="FFFFFF"/>
            <w:noWrap/>
            <w:vAlign w:val="bottom"/>
            <w:hideMark/>
          </w:tcPr>
          <w:p w14:paraId="142433C9" w14:textId="6D8F2058" w:rsidR="004344BB" w:rsidRPr="00586EE3" w:rsidRDefault="009E6B8A" w:rsidP="0024750C">
            <w:pPr>
              <w:spacing w:after="0" w:line="240" w:lineRule="auto"/>
              <w:jc w:val="right"/>
              <w:rPr>
                <w:rFonts w:ascii="Arial" w:hAnsi="Arial" w:cs="Arial"/>
                <w:sz w:val="16"/>
                <w:szCs w:val="16"/>
              </w:rPr>
            </w:pPr>
            <w:r>
              <w:rPr>
                <w:rFonts w:ascii="Arial" w:hAnsi="Arial" w:cs="Arial"/>
                <w:sz w:val="16"/>
                <w:szCs w:val="16"/>
              </w:rPr>
              <w:t>2,686.5</w:t>
            </w:r>
          </w:p>
        </w:tc>
        <w:tc>
          <w:tcPr>
            <w:tcW w:w="477" w:type="pct"/>
            <w:tcBorders>
              <w:top w:val="nil"/>
              <w:left w:val="nil"/>
              <w:bottom w:val="nil"/>
              <w:right w:val="nil"/>
            </w:tcBorders>
            <w:shd w:val="clear" w:color="000000" w:fill="FFFFFF"/>
            <w:noWrap/>
            <w:vAlign w:val="bottom"/>
            <w:hideMark/>
          </w:tcPr>
          <w:p w14:paraId="4BE35E84" w14:textId="7E4AAAEC" w:rsidR="004344BB" w:rsidRPr="00586EE3" w:rsidRDefault="009E6B8A" w:rsidP="0024750C">
            <w:pPr>
              <w:spacing w:after="0" w:line="240" w:lineRule="auto"/>
              <w:jc w:val="right"/>
              <w:rPr>
                <w:rFonts w:ascii="Arial" w:hAnsi="Arial" w:cs="Arial"/>
                <w:sz w:val="16"/>
                <w:szCs w:val="16"/>
              </w:rPr>
            </w:pPr>
            <w:r>
              <w:rPr>
                <w:rFonts w:ascii="Arial" w:hAnsi="Arial" w:cs="Arial"/>
                <w:sz w:val="16"/>
                <w:szCs w:val="16"/>
              </w:rPr>
              <w:t>1,447.4</w:t>
            </w:r>
          </w:p>
        </w:tc>
        <w:tc>
          <w:tcPr>
            <w:tcW w:w="442" w:type="pct"/>
            <w:tcBorders>
              <w:top w:val="nil"/>
              <w:left w:val="nil"/>
              <w:bottom w:val="nil"/>
              <w:right w:val="nil"/>
            </w:tcBorders>
            <w:shd w:val="clear" w:color="000000" w:fill="FFFFFF"/>
            <w:noWrap/>
            <w:vAlign w:val="bottom"/>
            <w:hideMark/>
          </w:tcPr>
          <w:p w14:paraId="6CADC624" w14:textId="438A30DF" w:rsidR="004344BB" w:rsidRPr="00586EE3" w:rsidRDefault="009E6B8A" w:rsidP="0024750C">
            <w:pPr>
              <w:spacing w:after="0" w:line="240" w:lineRule="auto"/>
              <w:jc w:val="right"/>
              <w:rPr>
                <w:rFonts w:ascii="Arial" w:hAnsi="Arial" w:cs="Arial"/>
                <w:sz w:val="16"/>
                <w:szCs w:val="16"/>
              </w:rPr>
            </w:pPr>
            <w:r>
              <w:rPr>
                <w:rFonts w:ascii="Arial" w:hAnsi="Arial" w:cs="Arial"/>
                <w:sz w:val="16"/>
                <w:szCs w:val="16"/>
              </w:rPr>
              <w:t>3,525.8</w:t>
            </w:r>
          </w:p>
        </w:tc>
        <w:tc>
          <w:tcPr>
            <w:tcW w:w="495" w:type="pct"/>
            <w:tcBorders>
              <w:top w:val="nil"/>
              <w:left w:val="nil"/>
              <w:bottom w:val="nil"/>
              <w:right w:val="nil"/>
            </w:tcBorders>
            <w:shd w:val="clear" w:color="000000" w:fill="FFFFFF"/>
            <w:noWrap/>
            <w:vAlign w:val="bottom"/>
            <w:hideMark/>
          </w:tcPr>
          <w:p w14:paraId="61974B43" w14:textId="7ACE276A" w:rsidR="004344BB" w:rsidRPr="00586EE3" w:rsidRDefault="009E6B8A" w:rsidP="0024750C">
            <w:pPr>
              <w:spacing w:after="0" w:line="240" w:lineRule="auto"/>
              <w:jc w:val="right"/>
              <w:rPr>
                <w:rFonts w:ascii="Arial" w:hAnsi="Arial" w:cs="Arial"/>
                <w:sz w:val="16"/>
                <w:szCs w:val="16"/>
              </w:rPr>
            </w:pPr>
            <w:r>
              <w:rPr>
                <w:rFonts w:ascii="Arial" w:hAnsi="Arial" w:cs="Arial"/>
                <w:sz w:val="16"/>
                <w:szCs w:val="16"/>
              </w:rPr>
              <w:t>2,726.6</w:t>
            </w:r>
          </w:p>
        </w:tc>
        <w:tc>
          <w:tcPr>
            <w:tcW w:w="371" w:type="pct"/>
            <w:tcBorders>
              <w:top w:val="nil"/>
              <w:left w:val="nil"/>
              <w:bottom w:val="nil"/>
              <w:right w:val="nil"/>
            </w:tcBorders>
            <w:shd w:val="clear" w:color="000000" w:fill="FFFFFF"/>
            <w:noWrap/>
            <w:vAlign w:val="bottom"/>
            <w:hideMark/>
          </w:tcPr>
          <w:p w14:paraId="042F30AC" w14:textId="0907E081" w:rsidR="004344BB" w:rsidRPr="00586EE3" w:rsidRDefault="009E6B8A" w:rsidP="0024750C">
            <w:pPr>
              <w:spacing w:after="0" w:line="240" w:lineRule="auto"/>
              <w:jc w:val="right"/>
              <w:rPr>
                <w:rFonts w:ascii="Arial" w:hAnsi="Arial" w:cs="Arial"/>
                <w:sz w:val="16"/>
                <w:szCs w:val="16"/>
              </w:rPr>
            </w:pPr>
            <w:r>
              <w:rPr>
                <w:rFonts w:ascii="Arial" w:hAnsi="Arial" w:cs="Arial"/>
                <w:sz w:val="16"/>
                <w:szCs w:val="16"/>
              </w:rPr>
              <w:t>11,640.0</w:t>
            </w:r>
          </w:p>
        </w:tc>
      </w:tr>
      <w:tr w:rsidR="00D76ED2" w:rsidRPr="00586EE3" w14:paraId="3F4E9316" w14:textId="77777777" w:rsidTr="00CB7A07">
        <w:trPr>
          <w:trHeight w:val="255"/>
        </w:trPr>
        <w:tc>
          <w:tcPr>
            <w:tcW w:w="143" w:type="pct"/>
            <w:tcBorders>
              <w:top w:val="nil"/>
              <w:left w:val="nil"/>
              <w:bottom w:val="nil"/>
              <w:right w:val="nil"/>
            </w:tcBorders>
            <w:shd w:val="clear" w:color="000000" w:fill="FFFFFF"/>
            <w:noWrap/>
            <w:vAlign w:val="bottom"/>
          </w:tcPr>
          <w:p w14:paraId="1AA49650" w14:textId="77777777" w:rsidR="004344BB" w:rsidRPr="00586EE3" w:rsidRDefault="004344BB" w:rsidP="004344BB">
            <w:pPr>
              <w:spacing w:after="0" w:line="240" w:lineRule="auto"/>
              <w:rPr>
                <w:rFonts w:ascii="Arial" w:hAnsi="Arial" w:cs="Arial"/>
                <w:sz w:val="16"/>
                <w:szCs w:val="16"/>
              </w:rPr>
            </w:pPr>
          </w:p>
        </w:tc>
        <w:tc>
          <w:tcPr>
            <w:tcW w:w="1058" w:type="pct"/>
            <w:tcBorders>
              <w:top w:val="nil"/>
              <w:left w:val="nil"/>
              <w:bottom w:val="nil"/>
              <w:right w:val="nil"/>
            </w:tcBorders>
            <w:shd w:val="clear" w:color="000000" w:fill="FFFFFF"/>
            <w:noWrap/>
            <w:vAlign w:val="bottom"/>
          </w:tcPr>
          <w:p w14:paraId="37273FFF" w14:textId="77777777" w:rsidR="004344BB" w:rsidRPr="00586EE3" w:rsidRDefault="004344BB" w:rsidP="0024750C">
            <w:pPr>
              <w:spacing w:after="0" w:line="240" w:lineRule="auto"/>
              <w:jc w:val="left"/>
              <w:rPr>
                <w:rFonts w:ascii="Arial" w:hAnsi="Arial" w:cs="Arial"/>
                <w:sz w:val="16"/>
                <w:szCs w:val="16"/>
              </w:rPr>
            </w:pPr>
            <w:r w:rsidRPr="00586EE3">
              <w:rPr>
                <w:rFonts w:ascii="Arial" w:hAnsi="Arial" w:cs="Arial"/>
                <w:sz w:val="16"/>
                <w:szCs w:val="16"/>
              </w:rPr>
              <w:t xml:space="preserve"> Widely Held </w:t>
            </w:r>
          </w:p>
        </w:tc>
        <w:tc>
          <w:tcPr>
            <w:tcW w:w="107" w:type="pct"/>
            <w:tcBorders>
              <w:top w:val="nil"/>
              <w:left w:val="nil"/>
              <w:bottom w:val="nil"/>
              <w:right w:val="nil"/>
            </w:tcBorders>
            <w:shd w:val="clear" w:color="000000" w:fill="FFFFFF"/>
            <w:noWrap/>
            <w:vAlign w:val="bottom"/>
          </w:tcPr>
          <w:p w14:paraId="77CEF7AB"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xml:space="preserve">  </w:t>
            </w:r>
          </w:p>
        </w:tc>
        <w:tc>
          <w:tcPr>
            <w:tcW w:w="495" w:type="pct"/>
            <w:tcBorders>
              <w:top w:val="nil"/>
              <w:left w:val="nil"/>
              <w:bottom w:val="nil"/>
              <w:right w:val="nil"/>
            </w:tcBorders>
            <w:shd w:val="clear" w:color="000000" w:fill="FFFFFF"/>
            <w:noWrap/>
            <w:vAlign w:val="bottom"/>
          </w:tcPr>
          <w:p w14:paraId="5A0059C0"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902 </w:t>
            </w:r>
          </w:p>
        </w:tc>
        <w:tc>
          <w:tcPr>
            <w:tcW w:w="458" w:type="pct"/>
            <w:tcBorders>
              <w:top w:val="nil"/>
              <w:left w:val="nil"/>
              <w:bottom w:val="nil"/>
              <w:right w:val="nil"/>
            </w:tcBorders>
            <w:shd w:val="clear" w:color="000000" w:fill="FFFFFF"/>
            <w:noWrap/>
            <w:vAlign w:val="bottom"/>
          </w:tcPr>
          <w:p w14:paraId="5A7FF3B0"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931.1 </w:t>
            </w:r>
          </w:p>
        </w:tc>
        <w:tc>
          <w:tcPr>
            <w:tcW w:w="424" w:type="pct"/>
            <w:tcBorders>
              <w:top w:val="nil"/>
              <w:left w:val="nil"/>
              <w:bottom w:val="nil"/>
              <w:right w:val="nil"/>
            </w:tcBorders>
            <w:shd w:val="clear" w:color="000000" w:fill="FFFFFF"/>
            <w:noWrap/>
            <w:vAlign w:val="bottom"/>
          </w:tcPr>
          <w:p w14:paraId="79B49813"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2,186.4 </w:t>
            </w:r>
          </w:p>
        </w:tc>
        <w:tc>
          <w:tcPr>
            <w:tcW w:w="530" w:type="pct"/>
            <w:tcBorders>
              <w:top w:val="nil"/>
              <w:left w:val="nil"/>
              <w:bottom w:val="nil"/>
              <w:right w:val="nil"/>
            </w:tcBorders>
            <w:shd w:val="clear" w:color="000000" w:fill="FFFFFF"/>
            <w:noWrap/>
            <w:vAlign w:val="bottom"/>
          </w:tcPr>
          <w:p w14:paraId="203B1BBF"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6,562.5 </w:t>
            </w:r>
          </w:p>
        </w:tc>
        <w:tc>
          <w:tcPr>
            <w:tcW w:w="477" w:type="pct"/>
            <w:tcBorders>
              <w:top w:val="nil"/>
              <w:left w:val="nil"/>
              <w:bottom w:val="nil"/>
              <w:right w:val="nil"/>
            </w:tcBorders>
            <w:shd w:val="clear" w:color="000000" w:fill="FFFFFF"/>
            <w:noWrap/>
            <w:vAlign w:val="bottom"/>
          </w:tcPr>
          <w:p w14:paraId="16A43832"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294.8 </w:t>
            </w:r>
          </w:p>
        </w:tc>
        <w:tc>
          <w:tcPr>
            <w:tcW w:w="442" w:type="pct"/>
            <w:tcBorders>
              <w:top w:val="nil"/>
              <w:left w:val="nil"/>
              <w:bottom w:val="nil"/>
              <w:right w:val="nil"/>
            </w:tcBorders>
            <w:shd w:val="clear" w:color="000000" w:fill="FFFFFF"/>
            <w:noWrap/>
            <w:vAlign w:val="bottom"/>
          </w:tcPr>
          <w:p w14:paraId="350C866B"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6,589.7 </w:t>
            </w:r>
          </w:p>
        </w:tc>
        <w:tc>
          <w:tcPr>
            <w:tcW w:w="495" w:type="pct"/>
            <w:tcBorders>
              <w:top w:val="nil"/>
              <w:left w:val="nil"/>
              <w:bottom w:val="nil"/>
              <w:right w:val="nil"/>
            </w:tcBorders>
            <w:shd w:val="clear" w:color="000000" w:fill="FFFFFF"/>
            <w:noWrap/>
            <w:vAlign w:val="bottom"/>
          </w:tcPr>
          <w:p w14:paraId="3C8D8FD0"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8,390.6 </w:t>
            </w:r>
          </w:p>
        </w:tc>
        <w:tc>
          <w:tcPr>
            <w:tcW w:w="371" w:type="pct"/>
            <w:tcBorders>
              <w:top w:val="nil"/>
              <w:left w:val="nil"/>
              <w:bottom w:val="nil"/>
              <w:right w:val="nil"/>
            </w:tcBorders>
            <w:shd w:val="clear" w:color="000000" w:fill="FFFFFF"/>
            <w:noWrap/>
            <w:vAlign w:val="bottom"/>
          </w:tcPr>
          <w:p w14:paraId="1DD2E958"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24,955.1</w:t>
            </w:r>
          </w:p>
        </w:tc>
      </w:tr>
      <w:tr w:rsidR="00D76ED2" w:rsidRPr="00586EE3" w14:paraId="4061E4D4" w14:textId="77777777" w:rsidTr="00CB7A07">
        <w:trPr>
          <w:trHeight w:val="255"/>
        </w:trPr>
        <w:tc>
          <w:tcPr>
            <w:tcW w:w="143" w:type="pct"/>
            <w:tcBorders>
              <w:top w:val="nil"/>
              <w:left w:val="nil"/>
              <w:bottom w:val="nil"/>
              <w:right w:val="nil"/>
            </w:tcBorders>
            <w:shd w:val="clear" w:color="000000" w:fill="FFFFFF"/>
            <w:noWrap/>
            <w:vAlign w:val="bottom"/>
            <w:hideMark/>
          </w:tcPr>
          <w:p w14:paraId="446D7CB9"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w:t>
            </w:r>
          </w:p>
        </w:tc>
        <w:tc>
          <w:tcPr>
            <w:tcW w:w="1058" w:type="pct"/>
            <w:tcBorders>
              <w:top w:val="nil"/>
              <w:left w:val="nil"/>
              <w:right w:val="nil"/>
            </w:tcBorders>
            <w:shd w:val="clear" w:color="000000" w:fill="FFFFFF"/>
            <w:noWrap/>
            <w:vAlign w:val="bottom"/>
            <w:hideMark/>
          </w:tcPr>
          <w:p w14:paraId="375694DB" w14:textId="79CCA7DC" w:rsidR="004344BB" w:rsidRPr="00586EE3" w:rsidRDefault="004344BB" w:rsidP="0024750C">
            <w:pPr>
              <w:spacing w:after="0" w:line="240" w:lineRule="auto"/>
              <w:jc w:val="left"/>
              <w:rPr>
                <w:rFonts w:ascii="Arial" w:hAnsi="Arial" w:cs="Arial"/>
                <w:sz w:val="16"/>
                <w:szCs w:val="16"/>
              </w:rPr>
            </w:pPr>
            <w:r w:rsidRPr="00586EE3">
              <w:rPr>
                <w:rFonts w:ascii="Arial" w:hAnsi="Arial" w:cs="Arial"/>
                <w:sz w:val="16"/>
                <w:szCs w:val="16"/>
              </w:rPr>
              <w:t xml:space="preserve"> New Dwelling EC  </w:t>
            </w:r>
          </w:p>
        </w:tc>
        <w:tc>
          <w:tcPr>
            <w:tcW w:w="107" w:type="pct"/>
            <w:tcBorders>
              <w:top w:val="nil"/>
              <w:left w:val="nil"/>
              <w:right w:val="nil"/>
            </w:tcBorders>
            <w:shd w:val="clear" w:color="000000" w:fill="FFFFFF"/>
            <w:noWrap/>
            <w:vAlign w:val="bottom"/>
            <w:hideMark/>
          </w:tcPr>
          <w:p w14:paraId="0F99729F"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w:t>
            </w:r>
          </w:p>
        </w:tc>
        <w:tc>
          <w:tcPr>
            <w:tcW w:w="495" w:type="pct"/>
            <w:tcBorders>
              <w:top w:val="nil"/>
              <w:left w:val="nil"/>
              <w:right w:val="nil"/>
            </w:tcBorders>
            <w:shd w:val="clear" w:color="000000" w:fill="FFFFFF"/>
            <w:noWrap/>
            <w:vAlign w:val="bottom"/>
            <w:hideMark/>
          </w:tcPr>
          <w:p w14:paraId="0CCF082B"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19 </w:t>
            </w:r>
          </w:p>
        </w:tc>
        <w:tc>
          <w:tcPr>
            <w:tcW w:w="458" w:type="pct"/>
            <w:tcBorders>
              <w:top w:val="nil"/>
              <w:left w:val="nil"/>
              <w:right w:val="nil"/>
            </w:tcBorders>
            <w:shd w:val="clear" w:color="000000" w:fill="FFFFFF"/>
            <w:noWrap/>
            <w:vAlign w:val="bottom"/>
            <w:hideMark/>
          </w:tcPr>
          <w:p w14:paraId="7D791B41"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w:t>
            </w:r>
          </w:p>
        </w:tc>
        <w:tc>
          <w:tcPr>
            <w:tcW w:w="424" w:type="pct"/>
            <w:tcBorders>
              <w:top w:val="nil"/>
              <w:left w:val="nil"/>
              <w:right w:val="nil"/>
            </w:tcBorders>
            <w:shd w:val="clear" w:color="000000" w:fill="FFFFFF"/>
            <w:noWrap/>
            <w:vAlign w:val="bottom"/>
            <w:hideMark/>
          </w:tcPr>
          <w:p w14:paraId="2A179150"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w:t>
            </w:r>
          </w:p>
        </w:tc>
        <w:tc>
          <w:tcPr>
            <w:tcW w:w="530" w:type="pct"/>
            <w:tcBorders>
              <w:top w:val="nil"/>
              <w:left w:val="nil"/>
              <w:right w:val="nil"/>
            </w:tcBorders>
            <w:shd w:val="clear" w:color="000000" w:fill="FFFFFF"/>
            <w:noWrap/>
            <w:vAlign w:val="bottom"/>
            <w:hideMark/>
          </w:tcPr>
          <w:p w14:paraId="652E77E9"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w:t>
            </w:r>
          </w:p>
        </w:tc>
        <w:tc>
          <w:tcPr>
            <w:tcW w:w="477" w:type="pct"/>
            <w:tcBorders>
              <w:top w:val="nil"/>
              <w:left w:val="nil"/>
              <w:right w:val="nil"/>
            </w:tcBorders>
            <w:shd w:val="clear" w:color="000000" w:fill="FFFFFF"/>
            <w:noWrap/>
            <w:vAlign w:val="bottom"/>
            <w:hideMark/>
          </w:tcPr>
          <w:p w14:paraId="42BB1B48"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w:t>
            </w:r>
          </w:p>
        </w:tc>
        <w:tc>
          <w:tcPr>
            <w:tcW w:w="442" w:type="pct"/>
            <w:tcBorders>
              <w:top w:val="nil"/>
              <w:left w:val="nil"/>
              <w:right w:val="nil"/>
            </w:tcBorders>
            <w:shd w:val="clear" w:color="000000" w:fill="FFFFFF"/>
            <w:noWrap/>
            <w:vAlign w:val="bottom"/>
            <w:hideMark/>
          </w:tcPr>
          <w:p w14:paraId="1F1279BE" w14:textId="2D1314DB"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972</w:t>
            </w:r>
            <w:r>
              <w:rPr>
                <w:rFonts w:ascii="Arial" w:hAnsi="Arial" w:cs="Arial"/>
                <w:sz w:val="16"/>
                <w:szCs w:val="16"/>
              </w:rPr>
              <w:t>.3</w:t>
            </w:r>
            <w:r w:rsidRPr="00586EE3">
              <w:rPr>
                <w:rFonts w:ascii="Arial" w:hAnsi="Arial" w:cs="Arial"/>
                <w:sz w:val="16"/>
                <w:szCs w:val="16"/>
              </w:rPr>
              <w:t xml:space="preserve"> </w:t>
            </w:r>
          </w:p>
        </w:tc>
        <w:tc>
          <w:tcPr>
            <w:tcW w:w="495" w:type="pct"/>
            <w:tcBorders>
              <w:top w:val="nil"/>
              <w:left w:val="nil"/>
              <w:right w:val="nil"/>
            </w:tcBorders>
            <w:shd w:val="clear" w:color="000000" w:fill="FFFFFF"/>
            <w:noWrap/>
            <w:vAlign w:val="bottom"/>
            <w:hideMark/>
          </w:tcPr>
          <w:p w14:paraId="22D526AC"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w:t>
            </w:r>
          </w:p>
        </w:tc>
        <w:tc>
          <w:tcPr>
            <w:tcW w:w="371" w:type="pct"/>
            <w:tcBorders>
              <w:top w:val="nil"/>
              <w:left w:val="nil"/>
              <w:right w:val="nil"/>
            </w:tcBorders>
            <w:shd w:val="clear" w:color="000000" w:fill="FFFFFF"/>
            <w:noWrap/>
            <w:vAlign w:val="bottom"/>
            <w:hideMark/>
          </w:tcPr>
          <w:p w14:paraId="6639543F"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972.3</w:t>
            </w:r>
          </w:p>
        </w:tc>
      </w:tr>
      <w:tr w:rsidR="00D76ED2" w:rsidRPr="00586EE3" w14:paraId="419878C4" w14:textId="77777777" w:rsidTr="00CB7A07">
        <w:trPr>
          <w:trHeight w:val="255"/>
        </w:trPr>
        <w:tc>
          <w:tcPr>
            <w:tcW w:w="143" w:type="pct"/>
            <w:tcBorders>
              <w:top w:val="nil"/>
              <w:left w:val="nil"/>
              <w:bottom w:val="nil"/>
              <w:right w:val="nil"/>
            </w:tcBorders>
            <w:shd w:val="clear" w:color="000000" w:fill="FFFFFF"/>
            <w:noWrap/>
            <w:vAlign w:val="bottom"/>
            <w:hideMark/>
          </w:tcPr>
          <w:p w14:paraId="06948118"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w:t>
            </w:r>
          </w:p>
        </w:tc>
        <w:tc>
          <w:tcPr>
            <w:tcW w:w="1058" w:type="pct"/>
            <w:tcBorders>
              <w:left w:val="nil"/>
              <w:bottom w:val="single" w:sz="4" w:space="0" w:color="auto"/>
              <w:right w:val="nil"/>
            </w:tcBorders>
            <w:shd w:val="clear" w:color="000000" w:fill="FFFFFF"/>
            <w:noWrap/>
            <w:vAlign w:val="bottom"/>
            <w:hideMark/>
          </w:tcPr>
          <w:p w14:paraId="0A2934AA" w14:textId="7C7D3D11" w:rsidR="004344BB" w:rsidRPr="00586EE3" w:rsidRDefault="004344BB" w:rsidP="0024750C">
            <w:pPr>
              <w:spacing w:after="0" w:line="240" w:lineRule="auto"/>
              <w:jc w:val="left"/>
              <w:rPr>
                <w:rFonts w:ascii="Arial" w:hAnsi="Arial" w:cs="Arial"/>
                <w:i/>
                <w:iCs/>
                <w:sz w:val="16"/>
                <w:szCs w:val="16"/>
              </w:rPr>
            </w:pPr>
            <w:r w:rsidRPr="00586EE3">
              <w:rPr>
                <w:rFonts w:ascii="Arial" w:hAnsi="Arial" w:cs="Arial"/>
                <w:i/>
                <w:iCs/>
                <w:sz w:val="16"/>
                <w:szCs w:val="16"/>
              </w:rPr>
              <w:t>Sub</w:t>
            </w:r>
            <w:r w:rsidR="003E7C79">
              <w:rPr>
                <w:rFonts w:ascii="Arial" w:hAnsi="Arial" w:cs="Arial"/>
                <w:i/>
                <w:iCs/>
                <w:sz w:val="16"/>
                <w:szCs w:val="16"/>
              </w:rPr>
              <w:t>–</w:t>
            </w:r>
            <w:r w:rsidRPr="00586EE3">
              <w:rPr>
                <w:rFonts w:ascii="Arial" w:hAnsi="Arial" w:cs="Arial"/>
                <w:i/>
                <w:iCs/>
                <w:sz w:val="16"/>
                <w:szCs w:val="16"/>
              </w:rPr>
              <w:t xml:space="preserve">total </w:t>
            </w:r>
          </w:p>
        </w:tc>
        <w:tc>
          <w:tcPr>
            <w:tcW w:w="107" w:type="pct"/>
            <w:tcBorders>
              <w:left w:val="nil"/>
              <w:bottom w:val="single" w:sz="4" w:space="0" w:color="auto"/>
              <w:right w:val="nil"/>
            </w:tcBorders>
            <w:shd w:val="clear" w:color="000000" w:fill="FFFFFF"/>
            <w:noWrap/>
            <w:vAlign w:val="bottom"/>
            <w:hideMark/>
          </w:tcPr>
          <w:p w14:paraId="69D6010C"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w:t>
            </w:r>
          </w:p>
        </w:tc>
        <w:tc>
          <w:tcPr>
            <w:tcW w:w="495" w:type="pct"/>
            <w:tcBorders>
              <w:left w:val="nil"/>
              <w:bottom w:val="single" w:sz="4" w:space="0" w:color="auto"/>
              <w:right w:val="nil"/>
            </w:tcBorders>
            <w:shd w:val="clear" w:color="000000" w:fill="FFFFFF"/>
            <w:noWrap/>
            <w:vAlign w:val="bottom"/>
            <w:hideMark/>
          </w:tcPr>
          <w:p w14:paraId="51F31867" w14:textId="28600336" w:rsidR="004344BB" w:rsidRPr="00586EE3" w:rsidRDefault="004344BB" w:rsidP="0024750C">
            <w:pPr>
              <w:spacing w:after="0" w:line="240" w:lineRule="auto"/>
              <w:jc w:val="right"/>
              <w:rPr>
                <w:rFonts w:ascii="Arial" w:hAnsi="Arial" w:cs="Arial"/>
                <w:i/>
                <w:iCs/>
                <w:sz w:val="16"/>
                <w:szCs w:val="16"/>
              </w:rPr>
            </w:pPr>
            <w:r w:rsidRPr="00586EE3">
              <w:rPr>
                <w:rFonts w:ascii="Arial" w:hAnsi="Arial" w:cs="Arial"/>
                <w:i/>
                <w:iCs/>
                <w:sz w:val="16"/>
                <w:szCs w:val="16"/>
              </w:rPr>
              <w:t xml:space="preserve">           9,</w:t>
            </w:r>
            <w:r>
              <w:rPr>
                <w:rFonts w:ascii="Arial" w:hAnsi="Arial" w:cs="Arial"/>
                <w:i/>
                <w:iCs/>
                <w:sz w:val="16"/>
                <w:szCs w:val="16"/>
              </w:rPr>
              <w:t>897</w:t>
            </w:r>
            <w:r w:rsidRPr="00586EE3">
              <w:rPr>
                <w:rFonts w:ascii="Arial" w:hAnsi="Arial" w:cs="Arial"/>
                <w:i/>
                <w:iCs/>
                <w:sz w:val="16"/>
                <w:szCs w:val="16"/>
              </w:rPr>
              <w:t xml:space="preserve"> </w:t>
            </w:r>
          </w:p>
        </w:tc>
        <w:tc>
          <w:tcPr>
            <w:tcW w:w="458" w:type="pct"/>
            <w:tcBorders>
              <w:left w:val="nil"/>
              <w:bottom w:val="single" w:sz="4" w:space="0" w:color="auto"/>
              <w:right w:val="nil"/>
            </w:tcBorders>
            <w:shd w:val="clear" w:color="000000" w:fill="FFFFFF"/>
            <w:noWrap/>
            <w:vAlign w:val="bottom"/>
            <w:hideMark/>
          </w:tcPr>
          <w:p w14:paraId="75FC0899" w14:textId="13A5CE5A" w:rsidR="004344BB" w:rsidRPr="00586EE3" w:rsidRDefault="004344BB" w:rsidP="0024750C">
            <w:pPr>
              <w:spacing w:after="0" w:line="240" w:lineRule="auto"/>
              <w:jc w:val="right"/>
              <w:rPr>
                <w:rFonts w:ascii="Arial" w:hAnsi="Arial" w:cs="Arial"/>
                <w:i/>
                <w:iCs/>
                <w:sz w:val="16"/>
                <w:szCs w:val="16"/>
              </w:rPr>
            </w:pPr>
            <w:r w:rsidRPr="00586EE3">
              <w:rPr>
                <w:rFonts w:ascii="Arial" w:hAnsi="Arial" w:cs="Arial"/>
                <w:i/>
                <w:iCs/>
                <w:sz w:val="16"/>
                <w:szCs w:val="16"/>
              </w:rPr>
              <w:t xml:space="preserve">        5,198.</w:t>
            </w:r>
            <w:r>
              <w:rPr>
                <w:rFonts w:ascii="Arial" w:hAnsi="Arial" w:cs="Arial"/>
                <w:i/>
                <w:iCs/>
                <w:sz w:val="16"/>
                <w:szCs w:val="16"/>
              </w:rPr>
              <w:t>5</w:t>
            </w:r>
            <w:r w:rsidRPr="00586EE3">
              <w:rPr>
                <w:rFonts w:ascii="Arial" w:hAnsi="Arial" w:cs="Arial"/>
                <w:i/>
                <w:iCs/>
                <w:sz w:val="16"/>
                <w:szCs w:val="16"/>
              </w:rPr>
              <w:t xml:space="preserve"> </w:t>
            </w:r>
          </w:p>
        </w:tc>
        <w:tc>
          <w:tcPr>
            <w:tcW w:w="424" w:type="pct"/>
            <w:tcBorders>
              <w:left w:val="nil"/>
              <w:bottom w:val="single" w:sz="4" w:space="0" w:color="auto"/>
              <w:right w:val="nil"/>
            </w:tcBorders>
            <w:shd w:val="clear" w:color="000000" w:fill="FFFFFF"/>
            <w:noWrap/>
            <w:vAlign w:val="bottom"/>
            <w:hideMark/>
          </w:tcPr>
          <w:p w14:paraId="60E2C5F9" w14:textId="471624A5" w:rsidR="004344BB" w:rsidRPr="00586EE3" w:rsidRDefault="004344BB" w:rsidP="0024750C">
            <w:pPr>
              <w:spacing w:after="0" w:line="240" w:lineRule="auto"/>
              <w:jc w:val="right"/>
              <w:rPr>
                <w:rFonts w:ascii="Arial" w:hAnsi="Arial" w:cs="Arial"/>
                <w:i/>
                <w:iCs/>
                <w:sz w:val="16"/>
                <w:szCs w:val="16"/>
              </w:rPr>
            </w:pPr>
            <w:r w:rsidRPr="00586EE3">
              <w:rPr>
                <w:rFonts w:ascii="Arial" w:hAnsi="Arial" w:cs="Arial"/>
                <w:i/>
                <w:iCs/>
                <w:sz w:val="16"/>
                <w:szCs w:val="16"/>
              </w:rPr>
              <w:t xml:space="preserve">     10,06</w:t>
            </w:r>
            <w:r>
              <w:rPr>
                <w:rFonts w:ascii="Arial" w:hAnsi="Arial" w:cs="Arial"/>
                <w:i/>
                <w:iCs/>
                <w:sz w:val="16"/>
                <w:szCs w:val="16"/>
              </w:rPr>
              <w:t>9</w:t>
            </w:r>
            <w:r w:rsidRPr="00586EE3">
              <w:rPr>
                <w:rFonts w:ascii="Arial" w:hAnsi="Arial" w:cs="Arial"/>
                <w:i/>
                <w:iCs/>
                <w:sz w:val="16"/>
                <w:szCs w:val="16"/>
              </w:rPr>
              <w:t>.</w:t>
            </w:r>
            <w:r>
              <w:rPr>
                <w:rFonts w:ascii="Arial" w:hAnsi="Arial" w:cs="Arial"/>
                <w:i/>
                <w:iCs/>
                <w:sz w:val="16"/>
                <w:szCs w:val="16"/>
              </w:rPr>
              <w:t>0</w:t>
            </w:r>
            <w:r w:rsidRPr="00586EE3">
              <w:rPr>
                <w:rFonts w:ascii="Arial" w:hAnsi="Arial" w:cs="Arial"/>
                <w:i/>
                <w:iCs/>
                <w:sz w:val="16"/>
                <w:szCs w:val="16"/>
              </w:rPr>
              <w:t xml:space="preserve"> </w:t>
            </w:r>
          </w:p>
        </w:tc>
        <w:tc>
          <w:tcPr>
            <w:tcW w:w="530" w:type="pct"/>
            <w:tcBorders>
              <w:left w:val="nil"/>
              <w:bottom w:val="single" w:sz="4" w:space="0" w:color="auto"/>
              <w:right w:val="nil"/>
            </w:tcBorders>
            <w:shd w:val="clear" w:color="000000" w:fill="FFFFFF"/>
            <w:noWrap/>
            <w:vAlign w:val="bottom"/>
            <w:hideMark/>
          </w:tcPr>
          <w:p w14:paraId="76D1CCFA" w14:textId="37E28763" w:rsidR="004344BB" w:rsidRPr="00586EE3" w:rsidRDefault="004344BB" w:rsidP="0024750C">
            <w:pPr>
              <w:spacing w:after="0" w:line="240" w:lineRule="auto"/>
              <w:jc w:val="right"/>
              <w:rPr>
                <w:rFonts w:ascii="Arial" w:hAnsi="Arial" w:cs="Arial"/>
                <w:i/>
                <w:iCs/>
                <w:sz w:val="16"/>
                <w:szCs w:val="16"/>
              </w:rPr>
            </w:pPr>
            <w:r w:rsidRPr="00586EE3">
              <w:rPr>
                <w:rFonts w:ascii="Arial" w:hAnsi="Arial" w:cs="Arial"/>
                <w:i/>
                <w:iCs/>
                <w:sz w:val="16"/>
                <w:szCs w:val="16"/>
              </w:rPr>
              <w:t xml:space="preserve">           31,994.</w:t>
            </w:r>
            <w:r>
              <w:rPr>
                <w:rFonts w:ascii="Arial" w:hAnsi="Arial" w:cs="Arial"/>
                <w:i/>
                <w:iCs/>
                <w:sz w:val="16"/>
                <w:szCs w:val="16"/>
              </w:rPr>
              <w:t>7</w:t>
            </w:r>
            <w:r w:rsidRPr="00586EE3">
              <w:rPr>
                <w:rFonts w:ascii="Arial" w:hAnsi="Arial" w:cs="Arial"/>
                <w:i/>
                <w:iCs/>
                <w:sz w:val="16"/>
                <w:szCs w:val="16"/>
              </w:rPr>
              <w:t xml:space="preserve"> </w:t>
            </w:r>
          </w:p>
        </w:tc>
        <w:tc>
          <w:tcPr>
            <w:tcW w:w="477" w:type="pct"/>
            <w:tcBorders>
              <w:left w:val="nil"/>
              <w:bottom w:val="single" w:sz="4" w:space="0" w:color="auto"/>
              <w:right w:val="nil"/>
            </w:tcBorders>
            <w:shd w:val="clear" w:color="000000" w:fill="FFFFFF"/>
            <w:noWrap/>
            <w:vAlign w:val="bottom"/>
            <w:hideMark/>
          </w:tcPr>
          <w:p w14:paraId="69B185C2" w14:textId="2FD0DAFF" w:rsidR="004344BB" w:rsidRPr="00586EE3" w:rsidRDefault="004344BB" w:rsidP="0024750C">
            <w:pPr>
              <w:spacing w:after="0" w:line="240" w:lineRule="auto"/>
              <w:jc w:val="right"/>
              <w:rPr>
                <w:rFonts w:ascii="Arial" w:hAnsi="Arial" w:cs="Arial"/>
                <w:i/>
                <w:iCs/>
                <w:sz w:val="16"/>
                <w:szCs w:val="16"/>
              </w:rPr>
            </w:pPr>
            <w:r w:rsidRPr="00586EE3">
              <w:rPr>
                <w:rFonts w:ascii="Arial" w:hAnsi="Arial" w:cs="Arial"/>
                <w:i/>
                <w:iCs/>
                <w:sz w:val="16"/>
                <w:szCs w:val="16"/>
              </w:rPr>
              <w:t xml:space="preserve">       11,120.</w:t>
            </w:r>
            <w:r>
              <w:rPr>
                <w:rFonts w:ascii="Arial" w:hAnsi="Arial" w:cs="Arial"/>
                <w:i/>
                <w:iCs/>
                <w:sz w:val="16"/>
                <w:szCs w:val="16"/>
              </w:rPr>
              <w:t>5</w:t>
            </w:r>
            <w:r w:rsidRPr="00586EE3">
              <w:rPr>
                <w:rFonts w:ascii="Arial" w:hAnsi="Arial" w:cs="Arial"/>
                <w:i/>
                <w:iCs/>
                <w:sz w:val="16"/>
                <w:szCs w:val="16"/>
              </w:rPr>
              <w:t xml:space="preserve"> </w:t>
            </w:r>
          </w:p>
        </w:tc>
        <w:tc>
          <w:tcPr>
            <w:tcW w:w="442" w:type="pct"/>
            <w:tcBorders>
              <w:left w:val="nil"/>
              <w:bottom w:val="single" w:sz="4" w:space="0" w:color="auto"/>
              <w:right w:val="nil"/>
            </w:tcBorders>
            <w:shd w:val="clear" w:color="000000" w:fill="FFFFFF"/>
            <w:noWrap/>
            <w:vAlign w:val="bottom"/>
            <w:hideMark/>
          </w:tcPr>
          <w:p w14:paraId="5A6555E4" w14:textId="3E08EFCB" w:rsidR="004344BB" w:rsidRPr="00586EE3" w:rsidRDefault="004344BB" w:rsidP="0024750C">
            <w:pPr>
              <w:spacing w:after="0" w:line="240" w:lineRule="auto"/>
              <w:jc w:val="right"/>
              <w:rPr>
                <w:rFonts w:ascii="Arial" w:hAnsi="Arial" w:cs="Arial"/>
                <w:i/>
                <w:iCs/>
                <w:sz w:val="16"/>
                <w:szCs w:val="16"/>
              </w:rPr>
            </w:pPr>
            <w:r w:rsidRPr="00586EE3">
              <w:rPr>
                <w:rFonts w:ascii="Arial" w:hAnsi="Arial" w:cs="Arial"/>
                <w:i/>
                <w:iCs/>
                <w:sz w:val="16"/>
                <w:szCs w:val="16"/>
              </w:rPr>
              <w:t xml:space="preserve">  8</w:t>
            </w:r>
            <w:r>
              <w:rPr>
                <w:rFonts w:ascii="Arial" w:hAnsi="Arial" w:cs="Arial"/>
                <w:i/>
                <w:iCs/>
                <w:sz w:val="16"/>
                <w:szCs w:val="16"/>
              </w:rPr>
              <w:t>5</w:t>
            </w:r>
            <w:r w:rsidRPr="00586EE3">
              <w:rPr>
                <w:rFonts w:ascii="Arial" w:hAnsi="Arial" w:cs="Arial"/>
                <w:i/>
                <w:iCs/>
                <w:sz w:val="16"/>
                <w:szCs w:val="16"/>
              </w:rPr>
              <w:t>,</w:t>
            </w:r>
            <w:r>
              <w:rPr>
                <w:rFonts w:ascii="Arial" w:hAnsi="Arial" w:cs="Arial"/>
                <w:i/>
                <w:iCs/>
                <w:sz w:val="16"/>
                <w:szCs w:val="16"/>
              </w:rPr>
              <w:t>968</w:t>
            </w:r>
            <w:r w:rsidRPr="00586EE3">
              <w:rPr>
                <w:rFonts w:ascii="Arial" w:hAnsi="Arial" w:cs="Arial"/>
                <w:i/>
                <w:iCs/>
                <w:sz w:val="16"/>
                <w:szCs w:val="16"/>
              </w:rPr>
              <w:t xml:space="preserve">.2 </w:t>
            </w:r>
          </w:p>
        </w:tc>
        <w:tc>
          <w:tcPr>
            <w:tcW w:w="495" w:type="pct"/>
            <w:tcBorders>
              <w:left w:val="nil"/>
              <w:bottom w:val="single" w:sz="4" w:space="0" w:color="auto"/>
              <w:right w:val="nil"/>
            </w:tcBorders>
            <w:shd w:val="clear" w:color="000000" w:fill="FFFFFF"/>
            <w:noWrap/>
            <w:vAlign w:val="bottom"/>
            <w:hideMark/>
          </w:tcPr>
          <w:p w14:paraId="7C9CF3AD" w14:textId="64E057B5" w:rsidR="004344BB" w:rsidRPr="00586EE3" w:rsidRDefault="004344BB" w:rsidP="0024750C">
            <w:pPr>
              <w:spacing w:after="0" w:line="240" w:lineRule="auto"/>
              <w:jc w:val="right"/>
              <w:rPr>
                <w:rFonts w:ascii="Arial" w:hAnsi="Arial" w:cs="Arial"/>
                <w:i/>
                <w:iCs/>
                <w:sz w:val="16"/>
                <w:szCs w:val="16"/>
              </w:rPr>
            </w:pPr>
            <w:r w:rsidRPr="00586EE3">
              <w:rPr>
                <w:rFonts w:ascii="Arial" w:hAnsi="Arial" w:cs="Arial"/>
                <w:i/>
                <w:iCs/>
                <w:sz w:val="16"/>
                <w:szCs w:val="16"/>
              </w:rPr>
              <w:t xml:space="preserve">    64,3</w:t>
            </w:r>
            <w:r>
              <w:rPr>
                <w:rFonts w:ascii="Arial" w:hAnsi="Arial" w:cs="Arial"/>
                <w:i/>
                <w:iCs/>
                <w:sz w:val="16"/>
                <w:szCs w:val="16"/>
              </w:rPr>
              <w:t>31</w:t>
            </w:r>
            <w:r w:rsidRPr="00586EE3">
              <w:rPr>
                <w:rFonts w:ascii="Arial" w:hAnsi="Arial" w:cs="Arial"/>
                <w:i/>
                <w:iCs/>
                <w:sz w:val="16"/>
                <w:szCs w:val="16"/>
              </w:rPr>
              <w:t>.</w:t>
            </w:r>
            <w:r>
              <w:rPr>
                <w:rFonts w:ascii="Arial" w:hAnsi="Arial" w:cs="Arial"/>
                <w:i/>
                <w:iCs/>
                <w:sz w:val="16"/>
                <w:szCs w:val="16"/>
              </w:rPr>
              <w:t>6</w:t>
            </w:r>
            <w:r w:rsidRPr="00586EE3">
              <w:rPr>
                <w:rFonts w:ascii="Arial" w:hAnsi="Arial" w:cs="Arial"/>
                <w:i/>
                <w:iCs/>
                <w:sz w:val="16"/>
                <w:szCs w:val="16"/>
              </w:rPr>
              <w:t xml:space="preserve"> </w:t>
            </w:r>
          </w:p>
        </w:tc>
        <w:tc>
          <w:tcPr>
            <w:tcW w:w="371" w:type="pct"/>
            <w:tcBorders>
              <w:left w:val="nil"/>
              <w:bottom w:val="single" w:sz="4" w:space="0" w:color="auto"/>
              <w:right w:val="nil"/>
            </w:tcBorders>
            <w:shd w:val="clear" w:color="000000" w:fill="FFFFFF"/>
            <w:noWrap/>
            <w:vAlign w:val="bottom"/>
            <w:hideMark/>
          </w:tcPr>
          <w:p w14:paraId="2C3D2A9C" w14:textId="1DA1A7FE" w:rsidR="004344BB" w:rsidRPr="00586EE3" w:rsidRDefault="004344BB" w:rsidP="0024750C">
            <w:pPr>
              <w:spacing w:after="0" w:line="240" w:lineRule="auto"/>
              <w:jc w:val="right"/>
              <w:rPr>
                <w:rFonts w:ascii="Arial" w:hAnsi="Arial" w:cs="Arial"/>
                <w:i/>
                <w:iCs/>
                <w:sz w:val="16"/>
                <w:szCs w:val="16"/>
              </w:rPr>
            </w:pPr>
            <w:r w:rsidRPr="00586EE3">
              <w:rPr>
                <w:rFonts w:ascii="Arial" w:hAnsi="Arial" w:cs="Arial"/>
                <w:i/>
                <w:iCs/>
                <w:sz w:val="16"/>
                <w:szCs w:val="16"/>
              </w:rPr>
              <w:t>208,</w:t>
            </w:r>
            <w:r>
              <w:rPr>
                <w:rFonts w:ascii="Arial" w:hAnsi="Arial" w:cs="Arial"/>
                <w:i/>
                <w:iCs/>
                <w:sz w:val="16"/>
                <w:szCs w:val="16"/>
              </w:rPr>
              <w:t>682</w:t>
            </w:r>
            <w:r w:rsidRPr="00586EE3">
              <w:rPr>
                <w:rFonts w:ascii="Arial" w:hAnsi="Arial" w:cs="Arial"/>
                <w:i/>
                <w:iCs/>
                <w:sz w:val="16"/>
                <w:szCs w:val="16"/>
              </w:rPr>
              <w:t>.</w:t>
            </w:r>
            <w:r>
              <w:rPr>
                <w:rFonts w:ascii="Arial" w:hAnsi="Arial" w:cs="Arial"/>
                <w:i/>
                <w:iCs/>
                <w:sz w:val="16"/>
                <w:szCs w:val="16"/>
              </w:rPr>
              <w:t>2</w:t>
            </w:r>
          </w:p>
        </w:tc>
      </w:tr>
      <w:tr w:rsidR="00D76ED2" w:rsidRPr="00586EE3" w14:paraId="04F6A25C" w14:textId="77777777" w:rsidTr="00CB7A07">
        <w:trPr>
          <w:trHeight w:val="255"/>
        </w:trPr>
        <w:tc>
          <w:tcPr>
            <w:tcW w:w="143" w:type="pct"/>
            <w:tcBorders>
              <w:top w:val="nil"/>
              <w:left w:val="nil"/>
              <w:bottom w:val="nil"/>
              <w:right w:val="nil"/>
            </w:tcBorders>
            <w:shd w:val="clear" w:color="000000" w:fill="FFFFFF"/>
            <w:noWrap/>
            <w:vAlign w:val="bottom"/>
            <w:hideMark/>
          </w:tcPr>
          <w:p w14:paraId="115DC5BB"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w:t>
            </w:r>
          </w:p>
        </w:tc>
        <w:tc>
          <w:tcPr>
            <w:tcW w:w="1058" w:type="pct"/>
            <w:tcBorders>
              <w:top w:val="single" w:sz="4" w:space="0" w:color="auto"/>
              <w:left w:val="nil"/>
              <w:right w:val="nil"/>
            </w:tcBorders>
            <w:shd w:val="clear" w:color="000000" w:fill="FFFFFF"/>
            <w:noWrap/>
            <w:vAlign w:val="bottom"/>
            <w:hideMark/>
          </w:tcPr>
          <w:p w14:paraId="55775832" w14:textId="39F76E3B" w:rsidR="004344BB" w:rsidRPr="00586EE3" w:rsidRDefault="004344BB" w:rsidP="0024750C">
            <w:pPr>
              <w:spacing w:after="0" w:line="240" w:lineRule="auto"/>
              <w:jc w:val="left"/>
              <w:rPr>
                <w:rFonts w:ascii="Arial" w:hAnsi="Arial" w:cs="Arial"/>
                <w:sz w:val="16"/>
                <w:szCs w:val="16"/>
              </w:rPr>
            </w:pPr>
            <w:r w:rsidRPr="00586EE3">
              <w:rPr>
                <w:rFonts w:ascii="Arial" w:hAnsi="Arial" w:cs="Arial"/>
                <w:sz w:val="16"/>
                <w:szCs w:val="16"/>
              </w:rPr>
              <w:t xml:space="preserve">Australia </w:t>
            </w:r>
          </w:p>
        </w:tc>
        <w:tc>
          <w:tcPr>
            <w:tcW w:w="107" w:type="pct"/>
            <w:tcBorders>
              <w:top w:val="single" w:sz="4" w:space="0" w:color="auto"/>
              <w:left w:val="nil"/>
              <w:right w:val="nil"/>
            </w:tcBorders>
            <w:shd w:val="clear" w:color="000000" w:fill="FFFFFF"/>
            <w:noWrap/>
            <w:vAlign w:val="bottom"/>
            <w:hideMark/>
          </w:tcPr>
          <w:p w14:paraId="5E7F5805" w14:textId="77777777" w:rsidR="004344BB" w:rsidRPr="00586EE3" w:rsidRDefault="004344BB" w:rsidP="004344BB">
            <w:pPr>
              <w:spacing w:after="0" w:line="240" w:lineRule="auto"/>
              <w:jc w:val="right"/>
              <w:rPr>
                <w:rFonts w:ascii="Arial" w:hAnsi="Arial" w:cs="Arial"/>
                <w:i/>
                <w:iCs/>
                <w:sz w:val="16"/>
                <w:szCs w:val="16"/>
              </w:rPr>
            </w:pPr>
            <w:r w:rsidRPr="00586EE3">
              <w:rPr>
                <w:rFonts w:ascii="Arial" w:hAnsi="Arial" w:cs="Arial"/>
                <w:i/>
                <w:iCs/>
                <w:sz w:val="16"/>
                <w:szCs w:val="16"/>
              </w:rPr>
              <w:t> </w:t>
            </w:r>
          </w:p>
        </w:tc>
        <w:tc>
          <w:tcPr>
            <w:tcW w:w="495" w:type="pct"/>
            <w:tcBorders>
              <w:top w:val="single" w:sz="4" w:space="0" w:color="auto"/>
              <w:left w:val="nil"/>
              <w:right w:val="nil"/>
            </w:tcBorders>
            <w:shd w:val="clear" w:color="000000" w:fill="FFFFFF"/>
            <w:noWrap/>
            <w:vAlign w:val="bottom"/>
            <w:hideMark/>
          </w:tcPr>
          <w:p w14:paraId="56609A32"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450 </w:t>
            </w:r>
          </w:p>
        </w:tc>
        <w:tc>
          <w:tcPr>
            <w:tcW w:w="458" w:type="pct"/>
            <w:tcBorders>
              <w:top w:val="single" w:sz="4" w:space="0" w:color="auto"/>
              <w:left w:val="nil"/>
              <w:right w:val="nil"/>
            </w:tcBorders>
            <w:shd w:val="clear" w:color="000000" w:fill="FFFFFF"/>
            <w:noWrap/>
            <w:vAlign w:val="bottom"/>
            <w:hideMark/>
          </w:tcPr>
          <w:p w14:paraId="53085CF6" w14:textId="77777777"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612.0 </w:t>
            </w:r>
          </w:p>
        </w:tc>
        <w:tc>
          <w:tcPr>
            <w:tcW w:w="424" w:type="pct"/>
            <w:tcBorders>
              <w:top w:val="single" w:sz="4" w:space="0" w:color="auto"/>
              <w:left w:val="nil"/>
              <w:right w:val="nil"/>
            </w:tcBorders>
            <w:shd w:val="clear" w:color="000000" w:fill="FFFFFF"/>
            <w:noWrap/>
            <w:vAlign w:val="bottom"/>
            <w:hideMark/>
          </w:tcPr>
          <w:p w14:paraId="02E31952" w14:textId="5DE7666C"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w:t>
            </w:r>
            <w:r>
              <w:rPr>
                <w:rFonts w:ascii="Arial" w:hAnsi="Arial" w:cs="Arial"/>
                <w:sz w:val="16"/>
                <w:szCs w:val="16"/>
              </w:rPr>
              <w:t>594.3</w:t>
            </w:r>
            <w:r w:rsidRPr="00586EE3">
              <w:rPr>
                <w:rFonts w:ascii="Arial" w:hAnsi="Arial" w:cs="Arial"/>
                <w:sz w:val="16"/>
                <w:szCs w:val="16"/>
              </w:rPr>
              <w:t xml:space="preserve"> </w:t>
            </w:r>
          </w:p>
        </w:tc>
        <w:tc>
          <w:tcPr>
            <w:tcW w:w="530" w:type="pct"/>
            <w:tcBorders>
              <w:top w:val="single" w:sz="4" w:space="0" w:color="auto"/>
              <w:left w:val="nil"/>
              <w:right w:val="nil"/>
            </w:tcBorders>
            <w:shd w:val="clear" w:color="000000" w:fill="FFFFFF"/>
            <w:noWrap/>
            <w:vAlign w:val="bottom"/>
            <w:hideMark/>
          </w:tcPr>
          <w:p w14:paraId="5D4F0AFF" w14:textId="095F9863"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w:t>
            </w:r>
            <w:r>
              <w:rPr>
                <w:rFonts w:ascii="Arial" w:hAnsi="Arial" w:cs="Arial"/>
                <w:sz w:val="16"/>
                <w:szCs w:val="16"/>
              </w:rPr>
              <w:t>3,774.</w:t>
            </w:r>
            <w:r w:rsidRPr="00586EE3">
              <w:rPr>
                <w:rFonts w:ascii="Arial" w:hAnsi="Arial" w:cs="Arial"/>
                <w:sz w:val="16"/>
                <w:szCs w:val="16"/>
              </w:rPr>
              <w:t xml:space="preserve">1 </w:t>
            </w:r>
          </w:p>
        </w:tc>
        <w:tc>
          <w:tcPr>
            <w:tcW w:w="477" w:type="pct"/>
            <w:tcBorders>
              <w:top w:val="single" w:sz="4" w:space="0" w:color="auto"/>
              <w:left w:val="nil"/>
              <w:right w:val="nil"/>
            </w:tcBorders>
            <w:shd w:val="clear" w:color="000000" w:fill="FFFFFF"/>
            <w:noWrap/>
            <w:vAlign w:val="bottom"/>
            <w:hideMark/>
          </w:tcPr>
          <w:p w14:paraId="3C65B8EC" w14:textId="4CFC450E"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w:t>
            </w:r>
            <w:r>
              <w:rPr>
                <w:rFonts w:ascii="Arial" w:hAnsi="Arial" w:cs="Arial"/>
                <w:sz w:val="16"/>
                <w:szCs w:val="16"/>
              </w:rPr>
              <w:t>391</w:t>
            </w:r>
            <w:r w:rsidRPr="00586EE3">
              <w:rPr>
                <w:rFonts w:ascii="Arial" w:hAnsi="Arial" w:cs="Arial"/>
                <w:sz w:val="16"/>
                <w:szCs w:val="16"/>
              </w:rPr>
              <w:t xml:space="preserve">.6 </w:t>
            </w:r>
          </w:p>
        </w:tc>
        <w:tc>
          <w:tcPr>
            <w:tcW w:w="442" w:type="pct"/>
            <w:tcBorders>
              <w:top w:val="single" w:sz="4" w:space="0" w:color="auto"/>
              <w:left w:val="nil"/>
              <w:right w:val="nil"/>
            </w:tcBorders>
            <w:shd w:val="clear" w:color="000000" w:fill="FFFFFF"/>
            <w:noWrap/>
            <w:vAlign w:val="bottom"/>
            <w:hideMark/>
          </w:tcPr>
          <w:p w14:paraId="25740FE0" w14:textId="2BD77C22"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w:t>
            </w:r>
            <w:r>
              <w:rPr>
                <w:rFonts w:ascii="Arial" w:hAnsi="Arial" w:cs="Arial"/>
                <w:sz w:val="16"/>
                <w:szCs w:val="16"/>
              </w:rPr>
              <w:t>5,683.0</w:t>
            </w:r>
            <w:r w:rsidRPr="00586EE3">
              <w:rPr>
                <w:rFonts w:ascii="Arial" w:hAnsi="Arial" w:cs="Arial"/>
                <w:sz w:val="16"/>
                <w:szCs w:val="16"/>
              </w:rPr>
              <w:t xml:space="preserve"> </w:t>
            </w:r>
          </w:p>
        </w:tc>
        <w:tc>
          <w:tcPr>
            <w:tcW w:w="495" w:type="pct"/>
            <w:tcBorders>
              <w:top w:val="single" w:sz="4" w:space="0" w:color="auto"/>
              <w:left w:val="nil"/>
              <w:right w:val="nil"/>
            </w:tcBorders>
            <w:shd w:val="clear" w:color="000000" w:fill="FFFFFF"/>
            <w:noWrap/>
            <w:vAlign w:val="bottom"/>
            <w:hideMark/>
          </w:tcPr>
          <w:p w14:paraId="7091CB8E" w14:textId="05735660" w:rsidR="004344BB" w:rsidRPr="00586EE3" w:rsidRDefault="004344BB" w:rsidP="0024750C">
            <w:pPr>
              <w:spacing w:after="0" w:line="240" w:lineRule="auto"/>
              <w:jc w:val="right"/>
              <w:rPr>
                <w:rFonts w:ascii="Arial" w:hAnsi="Arial" w:cs="Arial"/>
                <w:sz w:val="16"/>
                <w:szCs w:val="16"/>
              </w:rPr>
            </w:pPr>
            <w:r w:rsidRPr="00586EE3">
              <w:rPr>
                <w:rFonts w:ascii="Arial" w:hAnsi="Arial" w:cs="Arial"/>
                <w:sz w:val="16"/>
                <w:szCs w:val="16"/>
              </w:rPr>
              <w:t xml:space="preserve">         </w:t>
            </w:r>
            <w:r>
              <w:rPr>
                <w:rFonts w:ascii="Arial" w:hAnsi="Arial" w:cs="Arial"/>
                <w:sz w:val="16"/>
                <w:szCs w:val="16"/>
              </w:rPr>
              <w:t>12,599.9</w:t>
            </w:r>
            <w:r w:rsidRPr="00586EE3">
              <w:rPr>
                <w:rFonts w:ascii="Arial" w:hAnsi="Arial" w:cs="Arial"/>
                <w:sz w:val="16"/>
                <w:szCs w:val="16"/>
              </w:rPr>
              <w:t xml:space="preserve"> </w:t>
            </w:r>
          </w:p>
        </w:tc>
        <w:tc>
          <w:tcPr>
            <w:tcW w:w="371" w:type="pct"/>
            <w:tcBorders>
              <w:top w:val="single" w:sz="4" w:space="0" w:color="auto"/>
              <w:left w:val="nil"/>
              <w:right w:val="nil"/>
            </w:tcBorders>
            <w:shd w:val="clear" w:color="000000" w:fill="FFFFFF"/>
            <w:noWrap/>
            <w:vAlign w:val="bottom"/>
            <w:hideMark/>
          </w:tcPr>
          <w:p w14:paraId="243AF5DB" w14:textId="7899387A" w:rsidR="004344BB" w:rsidRPr="00586EE3" w:rsidRDefault="004344BB" w:rsidP="0024750C">
            <w:pPr>
              <w:spacing w:after="0" w:line="240" w:lineRule="auto"/>
              <w:jc w:val="right"/>
              <w:rPr>
                <w:rFonts w:ascii="Arial" w:hAnsi="Arial" w:cs="Arial"/>
                <w:sz w:val="16"/>
                <w:szCs w:val="16"/>
              </w:rPr>
            </w:pPr>
            <w:r>
              <w:rPr>
                <w:rFonts w:ascii="Arial" w:hAnsi="Arial" w:cs="Arial"/>
                <w:sz w:val="16"/>
                <w:szCs w:val="16"/>
              </w:rPr>
              <w:t>23,655.0</w:t>
            </w:r>
          </w:p>
        </w:tc>
      </w:tr>
      <w:tr w:rsidR="00D76ED2" w:rsidRPr="00586EE3" w14:paraId="0882392F" w14:textId="77777777" w:rsidTr="00CB7A07">
        <w:trPr>
          <w:trHeight w:val="255"/>
        </w:trPr>
        <w:tc>
          <w:tcPr>
            <w:tcW w:w="143" w:type="pct"/>
            <w:tcBorders>
              <w:top w:val="nil"/>
              <w:left w:val="nil"/>
              <w:bottom w:val="nil"/>
              <w:right w:val="nil"/>
            </w:tcBorders>
            <w:shd w:val="clear" w:color="000000" w:fill="FFFFFF"/>
            <w:noWrap/>
            <w:vAlign w:val="bottom"/>
            <w:hideMark/>
          </w:tcPr>
          <w:p w14:paraId="04BF680F" w14:textId="77777777" w:rsidR="004344BB" w:rsidRPr="00586EE3" w:rsidRDefault="004344BB" w:rsidP="004344BB">
            <w:pPr>
              <w:spacing w:after="0" w:line="240" w:lineRule="auto"/>
              <w:rPr>
                <w:rFonts w:ascii="Arial" w:hAnsi="Arial" w:cs="Arial"/>
                <w:sz w:val="16"/>
                <w:szCs w:val="16"/>
              </w:rPr>
            </w:pPr>
            <w:r w:rsidRPr="00586EE3">
              <w:rPr>
                <w:rFonts w:ascii="Arial" w:hAnsi="Arial" w:cs="Arial"/>
                <w:sz w:val="16"/>
                <w:szCs w:val="16"/>
              </w:rPr>
              <w:t> </w:t>
            </w:r>
          </w:p>
        </w:tc>
        <w:tc>
          <w:tcPr>
            <w:tcW w:w="1058" w:type="pct"/>
            <w:tcBorders>
              <w:left w:val="nil"/>
              <w:bottom w:val="single" w:sz="4" w:space="0" w:color="auto"/>
              <w:right w:val="nil"/>
            </w:tcBorders>
            <w:shd w:val="clear" w:color="000000" w:fill="FFFFFF"/>
            <w:noWrap/>
            <w:vAlign w:val="bottom"/>
            <w:hideMark/>
          </w:tcPr>
          <w:p w14:paraId="3E07C99D" w14:textId="49F017A2" w:rsidR="004344BB" w:rsidRPr="00944CAF" w:rsidRDefault="004344BB" w:rsidP="0024750C">
            <w:pPr>
              <w:spacing w:after="0" w:line="240" w:lineRule="auto"/>
              <w:jc w:val="left"/>
              <w:rPr>
                <w:rFonts w:ascii="Arial" w:hAnsi="Arial" w:cs="Arial"/>
                <w:b/>
                <w:bCs/>
                <w:sz w:val="16"/>
                <w:szCs w:val="16"/>
              </w:rPr>
            </w:pPr>
            <w:r w:rsidRPr="00944CAF">
              <w:rPr>
                <w:rFonts w:ascii="Arial" w:hAnsi="Arial" w:cs="Arial"/>
                <w:b/>
                <w:bCs/>
                <w:sz w:val="16"/>
                <w:szCs w:val="16"/>
              </w:rPr>
              <w:t xml:space="preserve">Total </w:t>
            </w:r>
          </w:p>
        </w:tc>
        <w:tc>
          <w:tcPr>
            <w:tcW w:w="107" w:type="pct"/>
            <w:tcBorders>
              <w:left w:val="nil"/>
              <w:bottom w:val="single" w:sz="4" w:space="0" w:color="auto"/>
              <w:right w:val="nil"/>
            </w:tcBorders>
            <w:shd w:val="clear" w:color="000000" w:fill="FFFFFF"/>
            <w:noWrap/>
            <w:vAlign w:val="bottom"/>
            <w:hideMark/>
          </w:tcPr>
          <w:p w14:paraId="4BCE4E6C" w14:textId="77777777" w:rsidR="004344BB" w:rsidRPr="0064050A" w:rsidRDefault="004344BB" w:rsidP="004344BB">
            <w:pPr>
              <w:spacing w:after="0" w:line="240" w:lineRule="auto"/>
              <w:rPr>
                <w:rFonts w:ascii="Arial" w:hAnsi="Arial" w:cs="Arial"/>
                <w:b/>
                <w:sz w:val="16"/>
                <w:szCs w:val="16"/>
              </w:rPr>
            </w:pPr>
            <w:r w:rsidRPr="0064050A">
              <w:rPr>
                <w:rFonts w:ascii="Arial" w:hAnsi="Arial" w:cs="Arial"/>
                <w:b/>
                <w:sz w:val="16"/>
                <w:szCs w:val="16"/>
              </w:rPr>
              <w:t> </w:t>
            </w:r>
          </w:p>
        </w:tc>
        <w:tc>
          <w:tcPr>
            <w:tcW w:w="495" w:type="pct"/>
            <w:tcBorders>
              <w:left w:val="nil"/>
              <w:bottom w:val="single" w:sz="4" w:space="0" w:color="auto"/>
              <w:right w:val="nil"/>
            </w:tcBorders>
            <w:shd w:val="clear" w:color="000000" w:fill="FFFFFF"/>
            <w:noWrap/>
            <w:vAlign w:val="bottom"/>
            <w:hideMark/>
          </w:tcPr>
          <w:p w14:paraId="44A35C87" w14:textId="3D23D29E" w:rsidR="004344BB" w:rsidRPr="0064050A" w:rsidRDefault="004344BB" w:rsidP="0024750C">
            <w:pPr>
              <w:spacing w:after="0" w:line="240" w:lineRule="auto"/>
              <w:jc w:val="right"/>
              <w:rPr>
                <w:rFonts w:ascii="Arial" w:hAnsi="Arial" w:cs="Arial"/>
                <w:b/>
                <w:sz w:val="16"/>
                <w:szCs w:val="16"/>
              </w:rPr>
            </w:pPr>
            <w:r w:rsidRPr="0064050A">
              <w:rPr>
                <w:rFonts w:ascii="Arial" w:hAnsi="Arial" w:cs="Arial"/>
                <w:b/>
                <w:sz w:val="16"/>
                <w:szCs w:val="16"/>
              </w:rPr>
              <w:t xml:space="preserve">            </w:t>
            </w:r>
            <w:r>
              <w:rPr>
                <w:rFonts w:ascii="Arial" w:hAnsi="Arial" w:cs="Arial"/>
                <w:b/>
                <w:bCs/>
                <w:sz w:val="16"/>
                <w:szCs w:val="16"/>
              </w:rPr>
              <w:t>10,347</w:t>
            </w:r>
            <w:r w:rsidRPr="0064050A">
              <w:rPr>
                <w:rFonts w:ascii="Arial" w:hAnsi="Arial" w:cs="Arial"/>
                <w:b/>
                <w:sz w:val="16"/>
                <w:szCs w:val="16"/>
              </w:rPr>
              <w:t xml:space="preserve"> </w:t>
            </w:r>
          </w:p>
        </w:tc>
        <w:tc>
          <w:tcPr>
            <w:tcW w:w="458" w:type="pct"/>
            <w:tcBorders>
              <w:left w:val="nil"/>
              <w:bottom w:val="single" w:sz="4" w:space="0" w:color="auto"/>
              <w:right w:val="nil"/>
            </w:tcBorders>
            <w:shd w:val="clear" w:color="000000" w:fill="FFFFFF"/>
            <w:noWrap/>
            <w:vAlign w:val="bottom"/>
            <w:hideMark/>
          </w:tcPr>
          <w:p w14:paraId="4A2171F9" w14:textId="08188565" w:rsidR="004344BB" w:rsidRPr="0064050A" w:rsidRDefault="004344BB" w:rsidP="0024750C">
            <w:pPr>
              <w:spacing w:after="0" w:line="240" w:lineRule="auto"/>
              <w:jc w:val="right"/>
              <w:rPr>
                <w:rFonts w:ascii="Arial" w:hAnsi="Arial" w:cs="Arial"/>
                <w:b/>
                <w:sz w:val="16"/>
                <w:szCs w:val="16"/>
              </w:rPr>
            </w:pPr>
            <w:r w:rsidRPr="0064050A">
              <w:rPr>
                <w:rFonts w:ascii="Arial" w:hAnsi="Arial" w:cs="Arial"/>
                <w:b/>
                <w:sz w:val="16"/>
                <w:szCs w:val="16"/>
              </w:rPr>
              <w:t xml:space="preserve">         5,810.</w:t>
            </w:r>
            <w:r>
              <w:rPr>
                <w:rFonts w:ascii="Arial" w:hAnsi="Arial" w:cs="Arial"/>
                <w:b/>
                <w:bCs/>
                <w:sz w:val="16"/>
                <w:szCs w:val="16"/>
              </w:rPr>
              <w:t>5</w:t>
            </w:r>
          </w:p>
        </w:tc>
        <w:tc>
          <w:tcPr>
            <w:tcW w:w="424" w:type="pct"/>
            <w:tcBorders>
              <w:left w:val="nil"/>
              <w:bottom w:val="single" w:sz="4" w:space="0" w:color="auto"/>
              <w:right w:val="nil"/>
            </w:tcBorders>
            <w:shd w:val="clear" w:color="000000" w:fill="FFFFFF"/>
            <w:noWrap/>
            <w:vAlign w:val="bottom"/>
            <w:hideMark/>
          </w:tcPr>
          <w:p w14:paraId="001E2983" w14:textId="17DC6EAD" w:rsidR="004344BB" w:rsidRPr="0064050A" w:rsidRDefault="004344BB" w:rsidP="0024750C">
            <w:pPr>
              <w:spacing w:after="0" w:line="240" w:lineRule="auto"/>
              <w:jc w:val="right"/>
              <w:rPr>
                <w:rFonts w:ascii="Arial" w:hAnsi="Arial" w:cs="Arial"/>
                <w:b/>
                <w:sz w:val="16"/>
                <w:szCs w:val="16"/>
              </w:rPr>
            </w:pPr>
            <w:r w:rsidRPr="0064050A">
              <w:rPr>
                <w:rFonts w:ascii="Arial" w:hAnsi="Arial" w:cs="Arial"/>
                <w:b/>
                <w:sz w:val="16"/>
                <w:szCs w:val="16"/>
              </w:rPr>
              <w:t xml:space="preserve">     10,</w:t>
            </w:r>
            <w:r>
              <w:rPr>
                <w:rFonts w:ascii="Arial" w:hAnsi="Arial" w:cs="Arial"/>
                <w:b/>
                <w:bCs/>
                <w:sz w:val="16"/>
                <w:szCs w:val="16"/>
              </w:rPr>
              <w:t>663</w:t>
            </w:r>
            <w:r>
              <w:rPr>
                <w:rFonts w:ascii="Arial" w:hAnsi="Arial" w:cs="Arial"/>
                <w:b/>
                <w:sz w:val="16"/>
                <w:szCs w:val="16"/>
              </w:rPr>
              <w:t>.3</w:t>
            </w:r>
            <w:r w:rsidRPr="0064050A">
              <w:rPr>
                <w:rFonts w:ascii="Arial" w:hAnsi="Arial" w:cs="Arial"/>
                <w:b/>
                <w:sz w:val="16"/>
                <w:szCs w:val="16"/>
              </w:rPr>
              <w:t xml:space="preserve"> </w:t>
            </w:r>
          </w:p>
        </w:tc>
        <w:tc>
          <w:tcPr>
            <w:tcW w:w="530" w:type="pct"/>
            <w:tcBorders>
              <w:left w:val="nil"/>
              <w:bottom w:val="single" w:sz="4" w:space="0" w:color="auto"/>
              <w:right w:val="nil"/>
            </w:tcBorders>
            <w:shd w:val="clear" w:color="000000" w:fill="FFFFFF"/>
            <w:noWrap/>
            <w:vAlign w:val="bottom"/>
            <w:hideMark/>
          </w:tcPr>
          <w:p w14:paraId="202B4814" w14:textId="544910E0" w:rsidR="004344BB" w:rsidRPr="0064050A" w:rsidRDefault="004344BB" w:rsidP="0024750C">
            <w:pPr>
              <w:spacing w:after="0" w:line="240" w:lineRule="auto"/>
              <w:jc w:val="right"/>
              <w:rPr>
                <w:rFonts w:ascii="Arial" w:hAnsi="Arial" w:cs="Arial"/>
                <w:b/>
                <w:sz w:val="16"/>
                <w:szCs w:val="16"/>
              </w:rPr>
            </w:pPr>
            <w:r w:rsidRPr="0064050A">
              <w:rPr>
                <w:rFonts w:ascii="Arial" w:hAnsi="Arial" w:cs="Arial"/>
                <w:b/>
                <w:sz w:val="16"/>
                <w:szCs w:val="16"/>
              </w:rPr>
              <w:t xml:space="preserve">           3</w:t>
            </w:r>
            <w:r>
              <w:rPr>
                <w:rFonts w:ascii="Arial" w:hAnsi="Arial" w:cs="Arial"/>
                <w:b/>
                <w:bCs/>
                <w:sz w:val="16"/>
                <w:szCs w:val="16"/>
              </w:rPr>
              <w:t>5,768.8</w:t>
            </w:r>
          </w:p>
        </w:tc>
        <w:tc>
          <w:tcPr>
            <w:tcW w:w="477" w:type="pct"/>
            <w:tcBorders>
              <w:left w:val="nil"/>
              <w:bottom w:val="single" w:sz="4" w:space="0" w:color="auto"/>
              <w:right w:val="nil"/>
            </w:tcBorders>
            <w:shd w:val="clear" w:color="000000" w:fill="FFFFFF"/>
            <w:noWrap/>
            <w:vAlign w:val="bottom"/>
            <w:hideMark/>
          </w:tcPr>
          <w:p w14:paraId="3778F7AA" w14:textId="27AC80E0" w:rsidR="004344BB" w:rsidRPr="0064050A" w:rsidRDefault="004344BB" w:rsidP="0024750C">
            <w:pPr>
              <w:spacing w:after="0" w:line="240" w:lineRule="auto"/>
              <w:jc w:val="right"/>
              <w:rPr>
                <w:rFonts w:ascii="Arial" w:hAnsi="Arial" w:cs="Arial"/>
                <w:b/>
                <w:sz w:val="16"/>
                <w:szCs w:val="16"/>
              </w:rPr>
            </w:pPr>
            <w:r w:rsidRPr="0064050A">
              <w:rPr>
                <w:rFonts w:ascii="Arial" w:hAnsi="Arial" w:cs="Arial"/>
                <w:b/>
                <w:sz w:val="16"/>
                <w:szCs w:val="16"/>
              </w:rPr>
              <w:t xml:space="preserve">        </w:t>
            </w:r>
            <w:r>
              <w:rPr>
                <w:rFonts w:ascii="Arial" w:hAnsi="Arial" w:cs="Arial"/>
                <w:b/>
                <w:bCs/>
                <w:sz w:val="16"/>
                <w:szCs w:val="16"/>
              </w:rPr>
              <w:t>1,512</w:t>
            </w:r>
            <w:r>
              <w:rPr>
                <w:rFonts w:ascii="Arial" w:hAnsi="Arial" w:cs="Arial"/>
                <w:b/>
                <w:sz w:val="16"/>
                <w:szCs w:val="16"/>
              </w:rPr>
              <w:t>.1</w:t>
            </w:r>
            <w:r w:rsidRPr="0064050A">
              <w:rPr>
                <w:rFonts w:ascii="Arial" w:hAnsi="Arial" w:cs="Arial"/>
                <w:b/>
                <w:sz w:val="16"/>
                <w:szCs w:val="16"/>
              </w:rPr>
              <w:t xml:space="preserve"> </w:t>
            </w:r>
          </w:p>
        </w:tc>
        <w:tc>
          <w:tcPr>
            <w:tcW w:w="442" w:type="pct"/>
            <w:tcBorders>
              <w:left w:val="nil"/>
              <w:bottom w:val="single" w:sz="4" w:space="0" w:color="auto"/>
              <w:right w:val="nil"/>
            </w:tcBorders>
            <w:shd w:val="clear" w:color="000000" w:fill="FFFFFF"/>
            <w:noWrap/>
            <w:vAlign w:val="bottom"/>
            <w:hideMark/>
          </w:tcPr>
          <w:p w14:paraId="36C2192A" w14:textId="4F1EA97B" w:rsidR="004344BB" w:rsidRPr="0064050A" w:rsidRDefault="004344BB" w:rsidP="0024750C">
            <w:pPr>
              <w:spacing w:after="0" w:line="240" w:lineRule="auto"/>
              <w:jc w:val="right"/>
              <w:rPr>
                <w:rFonts w:ascii="Arial" w:hAnsi="Arial" w:cs="Arial"/>
                <w:b/>
                <w:sz w:val="16"/>
                <w:szCs w:val="16"/>
              </w:rPr>
            </w:pPr>
            <w:r>
              <w:rPr>
                <w:rFonts w:ascii="Arial" w:hAnsi="Arial" w:cs="Arial"/>
                <w:b/>
                <w:bCs/>
                <w:sz w:val="16"/>
                <w:szCs w:val="16"/>
              </w:rPr>
              <w:t>91,651.0</w:t>
            </w:r>
          </w:p>
        </w:tc>
        <w:tc>
          <w:tcPr>
            <w:tcW w:w="495" w:type="pct"/>
            <w:tcBorders>
              <w:left w:val="nil"/>
              <w:bottom w:val="single" w:sz="4" w:space="0" w:color="auto"/>
              <w:right w:val="nil"/>
            </w:tcBorders>
            <w:shd w:val="clear" w:color="000000" w:fill="FFFFFF"/>
            <w:noWrap/>
            <w:vAlign w:val="bottom"/>
            <w:hideMark/>
          </w:tcPr>
          <w:p w14:paraId="4F4C2305" w14:textId="3A9B04CE" w:rsidR="004344BB" w:rsidRPr="0064050A" w:rsidRDefault="004344BB" w:rsidP="0024750C">
            <w:pPr>
              <w:spacing w:after="0" w:line="240" w:lineRule="auto"/>
              <w:jc w:val="right"/>
              <w:rPr>
                <w:rFonts w:ascii="Arial" w:hAnsi="Arial" w:cs="Arial"/>
                <w:b/>
                <w:sz w:val="16"/>
                <w:szCs w:val="16"/>
              </w:rPr>
            </w:pPr>
            <w:r w:rsidRPr="0064050A">
              <w:rPr>
                <w:rFonts w:ascii="Arial" w:hAnsi="Arial" w:cs="Arial"/>
                <w:b/>
                <w:sz w:val="16"/>
                <w:szCs w:val="16"/>
              </w:rPr>
              <w:t xml:space="preserve">    </w:t>
            </w:r>
            <w:r>
              <w:rPr>
                <w:rFonts w:ascii="Arial" w:hAnsi="Arial" w:cs="Arial"/>
                <w:b/>
                <w:bCs/>
                <w:sz w:val="16"/>
                <w:szCs w:val="16"/>
              </w:rPr>
              <w:t>76,931.5</w:t>
            </w:r>
            <w:r w:rsidRPr="0064050A">
              <w:rPr>
                <w:rFonts w:ascii="Arial" w:hAnsi="Arial" w:cs="Arial"/>
                <w:b/>
                <w:sz w:val="16"/>
                <w:szCs w:val="16"/>
              </w:rPr>
              <w:t xml:space="preserve"> </w:t>
            </w:r>
          </w:p>
        </w:tc>
        <w:tc>
          <w:tcPr>
            <w:tcW w:w="371" w:type="pct"/>
            <w:tcBorders>
              <w:left w:val="nil"/>
              <w:bottom w:val="single" w:sz="4" w:space="0" w:color="auto"/>
              <w:right w:val="nil"/>
            </w:tcBorders>
            <w:shd w:val="clear" w:color="000000" w:fill="FFFFFF"/>
            <w:noWrap/>
            <w:vAlign w:val="bottom"/>
            <w:hideMark/>
          </w:tcPr>
          <w:p w14:paraId="36E84A96" w14:textId="6FDE4B6F" w:rsidR="004344BB" w:rsidRPr="0064050A" w:rsidRDefault="004344BB" w:rsidP="0024750C">
            <w:pPr>
              <w:spacing w:after="0" w:line="240" w:lineRule="auto"/>
              <w:jc w:val="right"/>
              <w:rPr>
                <w:rFonts w:ascii="Arial" w:hAnsi="Arial" w:cs="Arial"/>
                <w:b/>
                <w:sz w:val="16"/>
                <w:szCs w:val="16"/>
              </w:rPr>
            </w:pPr>
            <w:r>
              <w:rPr>
                <w:rFonts w:ascii="Arial" w:hAnsi="Arial" w:cs="Arial"/>
                <w:b/>
                <w:bCs/>
                <w:sz w:val="16"/>
                <w:szCs w:val="16"/>
              </w:rPr>
              <w:t>232,337.2</w:t>
            </w:r>
          </w:p>
        </w:tc>
      </w:tr>
    </w:tbl>
    <w:p w14:paraId="5C0F918E" w14:textId="4C24DB1E" w:rsidR="00414725" w:rsidRDefault="00414725" w:rsidP="00414725">
      <w:pPr>
        <w:pStyle w:val="ChartandTableFootnoteAlpha"/>
        <w:numPr>
          <w:ilvl w:val="0"/>
          <w:numId w:val="0"/>
        </w:numPr>
      </w:pPr>
      <w:r w:rsidRPr="00BF48CD">
        <w:t xml:space="preserve">Before republishing this data or comparing between years, thoroughly review the methodological and data caveats in Appendix </w:t>
      </w:r>
      <w:r w:rsidRPr="000806DC">
        <w:t>B.</w:t>
      </w:r>
      <w:r w:rsidRPr="00BF48CD">
        <w:t xml:space="preserve"> </w:t>
      </w:r>
    </w:p>
    <w:p w14:paraId="27AF0F5F" w14:textId="259E1DFA" w:rsidR="00414725" w:rsidRDefault="00065800" w:rsidP="00414725">
      <w:pPr>
        <w:pStyle w:val="Caveat"/>
      </w:pPr>
      <w:r>
        <w:t>‘</w:t>
      </w:r>
      <w:r w:rsidR="00414725" w:rsidRPr="00A60AA8">
        <w:t>Other</w:t>
      </w:r>
      <w:r>
        <w:t>’</w:t>
      </w:r>
      <w:r w:rsidR="00414725" w:rsidRPr="00A60AA8">
        <w:t xml:space="preserve"> comprises all other countries not specifically listed in the top countries by value, from which there is proposed investment approved.</w:t>
      </w:r>
    </w:p>
    <w:p w14:paraId="01ED7580" w14:textId="77777777" w:rsidR="00414725" w:rsidRDefault="00414725" w:rsidP="00414725">
      <w:pPr>
        <w:sectPr w:rsidR="00414725" w:rsidSect="00D76ED2">
          <w:headerReference w:type="first" r:id="rId54"/>
          <w:footerReference w:type="first" r:id="rId55"/>
          <w:pgSz w:w="16838" w:h="11906" w:orient="landscape" w:code="9"/>
          <w:pgMar w:top="2098" w:right="2466" w:bottom="2098" w:left="2466" w:header="1191" w:footer="1418" w:gutter="0"/>
          <w:cols w:space="708"/>
          <w:titlePg/>
          <w:docGrid w:linePitch="360"/>
        </w:sectPr>
      </w:pPr>
    </w:p>
    <w:p w14:paraId="0DC155A4" w14:textId="77777777" w:rsidR="00414725" w:rsidRPr="00820C89" w:rsidRDefault="00414725" w:rsidP="00414725">
      <w:pPr>
        <w:pStyle w:val="Heading2"/>
        <w:rPr>
          <w:b w:val="0"/>
        </w:rPr>
      </w:pPr>
      <w:bookmarkStart w:id="161" w:name="_Toc31296907"/>
      <w:bookmarkStart w:id="162" w:name="_Toc31636025"/>
      <w:bookmarkStart w:id="163" w:name="_Toc31642794"/>
      <w:bookmarkStart w:id="164" w:name="_Toc32247803"/>
      <w:bookmarkStart w:id="165" w:name="_Toc63782934"/>
      <w:bookmarkStart w:id="166" w:name="_Toc75244063"/>
      <w:bookmarkStart w:id="167" w:name="_Toc89872888"/>
      <w:bookmarkStart w:id="168" w:name="_Toc89872935"/>
      <w:r w:rsidRPr="00820C89">
        <w:lastRenderedPageBreak/>
        <w:t>Variations</w:t>
      </w:r>
      <w:bookmarkEnd w:id="161"/>
      <w:bookmarkEnd w:id="162"/>
      <w:bookmarkEnd w:id="163"/>
      <w:bookmarkEnd w:id="164"/>
      <w:bookmarkEnd w:id="165"/>
      <w:bookmarkEnd w:id="166"/>
      <w:bookmarkEnd w:id="167"/>
      <w:bookmarkEnd w:id="168"/>
    </w:p>
    <w:p w14:paraId="059EF270" w14:textId="63A74B16" w:rsidR="00AA37D3" w:rsidRPr="00820C89" w:rsidRDefault="00AA37D3" w:rsidP="00AA37D3">
      <w:pPr>
        <w:rPr>
          <w:b/>
          <w:color w:val="auto"/>
        </w:rPr>
      </w:pPr>
      <w:r w:rsidRPr="00820C89">
        <w:t xml:space="preserve">The Act allows foreign persons to apply for variations relating to approvals, conditions that are imposed as part of an approval, </w:t>
      </w:r>
      <w:r w:rsidR="006E5FC3">
        <w:t>ECs</w:t>
      </w:r>
      <w:r w:rsidRPr="00820C89">
        <w:t>, and to orders. Variations may also be made at the Treasurer</w:t>
      </w:r>
      <w:r w:rsidR="00065800">
        <w:t>’</w:t>
      </w:r>
      <w:r w:rsidRPr="00820C89">
        <w:t>s own initiative if the person consents to the variation or the variation meets a no disadvantage to the foreign person test. Irrespective of whether a</w:t>
      </w:r>
      <w:r w:rsidR="00B733F8">
        <w:t xml:space="preserve"> proposal</w:t>
      </w:r>
      <w:r w:rsidRPr="00820C89">
        <w:t xml:space="preserve"> is </w:t>
      </w:r>
      <w:r w:rsidR="00837C5E" w:rsidRPr="00820C89">
        <w:t>received,</w:t>
      </w:r>
      <w:r w:rsidRPr="00820C89">
        <w:t xml:space="preserve"> or the variation </w:t>
      </w:r>
      <w:r w:rsidRPr="00237D47">
        <w:t>is at the Treasurer</w:t>
      </w:r>
      <w:r w:rsidR="00065800">
        <w:t>’</w:t>
      </w:r>
      <w:r w:rsidRPr="00237D47">
        <w:t xml:space="preserve">s initiative, the variation may only be made if the Treasurer is satisfied that it is not contrary to the national interest. Variation </w:t>
      </w:r>
      <w:r w:rsidR="00B733F8">
        <w:t>proposals</w:t>
      </w:r>
      <w:r w:rsidRPr="00237D47">
        <w:t xml:space="preserve"> are considered on a case</w:t>
      </w:r>
      <w:r w:rsidR="00E23A22">
        <w:t xml:space="preserve"> </w:t>
      </w:r>
      <w:r w:rsidRPr="004344BB">
        <w:t>by</w:t>
      </w:r>
      <w:r w:rsidR="00E23A22">
        <w:t xml:space="preserve"> </w:t>
      </w:r>
      <w:r w:rsidRPr="004344BB">
        <w:t>case basis and are usually limited to more technical changes and extensions of deadlines in conditions</w:t>
      </w:r>
      <w:r w:rsidRPr="00820C89">
        <w:t>.</w:t>
      </w:r>
    </w:p>
    <w:p w14:paraId="3DC76A0F" w14:textId="10151972" w:rsidR="00AA37D3" w:rsidRPr="00820C89" w:rsidRDefault="00AA37D3" w:rsidP="00AA37D3">
      <w:pPr>
        <w:rPr>
          <w:b/>
          <w:color w:val="auto"/>
        </w:rPr>
      </w:pPr>
      <w:r w:rsidRPr="00820C89">
        <w:t>For example, a commercial real estate development condition has a deadline of five years for the commencement of construction from the date of approval. Where, due to circumstances beyond the developer</w:t>
      </w:r>
      <w:r w:rsidR="00065800">
        <w:t>’</w:t>
      </w:r>
      <w:r w:rsidRPr="00820C89">
        <w:t>s control, the developer is unlikely to meet the deadline, the developer may apply for the deadline for the condition to be varied to provide further time.</w:t>
      </w:r>
    </w:p>
    <w:p w14:paraId="263CA435" w14:textId="5AF146F0" w:rsidR="00AA37D3" w:rsidRPr="00820C89" w:rsidRDefault="00AA37D3" w:rsidP="00AA37D3">
      <w:pPr>
        <w:rPr>
          <w:color w:val="auto"/>
        </w:rPr>
      </w:pPr>
      <w:r w:rsidRPr="00820C89">
        <w:t xml:space="preserve">A significant departure from the original </w:t>
      </w:r>
      <w:r w:rsidR="00B733F8">
        <w:t xml:space="preserve">proposal </w:t>
      </w:r>
      <w:r w:rsidRPr="00820C89">
        <w:t xml:space="preserve">or approval will generally require a further </w:t>
      </w:r>
      <w:r w:rsidR="00B733F8">
        <w:t>proposal</w:t>
      </w:r>
      <w:r w:rsidRPr="00820C89">
        <w:t xml:space="preserve">. This could include the addition of another foreign person to the </w:t>
      </w:r>
      <w:r w:rsidR="00B733F8">
        <w:t>proposal</w:t>
      </w:r>
      <w:r w:rsidRPr="00820C89">
        <w:t xml:space="preserve"> or increasing the equity interest in the proposed investment.</w:t>
      </w:r>
    </w:p>
    <w:p w14:paraId="7F744829" w14:textId="2CDD9644" w:rsidR="00AA37D3" w:rsidRPr="004344BB" w:rsidRDefault="00AA37D3" w:rsidP="00AA37D3">
      <w:pPr>
        <w:rPr>
          <w:rFonts w:cstheme="minorHAnsi"/>
        </w:rPr>
      </w:pPr>
      <w:r w:rsidRPr="00820C89">
        <w:t xml:space="preserve">In </w:t>
      </w:r>
      <w:r w:rsidRPr="000806DC">
        <w:t>20</w:t>
      </w:r>
      <w:r w:rsidR="004635AC" w:rsidRPr="000806DC">
        <w:t>20</w:t>
      </w:r>
      <w:r w:rsidR="00065800">
        <w:noBreakHyphen/>
      </w:r>
      <w:r w:rsidRPr="000806DC">
        <w:t>2</w:t>
      </w:r>
      <w:r w:rsidR="004635AC">
        <w:t>1</w:t>
      </w:r>
      <w:r w:rsidRPr="00820C89">
        <w:t xml:space="preserve">, there were </w:t>
      </w:r>
      <w:r w:rsidRPr="00994836">
        <w:rPr>
          <w:rFonts w:cstheme="minorHAnsi"/>
        </w:rPr>
        <w:t>34</w:t>
      </w:r>
      <w:r w:rsidR="004635AC" w:rsidRPr="004344BB">
        <w:rPr>
          <w:rFonts w:cstheme="minorHAnsi"/>
        </w:rPr>
        <w:t>7</w:t>
      </w:r>
      <w:r w:rsidRPr="004344BB">
        <w:rPr>
          <w:rFonts w:cstheme="minorHAnsi"/>
        </w:rPr>
        <w:t> variations considered, compared to 3</w:t>
      </w:r>
      <w:r w:rsidR="004635AC" w:rsidRPr="004344BB">
        <w:rPr>
          <w:rFonts w:cstheme="minorHAnsi"/>
        </w:rPr>
        <w:t>41</w:t>
      </w:r>
      <w:r w:rsidRPr="004344BB">
        <w:rPr>
          <w:rFonts w:cstheme="minorHAnsi"/>
        </w:rPr>
        <w:t xml:space="preserve"> in 201</w:t>
      </w:r>
      <w:r w:rsidR="004635AC" w:rsidRPr="004344BB">
        <w:rPr>
          <w:rFonts w:cstheme="minorHAnsi"/>
        </w:rPr>
        <w:t>9</w:t>
      </w:r>
      <w:r w:rsidR="00065800">
        <w:rPr>
          <w:rFonts w:cstheme="minorHAnsi"/>
        </w:rPr>
        <w:noBreakHyphen/>
      </w:r>
      <w:r w:rsidR="004635AC" w:rsidRPr="004344BB">
        <w:rPr>
          <w:rFonts w:cstheme="minorHAnsi"/>
        </w:rPr>
        <w:t>20</w:t>
      </w:r>
      <w:r w:rsidRPr="004344BB">
        <w:rPr>
          <w:rFonts w:cstheme="minorHAnsi"/>
        </w:rPr>
        <w:t xml:space="preserve"> (see Table 3.18). Of these, </w:t>
      </w:r>
      <w:r w:rsidR="006C1D4B">
        <w:rPr>
          <w:rFonts w:cstheme="minorHAnsi"/>
        </w:rPr>
        <w:t>287</w:t>
      </w:r>
      <w:r w:rsidRPr="004344BB">
        <w:rPr>
          <w:rFonts w:cstheme="minorHAnsi"/>
        </w:rPr>
        <w:t> were approved in 20</w:t>
      </w:r>
      <w:r w:rsidR="004635AC" w:rsidRPr="004344BB">
        <w:rPr>
          <w:rFonts w:cstheme="minorHAnsi"/>
        </w:rPr>
        <w:t>20</w:t>
      </w:r>
      <w:r w:rsidR="00065800">
        <w:rPr>
          <w:rFonts w:cstheme="minorHAnsi"/>
        </w:rPr>
        <w:noBreakHyphen/>
      </w:r>
      <w:r w:rsidRPr="004344BB">
        <w:rPr>
          <w:rFonts w:cstheme="minorHAnsi"/>
        </w:rPr>
        <w:t>2</w:t>
      </w:r>
      <w:r w:rsidR="004635AC" w:rsidRPr="004344BB">
        <w:rPr>
          <w:rFonts w:cstheme="minorHAnsi"/>
        </w:rPr>
        <w:t>1</w:t>
      </w:r>
      <w:r w:rsidRPr="004344BB">
        <w:rPr>
          <w:rFonts w:cstheme="minorHAnsi"/>
        </w:rPr>
        <w:t xml:space="preserve"> compared to </w:t>
      </w:r>
      <w:r w:rsidR="004635AC" w:rsidRPr="004344BB">
        <w:rPr>
          <w:rFonts w:cstheme="minorHAnsi"/>
        </w:rPr>
        <w:t>272</w:t>
      </w:r>
      <w:r w:rsidRPr="004344BB">
        <w:rPr>
          <w:rFonts w:cstheme="minorHAnsi"/>
        </w:rPr>
        <w:t xml:space="preserve"> in 20</w:t>
      </w:r>
      <w:r w:rsidR="004635AC" w:rsidRPr="004344BB">
        <w:rPr>
          <w:rFonts w:cstheme="minorHAnsi"/>
        </w:rPr>
        <w:t>19</w:t>
      </w:r>
      <w:r w:rsidR="00065800">
        <w:rPr>
          <w:rFonts w:cstheme="minorHAnsi"/>
        </w:rPr>
        <w:noBreakHyphen/>
      </w:r>
      <w:r w:rsidR="004635AC" w:rsidRPr="004344BB">
        <w:rPr>
          <w:rFonts w:cstheme="minorHAnsi"/>
        </w:rPr>
        <w:t>20</w:t>
      </w:r>
      <w:r w:rsidRPr="004344BB">
        <w:rPr>
          <w:rFonts w:cstheme="minorHAnsi"/>
        </w:rPr>
        <w:t xml:space="preserve">. </w:t>
      </w:r>
      <w:r w:rsidR="004635AC" w:rsidRPr="004344BB">
        <w:rPr>
          <w:rFonts w:cstheme="minorHAnsi"/>
        </w:rPr>
        <w:t>Four</w:t>
      </w:r>
      <w:r w:rsidRPr="004344BB">
        <w:rPr>
          <w:rFonts w:cstheme="minorHAnsi"/>
        </w:rPr>
        <w:t> variation</w:t>
      </w:r>
      <w:r w:rsidR="004635AC" w:rsidRPr="004344BB">
        <w:rPr>
          <w:rFonts w:cstheme="minorHAnsi"/>
        </w:rPr>
        <w:t>s</w:t>
      </w:r>
      <w:r w:rsidRPr="004344BB">
        <w:rPr>
          <w:rFonts w:cstheme="minorHAnsi"/>
        </w:rPr>
        <w:t xml:space="preserve"> w</w:t>
      </w:r>
      <w:r w:rsidR="004635AC" w:rsidRPr="004344BB">
        <w:rPr>
          <w:rFonts w:cstheme="minorHAnsi"/>
        </w:rPr>
        <w:t>ere</w:t>
      </w:r>
      <w:r w:rsidRPr="004344BB">
        <w:rPr>
          <w:rFonts w:cstheme="minorHAnsi"/>
        </w:rPr>
        <w:t xml:space="preserve"> declined in 20</w:t>
      </w:r>
      <w:r w:rsidR="004635AC" w:rsidRPr="004344BB">
        <w:rPr>
          <w:rFonts w:cstheme="minorHAnsi"/>
        </w:rPr>
        <w:t>20</w:t>
      </w:r>
      <w:r w:rsidR="00065800">
        <w:rPr>
          <w:rFonts w:cstheme="minorHAnsi"/>
        </w:rPr>
        <w:noBreakHyphen/>
      </w:r>
      <w:r w:rsidRPr="004344BB">
        <w:rPr>
          <w:rFonts w:cstheme="minorHAnsi"/>
        </w:rPr>
        <w:t>2</w:t>
      </w:r>
      <w:r w:rsidR="004635AC" w:rsidRPr="004344BB">
        <w:rPr>
          <w:rFonts w:cstheme="minorHAnsi"/>
        </w:rPr>
        <w:t>1</w:t>
      </w:r>
      <w:r w:rsidRPr="004344BB">
        <w:rPr>
          <w:rFonts w:cstheme="minorHAnsi"/>
        </w:rPr>
        <w:t xml:space="preserve">, compared to </w:t>
      </w:r>
      <w:r w:rsidR="004635AC" w:rsidRPr="004344BB">
        <w:rPr>
          <w:rFonts w:cstheme="minorHAnsi"/>
        </w:rPr>
        <w:t>one</w:t>
      </w:r>
      <w:r w:rsidRPr="004344BB">
        <w:rPr>
          <w:rFonts w:cstheme="minorHAnsi"/>
        </w:rPr>
        <w:t xml:space="preserve"> variation declined in 201</w:t>
      </w:r>
      <w:r w:rsidR="004635AC" w:rsidRPr="004344BB">
        <w:rPr>
          <w:rFonts w:cstheme="minorHAnsi"/>
        </w:rPr>
        <w:t>9</w:t>
      </w:r>
      <w:r w:rsidR="00065800">
        <w:rPr>
          <w:rFonts w:cstheme="minorHAnsi"/>
        </w:rPr>
        <w:noBreakHyphen/>
      </w:r>
      <w:r w:rsidR="004635AC" w:rsidRPr="004344BB">
        <w:rPr>
          <w:rFonts w:cstheme="minorHAnsi"/>
        </w:rPr>
        <w:t>20</w:t>
      </w:r>
      <w:r w:rsidRPr="004344BB">
        <w:rPr>
          <w:rFonts w:cstheme="minorHAnsi"/>
        </w:rPr>
        <w:t>. In 20</w:t>
      </w:r>
      <w:r w:rsidR="004635AC" w:rsidRPr="004344BB">
        <w:rPr>
          <w:rFonts w:cstheme="minorHAnsi"/>
        </w:rPr>
        <w:t>20</w:t>
      </w:r>
      <w:r w:rsidR="00065800">
        <w:rPr>
          <w:rFonts w:cstheme="minorHAnsi"/>
        </w:rPr>
        <w:noBreakHyphen/>
      </w:r>
      <w:r w:rsidRPr="004344BB">
        <w:rPr>
          <w:rFonts w:cstheme="minorHAnsi"/>
        </w:rPr>
        <w:t>2</w:t>
      </w:r>
      <w:r w:rsidR="004635AC" w:rsidRPr="004344BB">
        <w:rPr>
          <w:rFonts w:cstheme="minorHAnsi"/>
        </w:rPr>
        <w:t>1</w:t>
      </w:r>
      <w:r w:rsidRPr="004344BB">
        <w:rPr>
          <w:rFonts w:cstheme="minorHAnsi"/>
        </w:rPr>
        <w:t xml:space="preserve">, there were </w:t>
      </w:r>
      <w:r w:rsidR="006C1D4B">
        <w:rPr>
          <w:rFonts w:cstheme="minorHAnsi"/>
        </w:rPr>
        <w:t>45</w:t>
      </w:r>
      <w:r w:rsidR="008F29F0">
        <w:rPr>
          <w:rFonts w:cstheme="minorHAnsi"/>
        </w:rPr>
        <w:t> </w:t>
      </w:r>
      <w:r w:rsidRPr="004344BB">
        <w:rPr>
          <w:rFonts w:cstheme="minorHAnsi"/>
        </w:rPr>
        <w:t xml:space="preserve">variations withdrawn, compared to </w:t>
      </w:r>
      <w:r w:rsidR="004635AC" w:rsidRPr="004344BB">
        <w:rPr>
          <w:rFonts w:cstheme="minorHAnsi"/>
        </w:rPr>
        <w:t>65</w:t>
      </w:r>
      <w:r w:rsidRPr="004344BB">
        <w:rPr>
          <w:rFonts w:cstheme="minorHAnsi"/>
        </w:rPr>
        <w:t xml:space="preserve"> variations withdrawn in 201</w:t>
      </w:r>
      <w:r w:rsidR="004635AC" w:rsidRPr="004344BB">
        <w:rPr>
          <w:rFonts w:cstheme="minorHAnsi"/>
        </w:rPr>
        <w:t>9</w:t>
      </w:r>
      <w:r w:rsidR="00065800">
        <w:rPr>
          <w:rFonts w:cstheme="minorHAnsi"/>
        </w:rPr>
        <w:noBreakHyphen/>
      </w:r>
      <w:r w:rsidR="004635AC" w:rsidRPr="004344BB">
        <w:rPr>
          <w:rFonts w:cstheme="minorHAnsi"/>
        </w:rPr>
        <w:t>20</w:t>
      </w:r>
      <w:r w:rsidRPr="004344BB">
        <w:rPr>
          <w:rFonts w:cstheme="minorHAnsi"/>
        </w:rPr>
        <w:t>.</w:t>
      </w:r>
    </w:p>
    <w:p w14:paraId="7385A573" w14:textId="12486B01" w:rsidR="009542CF" w:rsidRDefault="009542CF" w:rsidP="009542CF"/>
    <w:p w14:paraId="59C9FA2E" w14:textId="77777777" w:rsidR="006371D9" w:rsidRDefault="006371D9" w:rsidP="006371D9">
      <w:pPr>
        <w:rPr>
          <w:highlight w:val="yellow"/>
        </w:rPr>
      </w:pPr>
    </w:p>
    <w:p w14:paraId="348FA408" w14:textId="77777777" w:rsidR="006371D9" w:rsidRDefault="006371D9" w:rsidP="006371D9">
      <w:pPr>
        <w:rPr>
          <w:highlight w:val="yellow"/>
        </w:rPr>
        <w:sectPr w:rsidR="006371D9" w:rsidSect="006371D9">
          <w:headerReference w:type="first" r:id="rId56"/>
          <w:footerReference w:type="first" r:id="rId57"/>
          <w:pgSz w:w="11906" w:h="16838" w:code="9"/>
          <w:pgMar w:top="2466" w:right="2098" w:bottom="2466" w:left="2098" w:header="1899" w:footer="1899" w:gutter="0"/>
          <w:cols w:space="708"/>
          <w:titlePg/>
          <w:docGrid w:linePitch="360"/>
        </w:sectPr>
      </w:pPr>
    </w:p>
    <w:p w14:paraId="37ECF0F9" w14:textId="4C151A7E" w:rsidR="00F07785" w:rsidRPr="008F29F0" w:rsidRDefault="00F07785" w:rsidP="008F29F0">
      <w:pPr>
        <w:pStyle w:val="TableMainHeading"/>
      </w:pPr>
      <w:bookmarkStart w:id="169" w:name="_Toc89939952"/>
      <w:r w:rsidRPr="008F29F0">
        <w:lastRenderedPageBreak/>
        <w:t xml:space="preserve">Table </w:t>
      </w:r>
      <w:fldSimple w:instr=" STYLEREF 1 \s ">
        <w:r w:rsidR="0019342F">
          <w:rPr>
            <w:noProof/>
          </w:rPr>
          <w:t>3</w:t>
        </w:r>
      </w:fldSimple>
      <w:r w:rsidR="009812FE" w:rsidRPr="008F29F0">
        <w:t>.</w:t>
      </w:r>
      <w:fldSimple w:instr=" SEQ Table \* ARABIC \s 1 ">
        <w:r w:rsidR="0019342F">
          <w:rPr>
            <w:noProof/>
          </w:rPr>
          <w:t>18</w:t>
        </w:r>
      </w:fldSimple>
      <w:r w:rsidRPr="008F29F0">
        <w:t xml:space="preserve">: Variations considered from </w:t>
      </w:r>
      <w:r w:rsidR="00D76ED2" w:rsidRPr="008F29F0">
        <w:t>2019</w:t>
      </w:r>
      <w:r w:rsidR="00D76ED2" w:rsidRPr="008F29F0">
        <w:noBreakHyphen/>
        <w:t>20</w:t>
      </w:r>
      <w:r w:rsidRPr="008F29F0">
        <w:t xml:space="preserve"> to </w:t>
      </w:r>
      <w:r w:rsidR="00D76ED2" w:rsidRPr="008F29F0">
        <w:t>2020</w:t>
      </w:r>
      <w:r w:rsidR="00D76ED2" w:rsidRPr="008F29F0">
        <w:noBreakHyphen/>
        <w:t>21</w:t>
      </w:r>
      <w:r w:rsidRPr="008F29F0">
        <w:t xml:space="preserve"> (number of variations by type)</w:t>
      </w:r>
      <w:bookmarkEnd w:id="169"/>
    </w:p>
    <w:tbl>
      <w:tblPr>
        <w:tblW w:w="5000" w:type="pct"/>
        <w:tblCellMar>
          <w:left w:w="28" w:type="dxa"/>
          <w:right w:w="28" w:type="dxa"/>
        </w:tblCellMar>
        <w:tblLook w:val="04A0" w:firstRow="1" w:lastRow="0" w:firstColumn="1" w:lastColumn="0" w:noHBand="0" w:noVBand="1"/>
      </w:tblPr>
      <w:tblGrid>
        <w:gridCol w:w="1687"/>
        <w:gridCol w:w="644"/>
        <w:gridCol w:w="759"/>
        <w:gridCol w:w="244"/>
        <w:gridCol w:w="759"/>
        <w:gridCol w:w="759"/>
        <w:gridCol w:w="244"/>
        <w:gridCol w:w="759"/>
        <w:gridCol w:w="759"/>
        <w:gridCol w:w="244"/>
        <w:gridCol w:w="759"/>
        <w:gridCol w:w="759"/>
        <w:gridCol w:w="245"/>
        <w:gridCol w:w="760"/>
        <w:gridCol w:w="760"/>
        <w:gridCol w:w="245"/>
        <w:gridCol w:w="760"/>
        <w:gridCol w:w="760"/>
      </w:tblGrid>
      <w:tr w:rsidR="007A361F" w:rsidRPr="00B63F32" w14:paraId="261859FB" w14:textId="77777777" w:rsidTr="008F29F0">
        <w:trPr>
          <w:trHeight w:val="420"/>
        </w:trPr>
        <w:tc>
          <w:tcPr>
            <w:tcW w:w="714" w:type="pct"/>
            <w:tcBorders>
              <w:top w:val="single" w:sz="4" w:space="0" w:color="000000"/>
              <w:left w:val="nil"/>
              <w:bottom w:val="nil"/>
              <w:right w:val="nil"/>
            </w:tcBorders>
            <w:shd w:val="clear" w:color="000000" w:fill="FFFFFF"/>
            <w:noWrap/>
            <w:vAlign w:val="center"/>
            <w:hideMark/>
          </w:tcPr>
          <w:p w14:paraId="78EFC1DE" w14:textId="77777777" w:rsidR="007A361F" w:rsidRPr="00B63F32" w:rsidRDefault="007A361F" w:rsidP="007A361F">
            <w:pPr>
              <w:pStyle w:val="SingleParagraph"/>
              <w:rPr>
                <w:rFonts w:ascii="Arial" w:hAnsi="Arial" w:cs="Arial"/>
                <w:sz w:val="16"/>
                <w:szCs w:val="16"/>
              </w:rPr>
            </w:pPr>
            <w:r w:rsidRPr="00B63F32">
              <w:rPr>
                <w:rFonts w:ascii="Arial" w:hAnsi="Arial" w:cs="Arial"/>
                <w:sz w:val="16"/>
                <w:szCs w:val="16"/>
              </w:rPr>
              <w:t> </w:t>
            </w:r>
          </w:p>
        </w:tc>
        <w:tc>
          <w:tcPr>
            <w:tcW w:w="1262" w:type="pct"/>
            <w:gridSpan w:val="5"/>
            <w:tcBorders>
              <w:top w:val="single" w:sz="4" w:space="0" w:color="000000"/>
              <w:left w:val="nil"/>
              <w:bottom w:val="single" w:sz="4" w:space="0" w:color="000000"/>
              <w:right w:val="nil"/>
            </w:tcBorders>
            <w:shd w:val="clear" w:color="auto" w:fill="auto"/>
            <w:vAlign w:val="center"/>
            <w:hideMark/>
          </w:tcPr>
          <w:p w14:paraId="20ED59B0" w14:textId="282A5812" w:rsidR="007A361F" w:rsidRPr="00B63F32" w:rsidRDefault="007A361F" w:rsidP="005671CF">
            <w:pPr>
              <w:pStyle w:val="SingleParagraph"/>
              <w:jc w:val="center"/>
              <w:rPr>
                <w:rFonts w:ascii="Arial" w:hAnsi="Arial" w:cs="Arial"/>
                <w:sz w:val="16"/>
                <w:szCs w:val="16"/>
              </w:rPr>
            </w:pPr>
            <w:r w:rsidRPr="00B63F32">
              <w:rPr>
                <w:rFonts w:ascii="Arial" w:hAnsi="Arial" w:cs="Arial"/>
                <w:sz w:val="16"/>
                <w:szCs w:val="16"/>
              </w:rPr>
              <w:t xml:space="preserve">Variation to </w:t>
            </w:r>
            <w:r w:rsidR="00B63F32" w:rsidRPr="00B63F32">
              <w:rPr>
                <w:rFonts w:ascii="Arial" w:hAnsi="Arial" w:cs="Arial"/>
                <w:sz w:val="16"/>
                <w:szCs w:val="16"/>
              </w:rPr>
              <w:t>EC</w:t>
            </w:r>
            <w:r w:rsidR="00542DCF">
              <w:rPr>
                <w:rFonts w:ascii="Arial" w:hAnsi="Arial" w:cs="Arial"/>
                <w:sz w:val="16"/>
                <w:szCs w:val="16"/>
              </w:rPr>
              <w:t xml:space="preserve"> (a)</w:t>
            </w:r>
          </w:p>
        </w:tc>
        <w:tc>
          <w:tcPr>
            <w:tcW w:w="108" w:type="pct"/>
            <w:tcBorders>
              <w:top w:val="single" w:sz="4" w:space="0" w:color="000000"/>
              <w:left w:val="nil"/>
              <w:bottom w:val="single" w:sz="4" w:space="0" w:color="000000"/>
              <w:right w:val="nil"/>
            </w:tcBorders>
            <w:shd w:val="clear" w:color="auto" w:fill="auto"/>
            <w:vAlign w:val="center"/>
            <w:hideMark/>
          </w:tcPr>
          <w:p w14:paraId="4C96681D" w14:textId="2054EAAF" w:rsidR="007A361F" w:rsidRPr="00B63F32" w:rsidRDefault="007A361F" w:rsidP="005671CF">
            <w:pPr>
              <w:pStyle w:val="SingleParagraph"/>
              <w:jc w:val="center"/>
              <w:rPr>
                <w:rFonts w:ascii="Arial" w:hAnsi="Arial" w:cs="Arial"/>
                <w:sz w:val="16"/>
                <w:szCs w:val="16"/>
              </w:rPr>
            </w:pPr>
          </w:p>
        </w:tc>
        <w:tc>
          <w:tcPr>
            <w:tcW w:w="1404" w:type="pct"/>
            <w:gridSpan w:val="5"/>
            <w:tcBorders>
              <w:top w:val="single" w:sz="4" w:space="0" w:color="000000"/>
              <w:left w:val="nil"/>
              <w:bottom w:val="single" w:sz="4" w:space="0" w:color="000000"/>
              <w:right w:val="nil"/>
            </w:tcBorders>
            <w:shd w:val="clear" w:color="auto" w:fill="auto"/>
            <w:vAlign w:val="center"/>
            <w:hideMark/>
          </w:tcPr>
          <w:p w14:paraId="4124FCB2" w14:textId="539CA7DD" w:rsidR="007A361F" w:rsidRPr="00B63F32" w:rsidRDefault="007A361F" w:rsidP="005671CF">
            <w:pPr>
              <w:pStyle w:val="SingleParagraph"/>
              <w:jc w:val="center"/>
              <w:rPr>
                <w:rFonts w:ascii="Arial" w:hAnsi="Arial" w:cs="Arial"/>
                <w:sz w:val="16"/>
                <w:szCs w:val="16"/>
              </w:rPr>
            </w:pPr>
            <w:r w:rsidRPr="00B63F32">
              <w:rPr>
                <w:rFonts w:ascii="Arial" w:hAnsi="Arial" w:cs="Arial"/>
                <w:sz w:val="16"/>
                <w:szCs w:val="16"/>
              </w:rPr>
              <w:t>Variation to Land approval</w:t>
            </w:r>
            <w:r w:rsidR="00542DCF">
              <w:rPr>
                <w:rFonts w:ascii="Arial" w:hAnsi="Arial" w:cs="Arial"/>
                <w:sz w:val="16"/>
                <w:szCs w:val="16"/>
              </w:rPr>
              <w:t xml:space="preserve"> (b)</w:t>
            </w:r>
          </w:p>
        </w:tc>
        <w:tc>
          <w:tcPr>
            <w:tcW w:w="108" w:type="pct"/>
            <w:tcBorders>
              <w:top w:val="single" w:sz="4" w:space="0" w:color="000000"/>
              <w:left w:val="nil"/>
              <w:bottom w:val="single" w:sz="4" w:space="0" w:color="000000"/>
              <w:right w:val="nil"/>
            </w:tcBorders>
            <w:shd w:val="clear" w:color="auto" w:fill="auto"/>
            <w:vAlign w:val="center"/>
            <w:hideMark/>
          </w:tcPr>
          <w:p w14:paraId="42FF228A" w14:textId="3445DF31" w:rsidR="007A361F" w:rsidRPr="00B63F32" w:rsidRDefault="007A361F" w:rsidP="005671CF">
            <w:pPr>
              <w:pStyle w:val="SingleParagraph"/>
              <w:jc w:val="center"/>
              <w:rPr>
                <w:rFonts w:ascii="Arial" w:hAnsi="Arial" w:cs="Arial"/>
                <w:sz w:val="16"/>
                <w:szCs w:val="16"/>
              </w:rPr>
            </w:pPr>
          </w:p>
        </w:tc>
        <w:tc>
          <w:tcPr>
            <w:tcW w:w="648" w:type="pct"/>
            <w:gridSpan w:val="2"/>
            <w:tcBorders>
              <w:top w:val="single" w:sz="4" w:space="0" w:color="000000"/>
              <w:left w:val="nil"/>
              <w:bottom w:val="single" w:sz="4" w:space="0" w:color="000000"/>
              <w:right w:val="nil"/>
            </w:tcBorders>
            <w:shd w:val="clear" w:color="auto" w:fill="auto"/>
            <w:vAlign w:val="center"/>
            <w:hideMark/>
          </w:tcPr>
          <w:p w14:paraId="50DCD4DC" w14:textId="6E7A74B3" w:rsidR="007A361F" w:rsidRPr="00B63F32" w:rsidRDefault="007A361F" w:rsidP="005671CF">
            <w:pPr>
              <w:pStyle w:val="SingleParagraph"/>
              <w:jc w:val="center"/>
              <w:rPr>
                <w:rFonts w:ascii="Arial" w:hAnsi="Arial" w:cs="Arial"/>
                <w:sz w:val="16"/>
                <w:szCs w:val="16"/>
              </w:rPr>
            </w:pPr>
            <w:r w:rsidRPr="00B63F32">
              <w:rPr>
                <w:rFonts w:ascii="Arial" w:hAnsi="Arial" w:cs="Arial"/>
                <w:sz w:val="16"/>
                <w:szCs w:val="16"/>
              </w:rPr>
              <w:t>Variation to Other approval</w:t>
            </w:r>
          </w:p>
        </w:tc>
        <w:tc>
          <w:tcPr>
            <w:tcW w:w="108" w:type="pct"/>
            <w:tcBorders>
              <w:top w:val="single" w:sz="4" w:space="0" w:color="000000"/>
              <w:left w:val="nil"/>
              <w:bottom w:val="single" w:sz="4" w:space="0" w:color="000000"/>
              <w:right w:val="nil"/>
            </w:tcBorders>
            <w:shd w:val="clear" w:color="auto" w:fill="auto"/>
            <w:vAlign w:val="center"/>
            <w:hideMark/>
          </w:tcPr>
          <w:p w14:paraId="42DED5C3" w14:textId="6ADBFA86" w:rsidR="007A361F" w:rsidRPr="00B63F32" w:rsidRDefault="007A361F" w:rsidP="005671CF">
            <w:pPr>
              <w:pStyle w:val="SingleParagraph"/>
              <w:jc w:val="center"/>
              <w:rPr>
                <w:rFonts w:ascii="Arial" w:hAnsi="Arial" w:cs="Arial"/>
                <w:sz w:val="16"/>
                <w:szCs w:val="16"/>
              </w:rPr>
            </w:pPr>
          </w:p>
        </w:tc>
        <w:tc>
          <w:tcPr>
            <w:tcW w:w="648" w:type="pct"/>
            <w:gridSpan w:val="2"/>
            <w:tcBorders>
              <w:top w:val="single" w:sz="4" w:space="0" w:color="000000"/>
              <w:left w:val="nil"/>
              <w:bottom w:val="single" w:sz="4" w:space="0" w:color="000000"/>
              <w:right w:val="nil"/>
            </w:tcBorders>
            <w:shd w:val="clear" w:color="auto" w:fill="auto"/>
            <w:vAlign w:val="center"/>
            <w:hideMark/>
          </w:tcPr>
          <w:p w14:paraId="79BB6B82" w14:textId="32324C56" w:rsidR="007A361F" w:rsidRPr="00B63F32" w:rsidRDefault="007A361F" w:rsidP="005671CF">
            <w:pPr>
              <w:pStyle w:val="SingleParagraph"/>
              <w:jc w:val="center"/>
              <w:rPr>
                <w:rFonts w:ascii="Arial" w:hAnsi="Arial" w:cs="Arial"/>
                <w:sz w:val="16"/>
                <w:szCs w:val="16"/>
              </w:rPr>
            </w:pPr>
            <w:r w:rsidRPr="00B63F32">
              <w:rPr>
                <w:rFonts w:ascii="Arial" w:hAnsi="Arial" w:cs="Arial"/>
                <w:sz w:val="16"/>
                <w:szCs w:val="16"/>
              </w:rPr>
              <w:t>Total</w:t>
            </w:r>
          </w:p>
        </w:tc>
      </w:tr>
      <w:tr w:rsidR="007A361F" w:rsidRPr="00B63F32" w14:paraId="3E42334E" w14:textId="77777777" w:rsidTr="008F29F0">
        <w:trPr>
          <w:trHeight w:val="447"/>
        </w:trPr>
        <w:tc>
          <w:tcPr>
            <w:tcW w:w="714" w:type="pct"/>
            <w:tcBorders>
              <w:top w:val="nil"/>
              <w:left w:val="nil"/>
              <w:bottom w:val="nil"/>
              <w:right w:val="nil"/>
            </w:tcBorders>
            <w:shd w:val="clear" w:color="000000" w:fill="FFFFFF"/>
            <w:noWrap/>
            <w:vAlign w:val="center"/>
            <w:hideMark/>
          </w:tcPr>
          <w:p w14:paraId="0F40C07D" w14:textId="77777777" w:rsidR="007A361F" w:rsidRPr="00B63F32" w:rsidRDefault="007A361F" w:rsidP="007A361F">
            <w:pPr>
              <w:pStyle w:val="SingleParagraph"/>
              <w:rPr>
                <w:rFonts w:ascii="Arial" w:hAnsi="Arial" w:cs="Arial"/>
                <w:sz w:val="16"/>
                <w:szCs w:val="16"/>
              </w:rPr>
            </w:pPr>
            <w:r w:rsidRPr="00B63F32">
              <w:rPr>
                <w:rFonts w:ascii="Arial" w:hAnsi="Arial" w:cs="Arial"/>
                <w:sz w:val="16"/>
                <w:szCs w:val="16"/>
              </w:rPr>
              <w:t> </w:t>
            </w:r>
          </w:p>
        </w:tc>
        <w:tc>
          <w:tcPr>
            <w:tcW w:w="506" w:type="pct"/>
            <w:gridSpan w:val="2"/>
            <w:tcBorders>
              <w:top w:val="single" w:sz="4" w:space="0" w:color="000000"/>
              <w:left w:val="nil"/>
              <w:bottom w:val="single" w:sz="4" w:space="0" w:color="000000"/>
              <w:right w:val="nil"/>
            </w:tcBorders>
            <w:shd w:val="clear" w:color="auto" w:fill="auto"/>
            <w:vAlign w:val="center"/>
            <w:hideMark/>
          </w:tcPr>
          <w:p w14:paraId="422527C5" w14:textId="155C67E6" w:rsidR="007A361F" w:rsidRPr="00B63F32" w:rsidRDefault="007A361F" w:rsidP="005671CF">
            <w:pPr>
              <w:pStyle w:val="SingleParagraph"/>
              <w:jc w:val="center"/>
              <w:rPr>
                <w:rFonts w:ascii="Arial" w:hAnsi="Arial" w:cs="Arial"/>
                <w:sz w:val="16"/>
                <w:szCs w:val="16"/>
              </w:rPr>
            </w:pPr>
            <w:r w:rsidRPr="00B63F32">
              <w:rPr>
                <w:rFonts w:ascii="Arial" w:hAnsi="Arial" w:cs="Arial"/>
                <w:sz w:val="16"/>
                <w:szCs w:val="16"/>
              </w:rPr>
              <w:t>Acquisition program certificate</w:t>
            </w:r>
          </w:p>
        </w:tc>
        <w:tc>
          <w:tcPr>
            <w:tcW w:w="108" w:type="pct"/>
            <w:tcBorders>
              <w:top w:val="nil"/>
              <w:left w:val="nil"/>
              <w:bottom w:val="single" w:sz="4" w:space="0" w:color="000000"/>
              <w:right w:val="nil"/>
            </w:tcBorders>
            <w:shd w:val="clear" w:color="auto" w:fill="auto"/>
            <w:vAlign w:val="center"/>
            <w:hideMark/>
          </w:tcPr>
          <w:p w14:paraId="2673786D" w14:textId="433692F9" w:rsidR="007A361F" w:rsidRPr="00B63F32" w:rsidRDefault="007A361F" w:rsidP="005671CF">
            <w:pPr>
              <w:pStyle w:val="SingleParagraph"/>
              <w:jc w:val="center"/>
              <w:rPr>
                <w:rFonts w:ascii="Arial" w:hAnsi="Arial" w:cs="Arial"/>
                <w:sz w:val="16"/>
                <w:szCs w:val="16"/>
              </w:rPr>
            </w:pPr>
          </w:p>
        </w:tc>
        <w:tc>
          <w:tcPr>
            <w:tcW w:w="648" w:type="pct"/>
            <w:gridSpan w:val="2"/>
            <w:tcBorders>
              <w:top w:val="single" w:sz="4" w:space="0" w:color="000000"/>
              <w:left w:val="nil"/>
              <w:bottom w:val="single" w:sz="4" w:space="0" w:color="000000"/>
              <w:right w:val="nil"/>
            </w:tcBorders>
            <w:shd w:val="clear" w:color="auto" w:fill="auto"/>
            <w:vAlign w:val="center"/>
            <w:hideMark/>
          </w:tcPr>
          <w:p w14:paraId="36DFA87E" w14:textId="1FB1258A" w:rsidR="007A361F" w:rsidRPr="00B63F32" w:rsidRDefault="007A361F" w:rsidP="005671CF">
            <w:pPr>
              <w:pStyle w:val="SingleParagraph"/>
              <w:jc w:val="center"/>
              <w:rPr>
                <w:rFonts w:ascii="Arial" w:hAnsi="Arial" w:cs="Arial"/>
                <w:sz w:val="16"/>
                <w:szCs w:val="16"/>
              </w:rPr>
            </w:pPr>
            <w:r w:rsidRPr="00B63F32">
              <w:rPr>
                <w:rFonts w:ascii="Arial" w:hAnsi="Arial" w:cs="Arial"/>
                <w:sz w:val="16"/>
                <w:szCs w:val="16"/>
              </w:rPr>
              <w:t xml:space="preserve">New </w:t>
            </w:r>
            <w:r w:rsidR="006170B3" w:rsidRPr="00B63F32">
              <w:rPr>
                <w:rFonts w:ascii="Arial" w:hAnsi="Arial" w:cs="Arial"/>
                <w:sz w:val="16"/>
                <w:szCs w:val="16"/>
              </w:rPr>
              <w:t>D</w:t>
            </w:r>
            <w:r w:rsidRPr="00B63F32">
              <w:rPr>
                <w:rFonts w:ascii="Arial" w:hAnsi="Arial" w:cs="Arial"/>
                <w:sz w:val="16"/>
                <w:szCs w:val="16"/>
              </w:rPr>
              <w:t xml:space="preserve">welling </w:t>
            </w:r>
            <w:r w:rsidR="006170B3" w:rsidRPr="00B63F32">
              <w:rPr>
                <w:rFonts w:ascii="Arial" w:hAnsi="Arial" w:cs="Arial"/>
                <w:sz w:val="16"/>
                <w:szCs w:val="16"/>
              </w:rPr>
              <w:t>EC</w:t>
            </w:r>
          </w:p>
        </w:tc>
        <w:tc>
          <w:tcPr>
            <w:tcW w:w="108" w:type="pct"/>
            <w:tcBorders>
              <w:top w:val="nil"/>
              <w:left w:val="nil"/>
              <w:bottom w:val="single" w:sz="4" w:space="0" w:color="000000"/>
              <w:right w:val="nil"/>
            </w:tcBorders>
            <w:shd w:val="clear" w:color="auto" w:fill="auto"/>
            <w:vAlign w:val="center"/>
            <w:hideMark/>
          </w:tcPr>
          <w:p w14:paraId="3D4FBAC5" w14:textId="69F9D2C2" w:rsidR="007A361F" w:rsidRPr="00B63F32" w:rsidRDefault="007A361F" w:rsidP="005671CF">
            <w:pPr>
              <w:pStyle w:val="SingleParagraph"/>
              <w:jc w:val="center"/>
              <w:rPr>
                <w:rFonts w:ascii="Arial" w:hAnsi="Arial" w:cs="Arial"/>
                <w:sz w:val="16"/>
                <w:szCs w:val="16"/>
              </w:rPr>
            </w:pPr>
          </w:p>
        </w:tc>
        <w:tc>
          <w:tcPr>
            <w:tcW w:w="648" w:type="pct"/>
            <w:gridSpan w:val="2"/>
            <w:tcBorders>
              <w:top w:val="single" w:sz="4" w:space="0" w:color="000000"/>
              <w:left w:val="nil"/>
              <w:bottom w:val="single" w:sz="4" w:space="0" w:color="000000"/>
              <w:right w:val="nil"/>
            </w:tcBorders>
            <w:shd w:val="clear" w:color="auto" w:fill="auto"/>
            <w:vAlign w:val="center"/>
            <w:hideMark/>
          </w:tcPr>
          <w:p w14:paraId="36BCFEF8" w14:textId="30173C16" w:rsidR="007A361F" w:rsidRPr="00B63F32" w:rsidRDefault="007A361F" w:rsidP="005671CF">
            <w:pPr>
              <w:pStyle w:val="SingleParagraph"/>
              <w:jc w:val="center"/>
              <w:rPr>
                <w:rFonts w:ascii="Arial" w:hAnsi="Arial" w:cs="Arial"/>
                <w:sz w:val="16"/>
                <w:szCs w:val="16"/>
              </w:rPr>
            </w:pPr>
            <w:r w:rsidRPr="00B63F32">
              <w:rPr>
                <w:rFonts w:ascii="Arial" w:hAnsi="Arial" w:cs="Arial"/>
                <w:sz w:val="16"/>
                <w:szCs w:val="16"/>
              </w:rPr>
              <w:t>Residential</w:t>
            </w:r>
          </w:p>
        </w:tc>
        <w:tc>
          <w:tcPr>
            <w:tcW w:w="108" w:type="pct"/>
            <w:tcBorders>
              <w:top w:val="nil"/>
              <w:left w:val="nil"/>
              <w:bottom w:val="single" w:sz="4" w:space="0" w:color="000000"/>
              <w:right w:val="nil"/>
            </w:tcBorders>
            <w:shd w:val="clear" w:color="auto" w:fill="auto"/>
            <w:vAlign w:val="center"/>
            <w:hideMark/>
          </w:tcPr>
          <w:p w14:paraId="0B8E3D0C" w14:textId="0668E925" w:rsidR="007A361F" w:rsidRPr="00B63F32" w:rsidRDefault="007A361F" w:rsidP="005671CF">
            <w:pPr>
              <w:pStyle w:val="SingleParagraph"/>
              <w:jc w:val="center"/>
              <w:rPr>
                <w:rFonts w:ascii="Arial" w:hAnsi="Arial" w:cs="Arial"/>
                <w:sz w:val="16"/>
                <w:szCs w:val="16"/>
              </w:rPr>
            </w:pPr>
          </w:p>
        </w:tc>
        <w:tc>
          <w:tcPr>
            <w:tcW w:w="648" w:type="pct"/>
            <w:gridSpan w:val="2"/>
            <w:tcBorders>
              <w:top w:val="single" w:sz="4" w:space="0" w:color="000000"/>
              <w:left w:val="nil"/>
              <w:bottom w:val="single" w:sz="4" w:space="0" w:color="000000"/>
              <w:right w:val="nil"/>
            </w:tcBorders>
            <w:shd w:val="clear" w:color="auto" w:fill="auto"/>
            <w:vAlign w:val="center"/>
            <w:hideMark/>
          </w:tcPr>
          <w:p w14:paraId="6AC8BDBD" w14:textId="01C4D90F" w:rsidR="007A361F" w:rsidRPr="00B63F32" w:rsidRDefault="007A361F" w:rsidP="005671CF">
            <w:pPr>
              <w:pStyle w:val="SingleParagraph"/>
              <w:jc w:val="center"/>
              <w:rPr>
                <w:rFonts w:ascii="Arial" w:hAnsi="Arial" w:cs="Arial"/>
                <w:sz w:val="16"/>
                <w:szCs w:val="16"/>
              </w:rPr>
            </w:pPr>
            <w:r w:rsidRPr="00B63F32">
              <w:rPr>
                <w:rFonts w:ascii="Arial" w:hAnsi="Arial" w:cs="Arial"/>
                <w:sz w:val="16"/>
                <w:szCs w:val="16"/>
              </w:rPr>
              <w:t>Other</w:t>
            </w:r>
          </w:p>
        </w:tc>
        <w:tc>
          <w:tcPr>
            <w:tcW w:w="108" w:type="pct"/>
            <w:tcBorders>
              <w:top w:val="nil"/>
              <w:left w:val="nil"/>
              <w:bottom w:val="nil"/>
              <w:right w:val="nil"/>
            </w:tcBorders>
            <w:shd w:val="clear" w:color="auto" w:fill="auto"/>
            <w:vAlign w:val="bottom"/>
            <w:hideMark/>
          </w:tcPr>
          <w:p w14:paraId="3223E755"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 </w:t>
            </w:r>
          </w:p>
        </w:tc>
        <w:tc>
          <w:tcPr>
            <w:tcW w:w="324" w:type="pct"/>
            <w:tcBorders>
              <w:top w:val="nil"/>
              <w:left w:val="nil"/>
              <w:bottom w:val="nil"/>
              <w:right w:val="nil"/>
            </w:tcBorders>
            <w:shd w:val="clear" w:color="auto" w:fill="auto"/>
            <w:vAlign w:val="bottom"/>
            <w:hideMark/>
          </w:tcPr>
          <w:p w14:paraId="266E8278"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 </w:t>
            </w:r>
          </w:p>
        </w:tc>
        <w:tc>
          <w:tcPr>
            <w:tcW w:w="324" w:type="pct"/>
            <w:tcBorders>
              <w:top w:val="nil"/>
              <w:left w:val="nil"/>
              <w:bottom w:val="nil"/>
              <w:right w:val="nil"/>
            </w:tcBorders>
            <w:shd w:val="clear" w:color="auto" w:fill="auto"/>
            <w:vAlign w:val="bottom"/>
            <w:hideMark/>
          </w:tcPr>
          <w:p w14:paraId="78900038"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 </w:t>
            </w:r>
          </w:p>
        </w:tc>
        <w:tc>
          <w:tcPr>
            <w:tcW w:w="108" w:type="pct"/>
            <w:tcBorders>
              <w:top w:val="nil"/>
              <w:left w:val="nil"/>
              <w:bottom w:val="nil"/>
              <w:right w:val="nil"/>
            </w:tcBorders>
            <w:shd w:val="clear" w:color="auto" w:fill="auto"/>
            <w:vAlign w:val="bottom"/>
            <w:hideMark/>
          </w:tcPr>
          <w:p w14:paraId="47656140"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 </w:t>
            </w:r>
          </w:p>
        </w:tc>
        <w:tc>
          <w:tcPr>
            <w:tcW w:w="324" w:type="pct"/>
            <w:tcBorders>
              <w:top w:val="nil"/>
              <w:left w:val="nil"/>
              <w:bottom w:val="nil"/>
              <w:right w:val="nil"/>
            </w:tcBorders>
            <w:shd w:val="clear" w:color="auto" w:fill="auto"/>
            <w:vAlign w:val="bottom"/>
            <w:hideMark/>
          </w:tcPr>
          <w:p w14:paraId="1750A64D"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 </w:t>
            </w:r>
          </w:p>
        </w:tc>
        <w:tc>
          <w:tcPr>
            <w:tcW w:w="324" w:type="pct"/>
            <w:tcBorders>
              <w:top w:val="nil"/>
              <w:left w:val="nil"/>
              <w:bottom w:val="nil"/>
              <w:right w:val="nil"/>
            </w:tcBorders>
            <w:shd w:val="clear" w:color="auto" w:fill="auto"/>
            <w:vAlign w:val="bottom"/>
            <w:hideMark/>
          </w:tcPr>
          <w:p w14:paraId="0C08877B"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 </w:t>
            </w:r>
          </w:p>
        </w:tc>
      </w:tr>
      <w:tr w:rsidR="008F29F0" w:rsidRPr="00B63F32" w14:paraId="4C378309" w14:textId="77777777" w:rsidTr="008F29F0">
        <w:trPr>
          <w:trHeight w:val="300"/>
        </w:trPr>
        <w:tc>
          <w:tcPr>
            <w:tcW w:w="714" w:type="pct"/>
            <w:tcBorders>
              <w:top w:val="nil"/>
              <w:left w:val="nil"/>
              <w:bottom w:val="nil"/>
              <w:right w:val="nil"/>
            </w:tcBorders>
            <w:shd w:val="clear" w:color="000000" w:fill="FFFFFF"/>
            <w:noWrap/>
            <w:vAlign w:val="center"/>
            <w:hideMark/>
          </w:tcPr>
          <w:p w14:paraId="0CB704F7" w14:textId="77777777" w:rsidR="007A361F" w:rsidRPr="00B63F32" w:rsidRDefault="007A361F" w:rsidP="007A361F">
            <w:pPr>
              <w:pStyle w:val="SingleParagraph"/>
              <w:rPr>
                <w:rFonts w:ascii="Arial" w:hAnsi="Arial" w:cs="Arial"/>
                <w:sz w:val="16"/>
                <w:szCs w:val="16"/>
              </w:rPr>
            </w:pPr>
            <w:r w:rsidRPr="00B63F32">
              <w:rPr>
                <w:rFonts w:ascii="Arial" w:hAnsi="Arial" w:cs="Arial"/>
                <w:sz w:val="16"/>
                <w:szCs w:val="16"/>
              </w:rPr>
              <w:t> </w:t>
            </w:r>
          </w:p>
        </w:tc>
        <w:tc>
          <w:tcPr>
            <w:tcW w:w="182" w:type="pct"/>
            <w:tcBorders>
              <w:top w:val="nil"/>
              <w:left w:val="nil"/>
              <w:bottom w:val="nil"/>
              <w:right w:val="nil"/>
            </w:tcBorders>
            <w:shd w:val="clear" w:color="auto" w:fill="auto"/>
            <w:noWrap/>
            <w:vAlign w:val="center"/>
            <w:hideMark/>
          </w:tcPr>
          <w:p w14:paraId="64463219" w14:textId="39521A24" w:rsidR="007A361F" w:rsidRPr="00B63F32" w:rsidRDefault="00D76ED2" w:rsidP="006E5FC3">
            <w:pPr>
              <w:pStyle w:val="SingleParagraph"/>
              <w:jc w:val="right"/>
              <w:rPr>
                <w:rFonts w:ascii="Arial" w:hAnsi="Arial" w:cs="Arial"/>
                <w:sz w:val="16"/>
                <w:szCs w:val="16"/>
              </w:rPr>
            </w:pPr>
            <w:r>
              <w:rPr>
                <w:rFonts w:ascii="Arial" w:hAnsi="Arial" w:cs="Arial"/>
                <w:sz w:val="16"/>
                <w:szCs w:val="16"/>
              </w:rPr>
              <w:t>2019</w:t>
            </w:r>
            <w:r>
              <w:rPr>
                <w:rFonts w:ascii="Arial" w:hAnsi="Arial" w:cs="Arial"/>
                <w:sz w:val="16"/>
                <w:szCs w:val="16"/>
              </w:rPr>
              <w:noBreakHyphen/>
              <w:t>20</w:t>
            </w:r>
          </w:p>
        </w:tc>
        <w:tc>
          <w:tcPr>
            <w:tcW w:w="324" w:type="pct"/>
            <w:tcBorders>
              <w:top w:val="nil"/>
              <w:left w:val="nil"/>
              <w:bottom w:val="nil"/>
              <w:right w:val="nil"/>
            </w:tcBorders>
            <w:shd w:val="clear" w:color="auto" w:fill="E1E8EB"/>
            <w:noWrap/>
            <w:vAlign w:val="center"/>
            <w:hideMark/>
          </w:tcPr>
          <w:p w14:paraId="73FCD606" w14:textId="6F11398E" w:rsidR="007A361F" w:rsidRPr="00B63F32" w:rsidRDefault="00D76ED2" w:rsidP="006E5FC3">
            <w:pPr>
              <w:pStyle w:val="SingleParagraph"/>
              <w:jc w:val="right"/>
              <w:rPr>
                <w:rFonts w:ascii="Arial" w:hAnsi="Arial" w:cs="Arial"/>
                <w:sz w:val="16"/>
                <w:szCs w:val="16"/>
              </w:rPr>
            </w:pPr>
            <w:r>
              <w:rPr>
                <w:rFonts w:ascii="Arial" w:hAnsi="Arial" w:cs="Arial"/>
                <w:sz w:val="16"/>
                <w:szCs w:val="16"/>
              </w:rPr>
              <w:t>2020</w:t>
            </w:r>
            <w:r>
              <w:rPr>
                <w:rFonts w:ascii="Arial" w:hAnsi="Arial" w:cs="Arial"/>
                <w:sz w:val="16"/>
                <w:szCs w:val="16"/>
              </w:rPr>
              <w:noBreakHyphen/>
              <w:t>21</w:t>
            </w:r>
          </w:p>
        </w:tc>
        <w:tc>
          <w:tcPr>
            <w:tcW w:w="108" w:type="pct"/>
            <w:tcBorders>
              <w:top w:val="nil"/>
              <w:left w:val="nil"/>
              <w:bottom w:val="nil"/>
              <w:right w:val="nil"/>
            </w:tcBorders>
            <w:shd w:val="clear" w:color="auto" w:fill="auto"/>
            <w:noWrap/>
            <w:vAlign w:val="center"/>
            <w:hideMark/>
          </w:tcPr>
          <w:p w14:paraId="45ABA86E" w14:textId="3CFD7ADD"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65694E5D" w14:textId="2B5F3107" w:rsidR="007A361F" w:rsidRPr="00B63F32" w:rsidRDefault="00D76ED2" w:rsidP="006E5FC3">
            <w:pPr>
              <w:pStyle w:val="SingleParagraph"/>
              <w:jc w:val="right"/>
              <w:rPr>
                <w:rFonts w:ascii="Arial" w:hAnsi="Arial" w:cs="Arial"/>
                <w:sz w:val="16"/>
                <w:szCs w:val="16"/>
              </w:rPr>
            </w:pPr>
            <w:r>
              <w:rPr>
                <w:rFonts w:ascii="Arial" w:hAnsi="Arial" w:cs="Arial"/>
                <w:sz w:val="16"/>
                <w:szCs w:val="16"/>
              </w:rPr>
              <w:t>2019</w:t>
            </w:r>
            <w:r>
              <w:rPr>
                <w:rFonts w:ascii="Arial" w:hAnsi="Arial" w:cs="Arial"/>
                <w:sz w:val="16"/>
                <w:szCs w:val="16"/>
              </w:rPr>
              <w:noBreakHyphen/>
              <w:t>20</w:t>
            </w:r>
          </w:p>
        </w:tc>
        <w:tc>
          <w:tcPr>
            <w:tcW w:w="324" w:type="pct"/>
            <w:tcBorders>
              <w:top w:val="nil"/>
              <w:left w:val="nil"/>
              <w:bottom w:val="nil"/>
              <w:right w:val="nil"/>
            </w:tcBorders>
            <w:shd w:val="clear" w:color="auto" w:fill="E1E8EB"/>
            <w:noWrap/>
            <w:vAlign w:val="center"/>
            <w:hideMark/>
          </w:tcPr>
          <w:p w14:paraId="13F02DCA" w14:textId="7CA48714" w:rsidR="007A361F" w:rsidRPr="00B63F32" w:rsidRDefault="00D76ED2" w:rsidP="006E5FC3">
            <w:pPr>
              <w:pStyle w:val="SingleParagraph"/>
              <w:jc w:val="right"/>
              <w:rPr>
                <w:rFonts w:ascii="Arial" w:hAnsi="Arial" w:cs="Arial"/>
                <w:sz w:val="16"/>
                <w:szCs w:val="16"/>
              </w:rPr>
            </w:pPr>
            <w:r>
              <w:rPr>
                <w:rFonts w:ascii="Arial" w:hAnsi="Arial" w:cs="Arial"/>
                <w:sz w:val="16"/>
                <w:szCs w:val="16"/>
              </w:rPr>
              <w:t>2020</w:t>
            </w:r>
            <w:r>
              <w:rPr>
                <w:rFonts w:ascii="Arial" w:hAnsi="Arial" w:cs="Arial"/>
                <w:sz w:val="16"/>
                <w:szCs w:val="16"/>
              </w:rPr>
              <w:noBreakHyphen/>
              <w:t>21</w:t>
            </w:r>
          </w:p>
        </w:tc>
        <w:tc>
          <w:tcPr>
            <w:tcW w:w="108" w:type="pct"/>
            <w:tcBorders>
              <w:top w:val="nil"/>
              <w:left w:val="nil"/>
              <w:bottom w:val="nil"/>
              <w:right w:val="nil"/>
            </w:tcBorders>
            <w:shd w:val="clear" w:color="auto" w:fill="auto"/>
            <w:noWrap/>
            <w:vAlign w:val="center"/>
            <w:hideMark/>
          </w:tcPr>
          <w:p w14:paraId="0019565C" w14:textId="47DCE32F"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6712AED5" w14:textId="5F59B4C3" w:rsidR="007A361F" w:rsidRPr="00B63F32" w:rsidRDefault="00D76ED2" w:rsidP="006E5FC3">
            <w:pPr>
              <w:pStyle w:val="SingleParagraph"/>
              <w:jc w:val="right"/>
              <w:rPr>
                <w:rFonts w:ascii="Arial" w:hAnsi="Arial" w:cs="Arial"/>
                <w:sz w:val="16"/>
                <w:szCs w:val="16"/>
              </w:rPr>
            </w:pPr>
            <w:r>
              <w:rPr>
                <w:rFonts w:ascii="Arial" w:hAnsi="Arial" w:cs="Arial"/>
                <w:sz w:val="16"/>
                <w:szCs w:val="16"/>
              </w:rPr>
              <w:t>2019</w:t>
            </w:r>
            <w:r>
              <w:rPr>
                <w:rFonts w:ascii="Arial" w:hAnsi="Arial" w:cs="Arial"/>
                <w:sz w:val="16"/>
                <w:szCs w:val="16"/>
              </w:rPr>
              <w:noBreakHyphen/>
              <w:t>20</w:t>
            </w:r>
          </w:p>
        </w:tc>
        <w:tc>
          <w:tcPr>
            <w:tcW w:w="324" w:type="pct"/>
            <w:tcBorders>
              <w:top w:val="nil"/>
              <w:left w:val="nil"/>
              <w:bottom w:val="nil"/>
              <w:right w:val="nil"/>
            </w:tcBorders>
            <w:shd w:val="clear" w:color="auto" w:fill="E1E8EB"/>
            <w:noWrap/>
            <w:vAlign w:val="center"/>
            <w:hideMark/>
          </w:tcPr>
          <w:p w14:paraId="52CA100C" w14:textId="5DD26425" w:rsidR="007A361F" w:rsidRPr="00B63F32" w:rsidRDefault="00D76ED2" w:rsidP="006E5FC3">
            <w:pPr>
              <w:pStyle w:val="SingleParagraph"/>
              <w:jc w:val="right"/>
              <w:rPr>
                <w:rFonts w:ascii="Arial" w:hAnsi="Arial" w:cs="Arial"/>
                <w:sz w:val="16"/>
                <w:szCs w:val="16"/>
              </w:rPr>
            </w:pPr>
            <w:r>
              <w:rPr>
                <w:rFonts w:ascii="Arial" w:hAnsi="Arial" w:cs="Arial"/>
                <w:sz w:val="16"/>
                <w:szCs w:val="16"/>
              </w:rPr>
              <w:t>2020</w:t>
            </w:r>
            <w:r>
              <w:rPr>
                <w:rFonts w:ascii="Arial" w:hAnsi="Arial" w:cs="Arial"/>
                <w:sz w:val="16"/>
                <w:szCs w:val="16"/>
              </w:rPr>
              <w:noBreakHyphen/>
              <w:t>21</w:t>
            </w:r>
          </w:p>
        </w:tc>
        <w:tc>
          <w:tcPr>
            <w:tcW w:w="108" w:type="pct"/>
            <w:tcBorders>
              <w:top w:val="nil"/>
              <w:left w:val="nil"/>
              <w:bottom w:val="nil"/>
              <w:right w:val="nil"/>
            </w:tcBorders>
            <w:shd w:val="clear" w:color="auto" w:fill="auto"/>
            <w:noWrap/>
            <w:vAlign w:val="center"/>
            <w:hideMark/>
          </w:tcPr>
          <w:p w14:paraId="2CD68EB4" w14:textId="6024C4E8"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3E2D49E9" w14:textId="1B1D4682" w:rsidR="007A361F" w:rsidRPr="00B63F32" w:rsidRDefault="00D76ED2" w:rsidP="006E5FC3">
            <w:pPr>
              <w:pStyle w:val="SingleParagraph"/>
              <w:jc w:val="right"/>
              <w:rPr>
                <w:rFonts w:ascii="Arial" w:hAnsi="Arial" w:cs="Arial"/>
                <w:sz w:val="16"/>
                <w:szCs w:val="16"/>
              </w:rPr>
            </w:pPr>
            <w:r>
              <w:rPr>
                <w:rFonts w:ascii="Arial" w:hAnsi="Arial" w:cs="Arial"/>
                <w:sz w:val="16"/>
                <w:szCs w:val="16"/>
              </w:rPr>
              <w:t>2019</w:t>
            </w:r>
            <w:r>
              <w:rPr>
                <w:rFonts w:ascii="Arial" w:hAnsi="Arial" w:cs="Arial"/>
                <w:sz w:val="16"/>
                <w:szCs w:val="16"/>
              </w:rPr>
              <w:noBreakHyphen/>
              <w:t>20</w:t>
            </w:r>
          </w:p>
        </w:tc>
        <w:tc>
          <w:tcPr>
            <w:tcW w:w="324" w:type="pct"/>
            <w:tcBorders>
              <w:top w:val="nil"/>
              <w:left w:val="nil"/>
              <w:bottom w:val="nil"/>
              <w:right w:val="nil"/>
            </w:tcBorders>
            <w:shd w:val="clear" w:color="auto" w:fill="E1E8EB"/>
            <w:noWrap/>
            <w:vAlign w:val="center"/>
            <w:hideMark/>
          </w:tcPr>
          <w:p w14:paraId="6A794429" w14:textId="4666E9B7" w:rsidR="007A361F" w:rsidRPr="00B63F32" w:rsidRDefault="00D76ED2" w:rsidP="006E5FC3">
            <w:pPr>
              <w:pStyle w:val="SingleParagraph"/>
              <w:jc w:val="right"/>
              <w:rPr>
                <w:rFonts w:ascii="Arial" w:hAnsi="Arial" w:cs="Arial"/>
                <w:sz w:val="16"/>
                <w:szCs w:val="16"/>
              </w:rPr>
            </w:pPr>
            <w:r>
              <w:rPr>
                <w:rFonts w:ascii="Arial" w:hAnsi="Arial" w:cs="Arial"/>
                <w:sz w:val="16"/>
                <w:szCs w:val="16"/>
              </w:rPr>
              <w:t>2020</w:t>
            </w:r>
            <w:r>
              <w:rPr>
                <w:rFonts w:ascii="Arial" w:hAnsi="Arial" w:cs="Arial"/>
                <w:sz w:val="16"/>
                <w:szCs w:val="16"/>
              </w:rPr>
              <w:noBreakHyphen/>
              <w:t>21</w:t>
            </w:r>
          </w:p>
        </w:tc>
        <w:tc>
          <w:tcPr>
            <w:tcW w:w="108" w:type="pct"/>
            <w:tcBorders>
              <w:top w:val="single" w:sz="4" w:space="0" w:color="000000"/>
              <w:left w:val="nil"/>
              <w:bottom w:val="nil"/>
              <w:right w:val="nil"/>
            </w:tcBorders>
            <w:shd w:val="clear" w:color="auto" w:fill="auto"/>
            <w:noWrap/>
            <w:vAlign w:val="center"/>
            <w:hideMark/>
          </w:tcPr>
          <w:p w14:paraId="4938D4E7" w14:textId="2A378C9D" w:rsidR="007A361F" w:rsidRPr="00B63F32" w:rsidRDefault="007A361F" w:rsidP="006E5FC3">
            <w:pPr>
              <w:pStyle w:val="SingleParagraph"/>
              <w:jc w:val="right"/>
              <w:rPr>
                <w:rFonts w:ascii="Arial" w:hAnsi="Arial" w:cs="Arial"/>
                <w:sz w:val="16"/>
                <w:szCs w:val="16"/>
              </w:rPr>
            </w:pPr>
          </w:p>
        </w:tc>
        <w:tc>
          <w:tcPr>
            <w:tcW w:w="324" w:type="pct"/>
            <w:tcBorders>
              <w:top w:val="single" w:sz="4" w:space="0" w:color="000000"/>
              <w:left w:val="nil"/>
              <w:bottom w:val="nil"/>
              <w:right w:val="nil"/>
            </w:tcBorders>
            <w:shd w:val="clear" w:color="auto" w:fill="auto"/>
            <w:noWrap/>
            <w:vAlign w:val="center"/>
            <w:hideMark/>
          </w:tcPr>
          <w:p w14:paraId="244C6D00" w14:textId="5D50B752" w:rsidR="007A361F" w:rsidRPr="00B63F32" w:rsidRDefault="00D76ED2" w:rsidP="006E5FC3">
            <w:pPr>
              <w:pStyle w:val="SingleParagraph"/>
              <w:jc w:val="right"/>
              <w:rPr>
                <w:rFonts w:ascii="Arial" w:hAnsi="Arial" w:cs="Arial"/>
                <w:sz w:val="16"/>
                <w:szCs w:val="16"/>
              </w:rPr>
            </w:pPr>
            <w:r>
              <w:rPr>
                <w:rFonts w:ascii="Arial" w:hAnsi="Arial" w:cs="Arial"/>
                <w:sz w:val="16"/>
                <w:szCs w:val="16"/>
              </w:rPr>
              <w:t>2019</w:t>
            </w:r>
            <w:r>
              <w:rPr>
                <w:rFonts w:ascii="Arial" w:hAnsi="Arial" w:cs="Arial"/>
                <w:sz w:val="16"/>
                <w:szCs w:val="16"/>
              </w:rPr>
              <w:noBreakHyphen/>
              <w:t>20</w:t>
            </w:r>
          </w:p>
        </w:tc>
        <w:tc>
          <w:tcPr>
            <w:tcW w:w="324" w:type="pct"/>
            <w:tcBorders>
              <w:top w:val="single" w:sz="4" w:space="0" w:color="000000"/>
              <w:left w:val="nil"/>
              <w:bottom w:val="nil"/>
              <w:right w:val="nil"/>
            </w:tcBorders>
            <w:shd w:val="clear" w:color="auto" w:fill="E1E8EB"/>
            <w:noWrap/>
            <w:vAlign w:val="center"/>
            <w:hideMark/>
          </w:tcPr>
          <w:p w14:paraId="22FE4CA1" w14:textId="0B693508" w:rsidR="007A361F" w:rsidRPr="00B63F32" w:rsidRDefault="00D76ED2" w:rsidP="006E5FC3">
            <w:pPr>
              <w:pStyle w:val="SingleParagraph"/>
              <w:jc w:val="right"/>
              <w:rPr>
                <w:rFonts w:ascii="Arial" w:hAnsi="Arial" w:cs="Arial"/>
                <w:sz w:val="16"/>
                <w:szCs w:val="16"/>
              </w:rPr>
            </w:pPr>
            <w:r>
              <w:rPr>
                <w:rFonts w:ascii="Arial" w:hAnsi="Arial" w:cs="Arial"/>
                <w:sz w:val="16"/>
                <w:szCs w:val="16"/>
              </w:rPr>
              <w:t>2020</w:t>
            </w:r>
            <w:r>
              <w:rPr>
                <w:rFonts w:ascii="Arial" w:hAnsi="Arial" w:cs="Arial"/>
                <w:sz w:val="16"/>
                <w:szCs w:val="16"/>
              </w:rPr>
              <w:noBreakHyphen/>
              <w:t>21</w:t>
            </w:r>
          </w:p>
        </w:tc>
        <w:tc>
          <w:tcPr>
            <w:tcW w:w="108" w:type="pct"/>
            <w:tcBorders>
              <w:top w:val="single" w:sz="4" w:space="0" w:color="000000"/>
              <w:left w:val="nil"/>
              <w:bottom w:val="nil"/>
              <w:right w:val="nil"/>
            </w:tcBorders>
            <w:shd w:val="clear" w:color="auto" w:fill="auto"/>
            <w:noWrap/>
            <w:vAlign w:val="center"/>
            <w:hideMark/>
          </w:tcPr>
          <w:p w14:paraId="10CE75BD" w14:textId="3FE4A6B9" w:rsidR="007A361F" w:rsidRPr="00B63F32" w:rsidRDefault="007A361F" w:rsidP="006E5FC3">
            <w:pPr>
              <w:pStyle w:val="SingleParagraph"/>
              <w:jc w:val="right"/>
              <w:rPr>
                <w:rFonts w:ascii="Arial" w:hAnsi="Arial" w:cs="Arial"/>
                <w:sz w:val="16"/>
                <w:szCs w:val="16"/>
              </w:rPr>
            </w:pPr>
          </w:p>
        </w:tc>
        <w:tc>
          <w:tcPr>
            <w:tcW w:w="324" w:type="pct"/>
            <w:tcBorders>
              <w:top w:val="single" w:sz="4" w:space="0" w:color="000000"/>
              <w:left w:val="nil"/>
              <w:bottom w:val="nil"/>
              <w:right w:val="nil"/>
            </w:tcBorders>
            <w:shd w:val="clear" w:color="auto" w:fill="auto"/>
            <w:noWrap/>
            <w:vAlign w:val="center"/>
            <w:hideMark/>
          </w:tcPr>
          <w:p w14:paraId="5B877E71" w14:textId="141E4AB7" w:rsidR="007A361F" w:rsidRPr="00B63F32" w:rsidRDefault="00D76ED2" w:rsidP="006E5FC3">
            <w:pPr>
              <w:pStyle w:val="SingleParagraph"/>
              <w:jc w:val="right"/>
              <w:rPr>
                <w:rFonts w:ascii="Arial" w:hAnsi="Arial" w:cs="Arial"/>
                <w:sz w:val="16"/>
                <w:szCs w:val="16"/>
              </w:rPr>
            </w:pPr>
            <w:r>
              <w:rPr>
                <w:rFonts w:ascii="Arial" w:hAnsi="Arial" w:cs="Arial"/>
                <w:sz w:val="16"/>
                <w:szCs w:val="16"/>
              </w:rPr>
              <w:t>2019</w:t>
            </w:r>
            <w:r>
              <w:rPr>
                <w:rFonts w:ascii="Arial" w:hAnsi="Arial" w:cs="Arial"/>
                <w:sz w:val="16"/>
                <w:szCs w:val="16"/>
              </w:rPr>
              <w:noBreakHyphen/>
              <w:t>20</w:t>
            </w:r>
          </w:p>
        </w:tc>
        <w:tc>
          <w:tcPr>
            <w:tcW w:w="324" w:type="pct"/>
            <w:tcBorders>
              <w:top w:val="single" w:sz="4" w:space="0" w:color="000000"/>
              <w:left w:val="nil"/>
              <w:bottom w:val="nil"/>
              <w:right w:val="nil"/>
            </w:tcBorders>
            <w:shd w:val="clear" w:color="auto" w:fill="E1E8EB"/>
            <w:noWrap/>
            <w:vAlign w:val="center"/>
            <w:hideMark/>
          </w:tcPr>
          <w:p w14:paraId="780AAA63" w14:textId="2EC50CB8" w:rsidR="007A361F" w:rsidRPr="00B63F32" w:rsidRDefault="00D76ED2" w:rsidP="006E5FC3">
            <w:pPr>
              <w:pStyle w:val="SingleParagraph"/>
              <w:jc w:val="right"/>
              <w:rPr>
                <w:rFonts w:ascii="Arial" w:hAnsi="Arial" w:cs="Arial"/>
                <w:sz w:val="16"/>
                <w:szCs w:val="16"/>
              </w:rPr>
            </w:pPr>
            <w:r>
              <w:rPr>
                <w:rFonts w:ascii="Arial" w:hAnsi="Arial" w:cs="Arial"/>
                <w:sz w:val="16"/>
                <w:szCs w:val="16"/>
              </w:rPr>
              <w:t>2020</w:t>
            </w:r>
            <w:r>
              <w:rPr>
                <w:rFonts w:ascii="Arial" w:hAnsi="Arial" w:cs="Arial"/>
                <w:sz w:val="16"/>
                <w:szCs w:val="16"/>
              </w:rPr>
              <w:noBreakHyphen/>
              <w:t>21</w:t>
            </w:r>
          </w:p>
        </w:tc>
      </w:tr>
      <w:tr w:rsidR="008F29F0" w:rsidRPr="00B63F32" w14:paraId="3C35C49C" w14:textId="77777777" w:rsidTr="008F29F0">
        <w:trPr>
          <w:trHeight w:val="300"/>
        </w:trPr>
        <w:tc>
          <w:tcPr>
            <w:tcW w:w="714" w:type="pct"/>
            <w:tcBorders>
              <w:top w:val="nil"/>
              <w:left w:val="nil"/>
              <w:bottom w:val="single" w:sz="4" w:space="0" w:color="000000"/>
              <w:right w:val="nil"/>
            </w:tcBorders>
            <w:shd w:val="clear" w:color="000000" w:fill="FFFFFF"/>
            <w:noWrap/>
            <w:vAlign w:val="bottom"/>
            <w:hideMark/>
          </w:tcPr>
          <w:p w14:paraId="08AADFD7" w14:textId="77777777" w:rsidR="007A361F" w:rsidRPr="00B63F32" w:rsidRDefault="007A361F" w:rsidP="007A361F">
            <w:pPr>
              <w:pStyle w:val="SingleParagraph"/>
              <w:rPr>
                <w:rFonts w:ascii="Arial" w:hAnsi="Arial" w:cs="Arial"/>
                <w:sz w:val="16"/>
                <w:szCs w:val="16"/>
              </w:rPr>
            </w:pPr>
            <w:r w:rsidRPr="00B63F32">
              <w:rPr>
                <w:rFonts w:ascii="Arial" w:hAnsi="Arial" w:cs="Arial"/>
                <w:sz w:val="16"/>
                <w:szCs w:val="16"/>
              </w:rPr>
              <w:t xml:space="preserve"> Outcome </w:t>
            </w:r>
          </w:p>
        </w:tc>
        <w:tc>
          <w:tcPr>
            <w:tcW w:w="182" w:type="pct"/>
            <w:tcBorders>
              <w:top w:val="nil"/>
              <w:left w:val="nil"/>
              <w:bottom w:val="single" w:sz="4" w:space="0" w:color="000000"/>
              <w:right w:val="nil"/>
            </w:tcBorders>
            <w:shd w:val="clear" w:color="auto" w:fill="auto"/>
            <w:noWrap/>
            <w:vAlign w:val="bottom"/>
            <w:hideMark/>
          </w:tcPr>
          <w:p w14:paraId="1E5A0057"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 xml:space="preserve"> No. </w:t>
            </w:r>
          </w:p>
        </w:tc>
        <w:tc>
          <w:tcPr>
            <w:tcW w:w="324" w:type="pct"/>
            <w:tcBorders>
              <w:top w:val="nil"/>
              <w:left w:val="nil"/>
              <w:bottom w:val="single" w:sz="4" w:space="0" w:color="000000"/>
              <w:right w:val="nil"/>
            </w:tcBorders>
            <w:shd w:val="clear" w:color="auto" w:fill="E1E8EB"/>
            <w:noWrap/>
            <w:vAlign w:val="bottom"/>
            <w:hideMark/>
          </w:tcPr>
          <w:p w14:paraId="7DCBDD26"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 xml:space="preserve"> No. </w:t>
            </w:r>
          </w:p>
        </w:tc>
        <w:tc>
          <w:tcPr>
            <w:tcW w:w="108" w:type="pct"/>
            <w:tcBorders>
              <w:top w:val="nil"/>
              <w:left w:val="nil"/>
              <w:bottom w:val="nil"/>
              <w:right w:val="nil"/>
            </w:tcBorders>
            <w:shd w:val="clear" w:color="auto" w:fill="auto"/>
            <w:noWrap/>
            <w:vAlign w:val="bottom"/>
            <w:hideMark/>
          </w:tcPr>
          <w:p w14:paraId="10EFE8F4"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single" w:sz="4" w:space="0" w:color="000000"/>
              <w:right w:val="nil"/>
            </w:tcBorders>
            <w:shd w:val="clear" w:color="auto" w:fill="auto"/>
            <w:noWrap/>
            <w:vAlign w:val="bottom"/>
            <w:hideMark/>
          </w:tcPr>
          <w:p w14:paraId="5EC88CB7"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 xml:space="preserve"> No. </w:t>
            </w:r>
          </w:p>
        </w:tc>
        <w:tc>
          <w:tcPr>
            <w:tcW w:w="324" w:type="pct"/>
            <w:tcBorders>
              <w:top w:val="nil"/>
              <w:left w:val="nil"/>
              <w:bottom w:val="single" w:sz="4" w:space="0" w:color="000000"/>
              <w:right w:val="nil"/>
            </w:tcBorders>
            <w:shd w:val="clear" w:color="auto" w:fill="E1E8EB"/>
            <w:noWrap/>
            <w:vAlign w:val="bottom"/>
            <w:hideMark/>
          </w:tcPr>
          <w:p w14:paraId="4ECB2B89"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 xml:space="preserve"> No. </w:t>
            </w:r>
          </w:p>
        </w:tc>
        <w:tc>
          <w:tcPr>
            <w:tcW w:w="108" w:type="pct"/>
            <w:tcBorders>
              <w:top w:val="nil"/>
              <w:left w:val="nil"/>
              <w:bottom w:val="nil"/>
              <w:right w:val="nil"/>
            </w:tcBorders>
            <w:shd w:val="clear" w:color="auto" w:fill="auto"/>
            <w:noWrap/>
            <w:vAlign w:val="bottom"/>
            <w:hideMark/>
          </w:tcPr>
          <w:p w14:paraId="6352058D"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single" w:sz="4" w:space="0" w:color="000000"/>
              <w:right w:val="nil"/>
            </w:tcBorders>
            <w:shd w:val="clear" w:color="auto" w:fill="auto"/>
            <w:noWrap/>
            <w:vAlign w:val="bottom"/>
            <w:hideMark/>
          </w:tcPr>
          <w:p w14:paraId="5CABE9CF"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 xml:space="preserve"> No. </w:t>
            </w:r>
          </w:p>
        </w:tc>
        <w:tc>
          <w:tcPr>
            <w:tcW w:w="324" w:type="pct"/>
            <w:tcBorders>
              <w:top w:val="nil"/>
              <w:left w:val="nil"/>
              <w:bottom w:val="single" w:sz="4" w:space="0" w:color="000000"/>
              <w:right w:val="nil"/>
            </w:tcBorders>
            <w:shd w:val="clear" w:color="auto" w:fill="E1E8EB"/>
            <w:noWrap/>
            <w:vAlign w:val="bottom"/>
            <w:hideMark/>
          </w:tcPr>
          <w:p w14:paraId="4A358024"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 xml:space="preserve"> No. </w:t>
            </w:r>
          </w:p>
        </w:tc>
        <w:tc>
          <w:tcPr>
            <w:tcW w:w="108" w:type="pct"/>
            <w:tcBorders>
              <w:top w:val="nil"/>
              <w:left w:val="nil"/>
              <w:bottom w:val="nil"/>
              <w:right w:val="nil"/>
            </w:tcBorders>
            <w:shd w:val="clear" w:color="auto" w:fill="auto"/>
            <w:noWrap/>
            <w:vAlign w:val="bottom"/>
            <w:hideMark/>
          </w:tcPr>
          <w:p w14:paraId="0181CC09"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single" w:sz="4" w:space="0" w:color="000000"/>
              <w:right w:val="nil"/>
            </w:tcBorders>
            <w:shd w:val="clear" w:color="auto" w:fill="auto"/>
            <w:noWrap/>
            <w:vAlign w:val="bottom"/>
            <w:hideMark/>
          </w:tcPr>
          <w:p w14:paraId="6B7D1869"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 xml:space="preserve"> No. </w:t>
            </w:r>
          </w:p>
        </w:tc>
        <w:tc>
          <w:tcPr>
            <w:tcW w:w="324" w:type="pct"/>
            <w:tcBorders>
              <w:top w:val="nil"/>
              <w:left w:val="nil"/>
              <w:bottom w:val="single" w:sz="4" w:space="0" w:color="000000"/>
              <w:right w:val="nil"/>
            </w:tcBorders>
            <w:shd w:val="clear" w:color="auto" w:fill="E1E8EB"/>
            <w:noWrap/>
            <w:vAlign w:val="bottom"/>
            <w:hideMark/>
          </w:tcPr>
          <w:p w14:paraId="391E5541"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 xml:space="preserve"> No. </w:t>
            </w:r>
          </w:p>
        </w:tc>
        <w:tc>
          <w:tcPr>
            <w:tcW w:w="108" w:type="pct"/>
            <w:tcBorders>
              <w:top w:val="nil"/>
              <w:left w:val="nil"/>
              <w:bottom w:val="nil"/>
              <w:right w:val="nil"/>
            </w:tcBorders>
            <w:shd w:val="clear" w:color="auto" w:fill="auto"/>
            <w:noWrap/>
            <w:vAlign w:val="bottom"/>
            <w:hideMark/>
          </w:tcPr>
          <w:p w14:paraId="5BB96D36"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single" w:sz="4" w:space="0" w:color="000000"/>
              <w:right w:val="nil"/>
            </w:tcBorders>
            <w:shd w:val="clear" w:color="auto" w:fill="auto"/>
            <w:noWrap/>
            <w:vAlign w:val="bottom"/>
            <w:hideMark/>
          </w:tcPr>
          <w:p w14:paraId="739F9F35"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 xml:space="preserve"> No. </w:t>
            </w:r>
          </w:p>
        </w:tc>
        <w:tc>
          <w:tcPr>
            <w:tcW w:w="324" w:type="pct"/>
            <w:tcBorders>
              <w:top w:val="nil"/>
              <w:left w:val="nil"/>
              <w:bottom w:val="single" w:sz="4" w:space="0" w:color="000000"/>
              <w:right w:val="nil"/>
            </w:tcBorders>
            <w:shd w:val="clear" w:color="auto" w:fill="E1E8EB"/>
            <w:noWrap/>
            <w:vAlign w:val="bottom"/>
            <w:hideMark/>
          </w:tcPr>
          <w:p w14:paraId="4DABB85A"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 xml:space="preserve"> No. </w:t>
            </w:r>
          </w:p>
        </w:tc>
        <w:tc>
          <w:tcPr>
            <w:tcW w:w="108" w:type="pct"/>
            <w:tcBorders>
              <w:top w:val="nil"/>
              <w:left w:val="nil"/>
              <w:bottom w:val="nil"/>
              <w:right w:val="nil"/>
            </w:tcBorders>
            <w:shd w:val="clear" w:color="auto" w:fill="auto"/>
            <w:noWrap/>
            <w:vAlign w:val="bottom"/>
            <w:hideMark/>
          </w:tcPr>
          <w:p w14:paraId="4FCC3786"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single" w:sz="4" w:space="0" w:color="000000"/>
              <w:right w:val="nil"/>
            </w:tcBorders>
            <w:shd w:val="clear" w:color="auto" w:fill="auto"/>
            <w:noWrap/>
            <w:vAlign w:val="bottom"/>
            <w:hideMark/>
          </w:tcPr>
          <w:p w14:paraId="687AFFEC"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 xml:space="preserve"> No. </w:t>
            </w:r>
          </w:p>
        </w:tc>
        <w:tc>
          <w:tcPr>
            <w:tcW w:w="324" w:type="pct"/>
            <w:tcBorders>
              <w:top w:val="nil"/>
              <w:left w:val="nil"/>
              <w:bottom w:val="single" w:sz="4" w:space="0" w:color="000000"/>
              <w:right w:val="nil"/>
            </w:tcBorders>
            <w:shd w:val="clear" w:color="auto" w:fill="E1E8EB"/>
            <w:noWrap/>
            <w:vAlign w:val="bottom"/>
            <w:hideMark/>
          </w:tcPr>
          <w:p w14:paraId="51B8DE52"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 xml:space="preserve"> No. </w:t>
            </w:r>
          </w:p>
        </w:tc>
      </w:tr>
      <w:tr w:rsidR="008F29F0" w:rsidRPr="00B63F32" w14:paraId="2FC006A6" w14:textId="77777777" w:rsidTr="008F29F0">
        <w:trPr>
          <w:trHeight w:val="300"/>
        </w:trPr>
        <w:tc>
          <w:tcPr>
            <w:tcW w:w="714" w:type="pct"/>
            <w:tcBorders>
              <w:top w:val="nil"/>
              <w:left w:val="nil"/>
              <w:bottom w:val="nil"/>
              <w:right w:val="nil"/>
            </w:tcBorders>
            <w:shd w:val="clear" w:color="000000" w:fill="FFFFFF"/>
            <w:noWrap/>
            <w:vAlign w:val="center"/>
            <w:hideMark/>
          </w:tcPr>
          <w:p w14:paraId="12FD0FA9" w14:textId="77777777" w:rsidR="007A361F" w:rsidRPr="00B63F32" w:rsidRDefault="007A361F" w:rsidP="007A361F">
            <w:pPr>
              <w:pStyle w:val="SingleParagraph"/>
              <w:jc w:val="left"/>
              <w:rPr>
                <w:rFonts w:ascii="Arial" w:hAnsi="Arial" w:cs="Arial"/>
                <w:sz w:val="16"/>
                <w:szCs w:val="16"/>
              </w:rPr>
            </w:pPr>
            <w:r w:rsidRPr="00B63F32">
              <w:rPr>
                <w:rFonts w:ascii="Arial" w:hAnsi="Arial" w:cs="Arial"/>
                <w:sz w:val="16"/>
                <w:szCs w:val="16"/>
              </w:rPr>
              <w:t xml:space="preserve"> Approved </w:t>
            </w:r>
          </w:p>
        </w:tc>
        <w:tc>
          <w:tcPr>
            <w:tcW w:w="182" w:type="pct"/>
            <w:tcBorders>
              <w:top w:val="nil"/>
              <w:left w:val="nil"/>
              <w:bottom w:val="nil"/>
              <w:right w:val="nil"/>
            </w:tcBorders>
            <w:shd w:val="clear" w:color="auto" w:fill="auto"/>
            <w:noWrap/>
            <w:vAlign w:val="center"/>
            <w:hideMark/>
          </w:tcPr>
          <w:p w14:paraId="114E8D34"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17</w:t>
            </w:r>
          </w:p>
        </w:tc>
        <w:tc>
          <w:tcPr>
            <w:tcW w:w="324" w:type="pct"/>
            <w:tcBorders>
              <w:top w:val="nil"/>
              <w:left w:val="nil"/>
              <w:bottom w:val="nil"/>
              <w:right w:val="nil"/>
            </w:tcBorders>
            <w:shd w:val="clear" w:color="auto" w:fill="E1E8EB"/>
            <w:noWrap/>
            <w:vAlign w:val="center"/>
            <w:hideMark/>
          </w:tcPr>
          <w:p w14:paraId="0D8BD052" w14:textId="2D645541" w:rsidR="007A361F" w:rsidRPr="00B63F32" w:rsidRDefault="00560AE5" w:rsidP="006E5FC3">
            <w:pPr>
              <w:pStyle w:val="SingleParagraph"/>
              <w:jc w:val="right"/>
              <w:rPr>
                <w:rFonts w:ascii="Arial" w:hAnsi="Arial" w:cs="Arial"/>
                <w:sz w:val="16"/>
                <w:szCs w:val="16"/>
              </w:rPr>
            </w:pPr>
            <w:r>
              <w:rPr>
                <w:rFonts w:ascii="Arial" w:hAnsi="Arial" w:cs="Arial"/>
                <w:sz w:val="16"/>
                <w:szCs w:val="16"/>
              </w:rPr>
              <w:t>23</w:t>
            </w:r>
          </w:p>
        </w:tc>
        <w:tc>
          <w:tcPr>
            <w:tcW w:w="108" w:type="pct"/>
            <w:tcBorders>
              <w:top w:val="nil"/>
              <w:left w:val="nil"/>
              <w:bottom w:val="nil"/>
              <w:right w:val="nil"/>
            </w:tcBorders>
            <w:shd w:val="clear" w:color="auto" w:fill="auto"/>
            <w:noWrap/>
            <w:vAlign w:val="center"/>
            <w:hideMark/>
          </w:tcPr>
          <w:p w14:paraId="47C397C1"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35A1A945"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324" w:type="pct"/>
            <w:tcBorders>
              <w:top w:val="nil"/>
              <w:left w:val="nil"/>
              <w:bottom w:val="nil"/>
              <w:right w:val="nil"/>
            </w:tcBorders>
            <w:shd w:val="clear" w:color="auto" w:fill="E1E8EB"/>
            <w:noWrap/>
            <w:vAlign w:val="center"/>
            <w:hideMark/>
          </w:tcPr>
          <w:p w14:paraId="15E793F6"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108" w:type="pct"/>
            <w:tcBorders>
              <w:top w:val="nil"/>
              <w:left w:val="nil"/>
              <w:bottom w:val="nil"/>
              <w:right w:val="nil"/>
            </w:tcBorders>
            <w:shd w:val="clear" w:color="auto" w:fill="auto"/>
            <w:noWrap/>
            <w:vAlign w:val="center"/>
            <w:hideMark/>
          </w:tcPr>
          <w:p w14:paraId="7023FA50"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2F46C6E0"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211</w:t>
            </w:r>
          </w:p>
        </w:tc>
        <w:tc>
          <w:tcPr>
            <w:tcW w:w="324" w:type="pct"/>
            <w:tcBorders>
              <w:top w:val="nil"/>
              <w:left w:val="nil"/>
              <w:bottom w:val="nil"/>
              <w:right w:val="nil"/>
            </w:tcBorders>
            <w:shd w:val="clear" w:color="auto" w:fill="E1E8EB"/>
            <w:noWrap/>
            <w:vAlign w:val="center"/>
            <w:hideMark/>
          </w:tcPr>
          <w:p w14:paraId="494843EF"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208</w:t>
            </w:r>
          </w:p>
        </w:tc>
        <w:tc>
          <w:tcPr>
            <w:tcW w:w="108" w:type="pct"/>
            <w:tcBorders>
              <w:top w:val="nil"/>
              <w:left w:val="nil"/>
              <w:bottom w:val="nil"/>
              <w:right w:val="nil"/>
            </w:tcBorders>
            <w:shd w:val="clear" w:color="auto" w:fill="auto"/>
            <w:noWrap/>
            <w:vAlign w:val="center"/>
            <w:hideMark/>
          </w:tcPr>
          <w:p w14:paraId="74630961"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166BBB1D"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27</w:t>
            </w:r>
          </w:p>
        </w:tc>
        <w:tc>
          <w:tcPr>
            <w:tcW w:w="324" w:type="pct"/>
            <w:tcBorders>
              <w:top w:val="nil"/>
              <w:left w:val="nil"/>
              <w:bottom w:val="nil"/>
              <w:right w:val="nil"/>
            </w:tcBorders>
            <w:shd w:val="clear" w:color="auto" w:fill="E1E8EB"/>
            <w:noWrap/>
            <w:vAlign w:val="center"/>
            <w:hideMark/>
          </w:tcPr>
          <w:p w14:paraId="3DF5F82A" w14:textId="0B80C1F2" w:rsidR="007A361F" w:rsidRPr="00B63F32" w:rsidRDefault="00560AE5" w:rsidP="006E5FC3">
            <w:pPr>
              <w:pStyle w:val="SingleParagraph"/>
              <w:jc w:val="right"/>
              <w:rPr>
                <w:rFonts w:ascii="Arial" w:hAnsi="Arial" w:cs="Arial"/>
                <w:sz w:val="16"/>
                <w:szCs w:val="16"/>
              </w:rPr>
            </w:pPr>
            <w:r>
              <w:rPr>
                <w:rFonts w:ascii="Arial" w:hAnsi="Arial" w:cs="Arial"/>
                <w:sz w:val="16"/>
                <w:szCs w:val="16"/>
              </w:rPr>
              <w:t>29</w:t>
            </w:r>
          </w:p>
        </w:tc>
        <w:tc>
          <w:tcPr>
            <w:tcW w:w="108" w:type="pct"/>
            <w:tcBorders>
              <w:top w:val="nil"/>
              <w:left w:val="nil"/>
              <w:bottom w:val="nil"/>
              <w:right w:val="nil"/>
            </w:tcBorders>
            <w:shd w:val="clear" w:color="auto" w:fill="auto"/>
            <w:noWrap/>
            <w:vAlign w:val="center"/>
            <w:hideMark/>
          </w:tcPr>
          <w:p w14:paraId="203E38AE"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0E112163"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17</w:t>
            </w:r>
          </w:p>
        </w:tc>
        <w:tc>
          <w:tcPr>
            <w:tcW w:w="324" w:type="pct"/>
            <w:tcBorders>
              <w:top w:val="nil"/>
              <w:left w:val="nil"/>
              <w:bottom w:val="nil"/>
              <w:right w:val="nil"/>
            </w:tcBorders>
            <w:shd w:val="clear" w:color="auto" w:fill="E1E8EB"/>
            <w:noWrap/>
            <w:vAlign w:val="center"/>
            <w:hideMark/>
          </w:tcPr>
          <w:p w14:paraId="423A92F4" w14:textId="1E43A0F2" w:rsidR="007A361F" w:rsidRPr="00B63F32" w:rsidRDefault="002370A2" w:rsidP="006E5FC3">
            <w:pPr>
              <w:pStyle w:val="SingleParagraph"/>
              <w:jc w:val="right"/>
              <w:rPr>
                <w:rFonts w:ascii="Arial" w:hAnsi="Arial" w:cs="Arial"/>
                <w:sz w:val="16"/>
                <w:szCs w:val="16"/>
              </w:rPr>
            </w:pPr>
            <w:r>
              <w:rPr>
                <w:rFonts w:ascii="Arial" w:hAnsi="Arial" w:cs="Arial"/>
                <w:sz w:val="16"/>
                <w:szCs w:val="16"/>
              </w:rPr>
              <w:t>27</w:t>
            </w:r>
          </w:p>
        </w:tc>
        <w:tc>
          <w:tcPr>
            <w:tcW w:w="108" w:type="pct"/>
            <w:tcBorders>
              <w:top w:val="nil"/>
              <w:left w:val="nil"/>
              <w:bottom w:val="nil"/>
              <w:right w:val="nil"/>
            </w:tcBorders>
            <w:shd w:val="clear" w:color="auto" w:fill="auto"/>
            <w:noWrap/>
            <w:vAlign w:val="center"/>
            <w:hideMark/>
          </w:tcPr>
          <w:p w14:paraId="5C247920"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7E479C55"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272</w:t>
            </w:r>
          </w:p>
        </w:tc>
        <w:tc>
          <w:tcPr>
            <w:tcW w:w="324" w:type="pct"/>
            <w:tcBorders>
              <w:top w:val="nil"/>
              <w:left w:val="nil"/>
              <w:bottom w:val="nil"/>
              <w:right w:val="nil"/>
            </w:tcBorders>
            <w:shd w:val="clear" w:color="auto" w:fill="E1E8EB"/>
            <w:noWrap/>
            <w:vAlign w:val="center"/>
            <w:hideMark/>
          </w:tcPr>
          <w:p w14:paraId="1C4575AC" w14:textId="5C5F56CF" w:rsidR="007A361F" w:rsidRPr="00B63F32" w:rsidRDefault="002370A2" w:rsidP="006E5FC3">
            <w:pPr>
              <w:pStyle w:val="SingleParagraph"/>
              <w:jc w:val="right"/>
              <w:rPr>
                <w:rFonts w:ascii="Arial" w:hAnsi="Arial" w:cs="Arial"/>
                <w:sz w:val="16"/>
                <w:szCs w:val="16"/>
              </w:rPr>
            </w:pPr>
            <w:r>
              <w:rPr>
                <w:rFonts w:ascii="Arial" w:hAnsi="Arial" w:cs="Arial"/>
                <w:sz w:val="16"/>
                <w:szCs w:val="16"/>
              </w:rPr>
              <w:t>287</w:t>
            </w:r>
          </w:p>
        </w:tc>
      </w:tr>
      <w:tr w:rsidR="008F29F0" w:rsidRPr="00B63F32" w14:paraId="09F57532" w14:textId="77777777" w:rsidTr="008F29F0">
        <w:trPr>
          <w:trHeight w:val="300"/>
        </w:trPr>
        <w:tc>
          <w:tcPr>
            <w:tcW w:w="714" w:type="pct"/>
            <w:tcBorders>
              <w:top w:val="nil"/>
              <w:left w:val="nil"/>
              <w:bottom w:val="nil"/>
              <w:right w:val="nil"/>
            </w:tcBorders>
            <w:shd w:val="clear" w:color="000000" w:fill="FFFFFF"/>
            <w:noWrap/>
            <w:vAlign w:val="center"/>
            <w:hideMark/>
          </w:tcPr>
          <w:p w14:paraId="74CBECDC" w14:textId="7D911740" w:rsidR="007A361F" w:rsidRPr="00B63F32" w:rsidRDefault="007A361F" w:rsidP="007A361F">
            <w:pPr>
              <w:pStyle w:val="SingleParagraph"/>
              <w:jc w:val="left"/>
              <w:rPr>
                <w:rFonts w:ascii="Arial" w:hAnsi="Arial" w:cs="Arial"/>
                <w:sz w:val="16"/>
                <w:szCs w:val="16"/>
              </w:rPr>
            </w:pPr>
            <w:r w:rsidRPr="00B63F32">
              <w:rPr>
                <w:rFonts w:ascii="Arial" w:hAnsi="Arial" w:cs="Arial"/>
                <w:sz w:val="16"/>
                <w:szCs w:val="16"/>
              </w:rPr>
              <w:t xml:space="preserve"> Declined </w:t>
            </w:r>
          </w:p>
        </w:tc>
        <w:tc>
          <w:tcPr>
            <w:tcW w:w="182" w:type="pct"/>
            <w:tcBorders>
              <w:top w:val="nil"/>
              <w:left w:val="nil"/>
              <w:bottom w:val="nil"/>
              <w:right w:val="nil"/>
            </w:tcBorders>
            <w:shd w:val="clear" w:color="auto" w:fill="auto"/>
            <w:noWrap/>
            <w:vAlign w:val="center"/>
            <w:hideMark/>
          </w:tcPr>
          <w:p w14:paraId="4E4ABCF7"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324" w:type="pct"/>
            <w:tcBorders>
              <w:top w:val="nil"/>
              <w:left w:val="nil"/>
              <w:bottom w:val="nil"/>
              <w:right w:val="nil"/>
            </w:tcBorders>
            <w:shd w:val="clear" w:color="auto" w:fill="E1E8EB"/>
            <w:noWrap/>
            <w:vAlign w:val="center"/>
            <w:hideMark/>
          </w:tcPr>
          <w:p w14:paraId="2440321D"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108" w:type="pct"/>
            <w:tcBorders>
              <w:top w:val="nil"/>
              <w:left w:val="nil"/>
              <w:bottom w:val="nil"/>
              <w:right w:val="nil"/>
            </w:tcBorders>
            <w:shd w:val="clear" w:color="auto" w:fill="auto"/>
            <w:noWrap/>
            <w:vAlign w:val="center"/>
            <w:hideMark/>
          </w:tcPr>
          <w:p w14:paraId="4DCF48F8"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242F220B"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324" w:type="pct"/>
            <w:tcBorders>
              <w:top w:val="nil"/>
              <w:left w:val="nil"/>
              <w:bottom w:val="nil"/>
              <w:right w:val="nil"/>
            </w:tcBorders>
            <w:shd w:val="clear" w:color="auto" w:fill="E1E8EB"/>
            <w:noWrap/>
            <w:vAlign w:val="center"/>
            <w:hideMark/>
          </w:tcPr>
          <w:p w14:paraId="3F39D291"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108" w:type="pct"/>
            <w:tcBorders>
              <w:top w:val="nil"/>
              <w:left w:val="nil"/>
              <w:bottom w:val="nil"/>
              <w:right w:val="nil"/>
            </w:tcBorders>
            <w:shd w:val="clear" w:color="auto" w:fill="auto"/>
            <w:noWrap/>
            <w:vAlign w:val="center"/>
            <w:hideMark/>
          </w:tcPr>
          <w:p w14:paraId="284FE4F6"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1C0F7481"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1</w:t>
            </w:r>
          </w:p>
        </w:tc>
        <w:tc>
          <w:tcPr>
            <w:tcW w:w="324" w:type="pct"/>
            <w:tcBorders>
              <w:top w:val="nil"/>
              <w:left w:val="nil"/>
              <w:bottom w:val="nil"/>
              <w:right w:val="nil"/>
            </w:tcBorders>
            <w:shd w:val="clear" w:color="auto" w:fill="E1E8EB"/>
            <w:noWrap/>
            <w:vAlign w:val="center"/>
            <w:hideMark/>
          </w:tcPr>
          <w:p w14:paraId="17F5491D"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4</w:t>
            </w:r>
          </w:p>
        </w:tc>
        <w:tc>
          <w:tcPr>
            <w:tcW w:w="108" w:type="pct"/>
            <w:tcBorders>
              <w:top w:val="nil"/>
              <w:left w:val="nil"/>
              <w:bottom w:val="nil"/>
              <w:right w:val="nil"/>
            </w:tcBorders>
            <w:shd w:val="clear" w:color="auto" w:fill="auto"/>
            <w:noWrap/>
            <w:vAlign w:val="center"/>
            <w:hideMark/>
          </w:tcPr>
          <w:p w14:paraId="3802A59E"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58986E32"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324" w:type="pct"/>
            <w:tcBorders>
              <w:top w:val="nil"/>
              <w:left w:val="nil"/>
              <w:bottom w:val="nil"/>
              <w:right w:val="nil"/>
            </w:tcBorders>
            <w:shd w:val="clear" w:color="auto" w:fill="E1E8EB"/>
            <w:noWrap/>
            <w:vAlign w:val="center"/>
            <w:hideMark/>
          </w:tcPr>
          <w:p w14:paraId="6AC85F29"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108" w:type="pct"/>
            <w:tcBorders>
              <w:top w:val="nil"/>
              <w:left w:val="nil"/>
              <w:bottom w:val="nil"/>
              <w:right w:val="nil"/>
            </w:tcBorders>
            <w:shd w:val="clear" w:color="auto" w:fill="auto"/>
            <w:noWrap/>
            <w:vAlign w:val="center"/>
            <w:hideMark/>
          </w:tcPr>
          <w:p w14:paraId="23F7906C"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6B6C41B2"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324" w:type="pct"/>
            <w:tcBorders>
              <w:top w:val="nil"/>
              <w:left w:val="nil"/>
              <w:bottom w:val="nil"/>
              <w:right w:val="nil"/>
            </w:tcBorders>
            <w:shd w:val="clear" w:color="auto" w:fill="E1E8EB"/>
            <w:noWrap/>
            <w:vAlign w:val="center"/>
            <w:hideMark/>
          </w:tcPr>
          <w:p w14:paraId="332127ED"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108" w:type="pct"/>
            <w:tcBorders>
              <w:top w:val="nil"/>
              <w:left w:val="nil"/>
              <w:bottom w:val="nil"/>
              <w:right w:val="nil"/>
            </w:tcBorders>
            <w:shd w:val="clear" w:color="auto" w:fill="auto"/>
            <w:noWrap/>
            <w:vAlign w:val="center"/>
            <w:hideMark/>
          </w:tcPr>
          <w:p w14:paraId="1A05760F"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5E8ED173"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1</w:t>
            </w:r>
          </w:p>
        </w:tc>
        <w:tc>
          <w:tcPr>
            <w:tcW w:w="324" w:type="pct"/>
            <w:tcBorders>
              <w:top w:val="nil"/>
              <w:left w:val="nil"/>
              <w:bottom w:val="nil"/>
              <w:right w:val="nil"/>
            </w:tcBorders>
            <w:shd w:val="clear" w:color="auto" w:fill="E1E8EB"/>
            <w:noWrap/>
            <w:vAlign w:val="center"/>
            <w:hideMark/>
          </w:tcPr>
          <w:p w14:paraId="280604DE"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4</w:t>
            </w:r>
          </w:p>
        </w:tc>
      </w:tr>
      <w:tr w:rsidR="008F29F0" w:rsidRPr="00B63F32" w14:paraId="2AE9681C" w14:textId="77777777" w:rsidTr="008F29F0">
        <w:trPr>
          <w:trHeight w:val="300"/>
        </w:trPr>
        <w:tc>
          <w:tcPr>
            <w:tcW w:w="714" w:type="pct"/>
            <w:tcBorders>
              <w:top w:val="nil"/>
              <w:left w:val="nil"/>
              <w:bottom w:val="nil"/>
              <w:right w:val="nil"/>
            </w:tcBorders>
            <w:shd w:val="clear" w:color="000000" w:fill="FFFFFF"/>
            <w:noWrap/>
            <w:vAlign w:val="center"/>
            <w:hideMark/>
          </w:tcPr>
          <w:p w14:paraId="289DA9A6" w14:textId="77777777" w:rsidR="007A361F" w:rsidRPr="00B63F32" w:rsidRDefault="007A361F" w:rsidP="007A361F">
            <w:pPr>
              <w:pStyle w:val="SingleParagraph"/>
              <w:jc w:val="left"/>
              <w:rPr>
                <w:rFonts w:ascii="Arial" w:hAnsi="Arial" w:cs="Arial"/>
                <w:b/>
                <w:bCs/>
                <w:sz w:val="16"/>
                <w:szCs w:val="16"/>
              </w:rPr>
            </w:pPr>
            <w:r w:rsidRPr="00B63F32">
              <w:rPr>
                <w:rFonts w:ascii="Arial" w:hAnsi="Arial" w:cs="Arial"/>
                <w:b/>
                <w:bCs/>
                <w:sz w:val="16"/>
                <w:szCs w:val="16"/>
              </w:rPr>
              <w:t xml:space="preserve">   Total decided </w:t>
            </w:r>
          </w:p>
        </w:tc>
        <w:tc>
          <w:tcPr>
            <w:tcW w:w="182" w:type="pct"/>
            <w:tcBorders>
              <w:top w:val="single" w:sz="4" w:space="0" w:color="auto"/>
              <w:left w:val="nil"/>
              <w:bottom w:val="nil"/>
              <w:right w:val="nil"/>
            </w:tcBorders>
            <w:shd w:val="clear" w:color="auto" w:fill="auto"/>
            <w:noWrap/>
            <w:vAlign w:val="center"/>
            <w:hideMark/>
          </w:tcPr>
          <w:p w14:paraId="43821EC5"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17</w:t>
            </w:r>
          </w:p>
        </w:tc>
        <w:tc>
          <w:tcPr>
            <w:tcW w:w="324" w:type="pct"/>
            <w:tcBorders>
              <w:top w:val="single" w:sz="4" w:space="0" w:color="auto"/>
              <w:left w:val="nil"/>
              <w:bottom w:val="nil"/>
              <w:right w:val="nil"/>
            </w:tcBorders>
            <w:shd w:val="clear" w:color="auto" w:fill="E1E8EB"/>
            <w:noWrap/>
            <w:vAlign w:val="center"/>
            <w:hideMark/>
          </w:tcPr>
          <w:p w14:paraId="71E340C2" w14:textId="5865C3CC" w:rsidR="007A361F" w:rsidRPr="00B63F32" w:rsidRDefault="00560AE5" w:rsidP="006E5FC3">
            <w:pPr>
              <w:pStyle w:val="SingleParagraph"/>
              <w:jc w:val="right"/>
              <w:rPr>
                <w:rFonts w:ascii="Arial" w:hAnsi="Arial" w:cs="Arial"/>
                <w:b/>
                <w:bCs/>
                <w:sz w:val="16"/>
                <w:szCs w:val="16"/>
              </w:rPr>
            </w:pPr>
            <w:r>
              <w:rPr>
                <w:rFonts w:ascii="Arial" w:hAnsi="Arial" w:cs="Arial"/>
                <w:b/>
                <w:bCs/>
                <w:sz w:val="16"/>
                <w:szCs w:val="16"/>
              </w:rPr>
              <w:t>23</w:t>
            </w:r>
          </w:p>
        </w:tc>
        <w:tc>
          <w:tcPr>
            <w:tcW w:w="108" w:type="pct"/>
            <w:tcBorders>
              <w:top w:val="nil"/>
              <w:left w:val="nil"/>
              <w:bottom w:val="nil"/>
              <w:right w:val="nil"/>
            </w:tcBorders>
            <w:shd w:val="clear" w:color="auto" w:fill="auto"/>
            <w:noWrap/>
            <w:vAlign w:val="center"/>
            <w:hideMark/>
          </w:tcPr>
          <w:p w14:paraId="36384079" w14:textId="77777777" w:rsidR="007A361F" w:rsidRPr="00B63F32" w:rsidRDefault="007A361F" w:rsidP="006E5FC3">
            <w:pPr>
              <w:pStyle w:val="SingleParagraph"/>
              <w:jc w:val="right"/>
              <w:rPr>
                <w:rFonts w:ascii="Arial" w:hAnsi="Arial" w:cs="Arial"/>
                <w:b/>
                <w:bCs/>
                <w:sz w:val="16"/>
                <w:szCs w:val="16"/>
              </w:rPr>
            </w:pPr>
          </w:p>
        </w:tc>
        <w:tc>
          <w:tcPr>
            <w:tcW w:w="324" w:type="pct"/>
            <w:tcBorders>
              <w:top w:val="single" w:sz="4" w:space="0" w:color="auto"/>
              <w:left w:val="nil"/>
              <w:bottom w:val="nil"/>
              <w:right w:val="nil"/>
            </w:tcBorders>
            <w:shd w:val="clear" w:color="auto" w:fill="auto"/>
            <w:noWrap/>
            <w:vAlign w:val="center"/>
            <w:hideMark/>
          </w:tcPr>
          <w:p w14:paraId="270E2E50"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0</w:t>
            </w:r>
          </w:p>
        </w:tc>
        <w:tc>
          <w:tcPr>
            <w:tcW w:w="324" w:type="pct"/>
            <w:tcBorders>
              <w:top w:val="single" w:sz="4" w:space="0" w:color="auto"/>
              <w:left w:val="nil"/>
              <w:bottom w:val="nil"/>
              <w:right w:val="nil"/>
            </w:tcBorders>
            <w:shd w:val="clear" w:color="auto" w:fill="E1E8EB"/>
            <w:noWrap/>
            <w:vAlign w:val="center"/>
            <w:hideMark/>
          </w:tcPr>
          <w:p w14:paraId="66136A0F"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0</w:t>
            </w:r>
          </w:p>
        </w:tc>
        <w:tc>
          <w:tcPr>
            <w:tcW w:w="108" w:type="pct"/>
            <w:tcBorders>
              <w:top w:val="nil"/>
              <w:left w:val="nil"/>
              <w:bottom w:val="nil"/>
              <w:right w:val="nil"/>
            </w:tcBorders>
            <w:shd w:val="clear" w:color="auto" w:fill="auto"/>
            <w:noWrap/>
            <w:vAlign w:val="center"/>
            <w:hideMark/>
          </w:tcPr>
          <w:p w14:paraId="11D8A7BB" w14:textId="77777777" w:rsidR="007A361F" w:rsidRPr="00B63F32" w:rsidRDefault="007A361F" w:rsidP="006E5FC3">
            <w:pPr>
              <w:pStyle w:val="SingleParagraph"/>
              <w:jc w:val="right"/>
              <w:rPr>
                <w:rFonts w:ascii="Arial" w:hAnsi="Arial" w:cs="Arial"/>
                <w:b/>
                <w:bCs/>
                <w:sz w:val="16"/>
                <w:szCs w:val="16"/>
              </w:rPr>
            </w:pPr>
          </w:p>
        </w:tc>
        <w:tc>
          <w:tcPr>
            <w:tcW w:w="324" w:type="pct"/>
            <w:tcBorders>
              <w:top w:val="single" w:sz="4" w:space="0" w:color="auto"/>
              <w:left w:val="nil"/>
              <w:bottom w:val="nil"/>
              <w:right w:val="nil"/>
            </w:tcBorders>
            <w:shd w:val="clear" w:color="auto" w:fill="auto"/>
            <w:noWrap/>
            <w:vAlign w:val="center"/>
            <w:hideMark/>
          </w:tcPr>
          <w:p w14:paraId="3FA76216"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212</w:t>
            </w:r>
          </w:p>
        </w:tc>
        <w:tc>
          <w:tcPr>
            <w:tcW w:w="324" w:type="pct"/>
            <w:tcBorders>
              <w:top w:val="single" w:sz="4" w:space="0" w:color="auto"/>
              <w:left w:val="nil"/>
              <w:bottom w:val="nil"/>
              <w:right w:val="nil"/>
            </w:tcBorders>
            <w:shd w:val="clear" w:color="auto" w:fill="E1E8EB"/>
            <w:noWrap/>
            <w:vAlign w:val="center"/>
            <w:hideMark/>
          </w:tcPr>
          <w:p w14:paraId="136AC5D4"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212</w:t>
            </w:r>
          </w:p>
        </w:tc>
        <w:tc>
          <w:tcPr>
            <w:tcW w:w="108" w:type="pct"/>
            <w:tcBorders>
              <w:top w:val="nil"/>
              <w:left w:val="nil"/>
              <w:bottom w:val="nil"/>
              <w:right w:val="nil"/>
            </w:tcBorders>
            <w:shd w:val="clear" w:color="auto" w:fill="auto"/>
            <w:noWrap/>
            <w:vAlign w:val="center"/>
            <w:hideMark/>
          </w:tcPr>
          <w:p w14:paraId="023415B5" w14:textId="77777777" w:rsidR="007A361F" w:rsidRPr="00B63F32" w:rsidRDefault="007A361F" w:rsidP="006E5FC3">
            <w:pPr>
              <w:pStyle w:val="SingleParagraph"/>
              <w:jc w:val="right"/>
              <w:rPr>
                <w:rFonts w:ascii="Arial" w:hAnsi="Arial" w:cs="Arial"/>
                <w:b/>
                <w:bCs/>
                <w:sz w:val="16"/>
                <w:szCs w:val="16"/>
              </w:rPr>
            </w:pPr>
          </w:p>
        </w:tc>
        <w:tc>
          <w:tcPr>
            <w:tcW w:w="324" w:type="pct"/>
            <w:tcBorders>
              <w:top w:val="single" w:sz="4" w:space="0" w:color="auto"/>
              <w:left w:val="nil"/>
              <w:bottom w:val="nil"/>
              <w:right w:val="nil"/>
            </w:tcBorders>
            <w:shd w:val="clear" w:color="auto" w:fill="auto"/>
            <w:noWrap/>
            <w:vAlign w:val="center"/>
            <w:hideMark/>
          </w:tcPr>
          <w:p w14:paraId="2331835E"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27</w:t>
            </w:r>
          </w:p>
        </w:tc>
        <w:tc>
          <w:tcPr>
            <w:tcW w:w="324" w:type="pct"/>
            <w:tcBorders>
              <w:top w:val="single" w:sz="4" w:space="0" w:color="auto"/>
              <w:left w:val="nil"/>
              <w:bottom w:val="nil"/>
              <w:right w:val="nil"/>
            </w:tcBorders>
            <w:shd w:val="clear" w:color="auto" w:fill="E1E8EB"/>
            <w:noWrap/>
            <w:vAlign w:val="center"/>
            <w:hideMark/>
          </w:tcPr>
          <w:p w14:paraId="3D8972FC" w14:textId="7C82154A" w:rsidR="007A361F" w:rsidRPr="00B63F32" w:rsidRDefault="00560AE5" w:rsidP="006E5FC3">
            <w:pPr>
              <w:pStyle w:val="SingleParagraph"/>
              <w:jc w:val="right"/>
              <w:rPr>
                <w:rFonts w:ascii="Arial" w:hAnsi="Arial" w:cs="Arial"/>
                <w:b/>
                <w:bCs/>
                <w:sz w:val="16"/>
                <w:szCs w:val="16"/>
              </w:rPr>
            </w:pPr>
            <w:r>
              <w:rPr>
                <w:rFonts w:ascii="Arial" w:hAnsi="Arial" w:cs="Arial"/>
                <w:b/>
                <w:bCs/>
                <w:sz w:val="16"/>
                <w:szCs w:val="16"/>
              </w:rPr>
              <w:t>29</w:t>
            </w:r>
          </w:p>
        </w:tc>
        <w:tc>
          <w:tcPr>
            <w:tcW w:w="108" w:type="pct"/>
            <w:tcBorders>
              <w:top w:val="nil"/>
              <w:left w:val="nil"/>
              <w:bottom w:val="nil"/>
              <w:right w:val="nil"/>
            </w:tcBorders>
            <w:shd w:val="clear" w:color="auto" w:fill="auto"/>
            <w:noWrap/>
            <w:vAlign w:val="center"/>
            <w:hideMark/>
          </w:tcPr>
          <w:p w14:paraId="5D0D031D" w14:textId="77777777" w:rsidR="007A361F" w:rsidRPr="00B63F32" w:rsidRDefault="007A361F" w:rsidP="006E5FC3">
            <w:pPr>
              <w:pStyle w:val="SingleParagraph"/>
              <w:jc w:val="right"/>
              <w:rPr>
                <w:rFonts w:ascii="Arial" w:hAnsi="Arial" w:cs="Arial"/>
                <w:b/>
                <w:bCs/>
                <w:sz w:val="16"/>
                <w:szCs w:val="16"/>
              </w:rPr>
            </w:pPr>
          </w:p>
        </w:tc>
        <w:tc>
          <w:tcPr>
            <w:tcW w:w="324" w:type="pct"/>
            <w:tcBorders>
              <w:top w:val="single" w:sz="4" w:space="0" w:color="auto"/>
              <w:left w:val="nil"/>
              <w:bottom w:val="nil"/>
              <w:right w:val="nil"/>
            </w:tcBorders>
            <w:shd w:val="clear" w:color="auto" w:fill="auto"/>
            <w:noWrap/>
            <w:vAlign w:val="center"/>
            <w:hideMark/>
          </w:tcPr>
          <w:p w14:paraId="573D5A02"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17</w:t>
            </w:r>
          </w:p>
        </w:tc>
        <w:tc>
          <w:tcPr>
            <w:tcW w:w="324" w:type="pct"/>
            <w:tcBorders>
              <w:top w:val="single" w:sz="4" w:space="0" w:color="auto"/>
              <w:left w:val="nil"/>
              <w:bottom w:val="nil"/>
              <w:right w:val="nil"/>
            </w:tcBorders>
            <w:shd w:val="clear" w:color="auto" w:fill="E1E8EB"/>
            <w:noWrap/>
            <w:vAlign w:val="center"/>
            <w:hideMark/>
          </w:tcPr>
          <w:p w14:paraId="67B2DCD6" w14:textId="7DC7BB4F" w:rsidR="007A361F" w:rsidRPr="00B63F32" w:rsidRDefault="002370A2" w:rsidP="006E5FC3">
            <w:pPr>
              <w:pStyle w:val="SingleParagraph"/>
              <w:jc w:val="right"/>
              <w:rPr>
                <w:rFonts w:ascii="Arial" w:hAnsi="Arial" w:cs="Arial"/>
                <w:b/>
                <w:bCs/>
                <w:sz w:val="16"/>
                <w:szCs w:val="16"/>
              </w:rPr>
            </w:pPr>
            <w:r>
              <w:rPr>
                <w:rFonts w:ascii="Arial" w:hAnsi="Arial" w:cs="Arial"/>
                <w:b/>
                <w:bCs/>
                <w:sz w:val="16"/>
                <w:szCs w:val="16"/>
              </w:rPr>
              <w:t>27</w:t>
            </w:r>
          </w:p>
        </w:tc>
        <w:tc>
          <w:tcPr>
            <w:tcW w:w="108" w:type="pct"/>
            <w:tcBorders>
              <w:top w:val="nil"/>
              <w:left w:val="nil"/>
              <w:bottom w:val="nil"/>
              <w:right w:val="nil"/>
            </w:tcBorders>
            <w:shd w:val="clear" w:color="auto" w:fill="auto"/>
            <w:noWrap/>
            <w:vAlign w:val="center"/>
            <w:hideMark/>
          </w:tcPr>
          <w:p w14:paraId="53CEDCFA" w14:textId="77777777" w:rsidR="007A361F" w:rsidRPr="00B63F32" w:rsidRDefault="007A361F" w:rsidP="006E5FC3">
            <w:pPr>
              <w:pStyle w:val="SingleParagraph"/>
              <w:jc w:val="right"/>
              <w:rPr>
                <w:rFonts w:ascii="Arial" w:hAnsi="Arial" w:cs="Arial"/>
                <w:b/>
                <w:bCs/>
                <w:sz w:val="16"/>
                <w:szCs w:val="16"/>
              </w:rPr>
            </w:pPr>
          </w:p>
        </w:tc>
        <w:tc>
          <w:tcPr>
            <w:tcW w:w="324" w:type="pct"/>
            <w:tcBorders>
              <w:top w:val="single" w:sz="4" w:space="0" w:color="auto"/>
              <w:left w:val="nil"/>
              <w:bottom w:val="nil"/>
              <w:right w:val="nil"/>
            </w:tcBorders>
            <w:shd w:val="clear" w:color="auto" w:fill="auto"/>
            <w:noWrap/>
            <w:vAlign w:val="center"/>
            <w:hideMark/>
          </w:tcPr>
          <w:p w14:paraId="4200377D"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273</w:t>
            </w:r>
          </w:p>
        </w:tc>
        <w:tc>
          <w:tcPr>
            <w:tcW w:w="324" w:type="pct"/>
            <w:tcBorders>
              <w:top w:val="single" w:sz="4" w:space="0" w:color="auto"/>
              <w:left w:val="nil"/>
              <w:bottom w:val="nil"/>
              <w:right w:val="nil"/>
            </w:tcBorders>
            <w:shd w:val="clear" w:color="auto" w:fill="E1E8EB"/>
            <w:noWrap/>
            <w:vAlign w:val="center"/>
            <w:hideMark/>
          </w:tcPr>
          <w:p w14:paraId="1D5D99FE" w14:textId="5765A268" w:rsidR="007A361F" w:rsidRPr="00B63F32" w:rsidRDefault="002370A2" w:rsidP="006E5FC3">
            <w:pPr>
              <w:pStyle w:val="SingleParagraph"/>
              <w:jc w:val="right"/>
              <w:rPr>
                <w:rFonts w:ascii="Arial" w:hAnsi="Arial" w:cs="Arial"/>
                <w:sz w:val="16"/>
                <w:szCs w:val="16"/>
              </w:rPr>
            </w:pPr>
            <w:r>
              <w:rPr>
                <w:rFonts w:ascii="Arial" w:hAnsi="Arial" w:cs="Arial"/>
                <w:sz w:val="16"/>
                <w:szCs w:val="16"/>
              </w:rPr>
              <w:t>291</w:t>
            </w:r>
          </w:p>
        </w:tc>
      </w:tr>
      <w:tr w:rsidR="008F29F0" w:rsidRPr="00B63F32" w14:paraId="0B52761F" w14:textId="77777777" w:rsidTr="008F29F0">
        <w:trPr>
          <w:trHeight w:val="300"/>
        </w:trPr>
        <w:tc>
          <w:tcPr>
            <w:tcW w:w="714" w:type="pct"/>
            <w:tcBorders>
              <w:top w:val="nil"/>
              <w:left w:val="nil"/>
              <w:bottom w:val="nil"/>
              <w:right w:val="nil"/>
            </w:tcBorders>
            <w:shd w:val="clear" w:color="000000" w:fill="FFFFFF"/>
            <w:noWrap/>
            <w:vAlign w:val="center"/>
            <w:hideMark/>
          </w:tcPr>
          <w:p w14:paraId="574BD4E9" w14:textId="77777777" w:rsidR="007A361F" w:rsidRPr="00B63F32" w:rsidRDefault="007A361F" w:rsidP="007A361F">
            <w:pPr>
              <w:pStyle w:val="SingleParagraph"/>
              <w:jc w:val="left"/>
              <w:rPr>
                <w:rFonts w:ascii="Arial" w:hAnsi="Arial" w:cs="Arial"/>
                <w:sz w:val="16"/>
                <w:szCs w:val="16"/>
              </w:rPr>
            </w:pPr>
            <w:r w:rsidRPr="00B63F32">
              <w:rPr>
                <w:rFonts w:ascii="Arial" w:hAnsi="Arial" w:cs="Arial"/>
                <w:sz w:val="16"/>
                <w:szCs w:val="16"/>
              </w:rPr>
              <w:t xml:space="preserve"> Exempt </w:t>
            </w:r>
          </w:p>
        </w:tc>
        <w:tc>
          <w:tcPr>
            <w:tcW w:w="182" w:type="pct"/>
            <w:tcBorders>
              <w:top w:val="nil"/>
              <w:left w:val="nil"/>
              <w:bottom w:val="nil"/>
              <w:right w:val="nil"/>
            </w:tcBorders>
            <w:shd w:val="clear" w:color="auto" w:fill="auto"/>
            <w:noWrap/>
            <w:vAlign w:val="center"/>
            <w:hideMark/>
          </w:tcPr>
          <w:p w14:paraId="1333C736"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324" w:type="pct"/>
            <w:tcBorders>
              <w:top w:val="nil"/>
              <w:left w:val="nil"/>
              <w:bottom w:val="nil"/>
              <w:right w:val="nil"/>
            </w:tcBorders>
            <w:shd w:val="clear" w:color="auto" w:fill="E1E8EB"/>
            <w:noWrap/>
            <w:vAlign w:val="center"/>
            <w:hideMark/>
          </w:tcPr>
          <w:p w14:paraId="446E30EB"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108" w:type="pct"/>
            <w:tcBorders>
              <w:top w:val="nil"/>
              <w:left w:val="nil"/>
              <w:bottom w:val="nil"/>
              <w:right w:val="nil"/>
            </w:tcBorders>
            <w:shd w:val="clear" w:color="auto" w:fill="auto"/>
            <w:noWrap/>
            <w:vAlign w:val="center"/>
            <w:hideMark/>
          </w:tcPr>
          <w:p w14:paraId="52577A17"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00F3B294"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324" w:type="pct"/>
            <w:tcBorders>
              <w:top w:val="nil"/>
              <w:left w:val="nil"/>
              <w:bottom w:val="nil"/>
              <w:right w:val="nil"/>
            </w:tcBorders>
            <w:shd w:val="clear" w:color="auto" w:fill="E1E8EB"/>
            <w:noWrap/>
            <w:vAlign w:val="center"/>
            <w:hideMark/>
          </w:tcPr>
          <w:p w14:paraId="201692A9"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108" w:type="pct"/>
            <w:tcBorders>
              <w:top w:val="nil"/>
              <w:left w:val="nil"/>
              <w:bottom w:val="nil"/>
              <w:right w:val="nil"/>
            </w:tcBorders>
            <w:shd w:val="clear" w:color="auto" w:fill="auto"/>
            <w:noWrap/>
            <w:vAlign w:val="center"/>
            <w:hideMark/>
          </w:tcPr>
          <w:p w14:paraId="1D052E65"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6AD1A53A"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324" w:type="pct"/>
            <w:tcBorders>
              <w:top w:val="nil"/>
              <w:left w:val="nil"/>
              <w:bottom w:val="nil"/>
              <w:right w:val="nil"/>
            </w:tcBorders>
            <w:shd w:val="clear" w:color="auto" w:fill="E1E8EB"/>
            <w:noWrap/>
            <w:vAlign w:val="center"/>
            <w:hideMark/>
          </w:tcPr>
          <w:p w14:paraId="07BCA40A"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108" w:type="pct"/>
            <w:tcBorders>
              <w:top w:val="nil"/>
              <w:left w:val="nil"/>
              <w:bottom w:val="nil"/>
              <w:right w:val="nil"/>
            </w:tcBorders>
            <w:shd w:val="clear" w:color="auto" w:fill="auto"/>
            <w:noWrap/>
            <w:vAlign w:val="center"/>
            <w:hideMark/>
          </w:tcPr>
          <w:p w14:paraId="6AEDB62C"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3C72AC12"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324" w:type="pct"/>
            <w:tcBorders>
              <w:top w:val="nil"/>
              <w:left w:val="nil"/>
              <w:bottom w:val="nil"/>
              <w:right w:val="nil"/>
            </w:tcBorders>
            <w:shd w:val="clear" w:color="auto" w:fill="E1E8EB"/>
            <w:noWrap/>
            <w:vAlign w:val="center"/>
            <w:hideMark/>
          </w:tcPr>
          <w:p w14:paraId="16401292"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108" w:type="pct"/>
            <w:tcBorders>
              <w:top w:val="nil"/>
              <w:left w:val="nil"/>
              <w:bottom w:val="nil"/>
              <w:right w:val="nil"/>
            </w:tcBorders>
            <w:shd w:val="clear" w:color="auto" w:fill="auto"/>
            <w:noWrap/>
            <w:vAlign w:val="center"/>
            <w:hideMark/>
          </w:tcPr>
          <w:p w14:paraId="33153153"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4F11FF2A"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1</w:t>
            </w:r>
          </w:p>
        </w:tc>
        <w:tc>
          <w:tcPr>
            <w:tcW w:w="324" w:type="pct"/>
            <w:tcBorders>
              <w:top w:val="nil"/>
              <w:left w:val="nil"/>
              <w:bottom w:val="nil"/>
              <w:right w:val="nil"/>
            </w:tcBorders>
            <w:shd w:val="clear" w:color="auto" w:fill="E1E8EB"/>
            <w:noWrap/>
            <w:vAlign w:val="center"/>
            <w:hideMark/>
          </w:tcPr>
          <w:p w14:paraId="0076C913"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108" w:type="pct"/>
            <w:tcBorders>
              <w:top w:val="nil"/>
              <w:left w:val="nil"/>
              <w:bottom w:val="nil"/>
              <w:right w:val="nil"/>
            </w:tcBorders>
            <w:shd w:val="clear" w:color="auto" w:fill="auto"/>
            <w:noWrap/>
            <w:vAlign w:val="center"/>
            <w:hideMark/>
          </w:tcPr>
          <w:p w14:paraId="680C9712"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460C7E15"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1</w:t>
            </w:r>
          </w:p>
        </w:tc>
        <w:tc>
          <w:tcPr>
            <w:tcW w:w="324" w:type="pct"/>
            <w:tcBorders>
              <w:top w:val="nil"/>
              <w:left w:val="nil"/>
              <w:bottom w:val="nil"/>
              <w:right w:val="nil"/>
            </w:tcBorders>
            <w:shd w:val="clear" w:color="auto" w:fill="E1E8EB"/>
            <w:noWrap/>
            <w:vAlign w:val="center"/>
            <w:hideMark/>
          </w:tcPr>
          <w:p w14:paraId="684DCA30"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r>
      <w:tr w:rsidR="008F29F0" w:rsidRPr="00B63F32" w14:paraId="5FEF9DE9" w14:textId="77777777" w:rsidTr="008F29F0">
        <w:trPr>
          <w:trHeight w:val="300"/>
        </w:trPr>
        <w:tc>
          <w:tcPr>
            <w:tcW w:w="714" w:type="pct"/>
            <w:tcBorders>
              <w:top w:val="nil"/>
              <w:left w:val="nil"/>
              <w:bottom w:val="nil"/>
              <w:right w:val="nil"/>
            </w:tcBorders>
            <w:shd w:val="clear" w:color="000000" w:fill="FFFFFF"/>
            <w:noWrap/>
            <w:vAlign w:val="center"/>
            <w:hideMark/>
          </w:tcPr>
          <w:p w14:paraId="758A3F34" w14:textId="707DD080" w:rsidR="007A361F" w:rsidRPr="00B63F32" w:rsidRDefault="007A361F" w:rsidP="007A361F">
            <w:pPr>
              <w:pStyle w:val="SingleParagraph"/>
              <w:jc w:val="left"/>
              <w:rPr>
                <w:rFonts w:ascii="Arial" w:hAnsi="Arial" w:cs="Arial"/>
                <w:sz w:val="16"/>
                <w:szCs w:val="16"/>
              </w:rPr>
            </w:pPr>
            <w:r w:rsidRPr="00B63F32">
              <w:rPr>
                <w:rFonts w:ascii="Arial" w:hAnsi="Arial" w:cs="Arial"/>
                <w:sz w:val="16"/>
                <w:szCs w:val="16"/>
              </w:rPr>
              <w:t xml:space="preserve"> Not a variation</w:t>
            </w:r>
          </w:p>
        </w:tc>
        <w:tc>
          <w:tcPr>
            <w:tcW w:w="182" w:type="pct"/>
            <w:tcBorders>
              <w:top w:val="nil"/>
              <w:left w:val="nil"/>
              <w:bottom w:val="nil"/>
              <w:right w:val="nil"/>
            </w:tcBorders>
            <w:shd w:val="clear" w:color="auto" w:fill="auto"/>
            <w:noWrap/>
            <w:vAlign w:val="center"/>
            <w:hideMark/>
          </w:tcPr>
          <w:p w14:paraId="53A793B8"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1</w:t>
            </w:r>
          </w:p>
        </w:tc>
        <w:tc>
          <w:tcPr>
            <w:tcW w:w="324" w:type="pct"/>
            <w:tcBorders>
              <w:top w:val="nil"/>
              <w:left w:val="nil"/>
              <w:bottom w:val="nil"/>
              <w:right w:val="nil"/>
            </w:tcBorders>
            <w:shd w:val="clear" w:color="auto" w:fill="E1E8EB"/>
            <w:noWrap/>
            <w:vAlign w:val="center"/>
            <w:hideMark/>
          </w:tcPr>
          <w:p w14:paraId="5EDACDFD" w14:textId="6029E838" w:rsidR="007A361F" w:rsidRPr="00B63F32" w:rsidRDefault="00560AE5" w:rsidP="006E5FC3">
            <w:pPr>
              <w:pStyle w:val="SingleParagraph"/>
              <w:jc w:val="right"/>
              <w:rPr>
                <w:rFonts w:ascii="Arial" w:hAnsi="Arial" w:cs="Arial"/>
                <w:sz w:val="16"/>
                <w:szCs w:val="16"/>
              </w:rPr>
            </w:pPr>
            <w:r>
              <w:rPr>
                <w:rFonts w:ascii="Arial" w:hAnsi="Arial" w:cs="Arial"/>
                <w:sz w:val="16"/>
                <w:szCs w:val="16"/>
              </w:rPr>
              <w:t>1</w:t>
            </w:r>
          </w:p>
        </w:tc>
        <w:tc>
          <w:tcPr>
            <w:tcW w:w="108" w:type="pct"/>
            <w:tcBorders>
              <w:top w:val="nil"/>
              <w:left w:val="nil"/>
              <w:bottom w:val="nil"/>
              <w:right w:val="nil"/>
            </w:tcBorders>
            <w:shd w:val="clear" w:color="auto" w:fill="auto"/>
            <w:noWrap/>
            <w:vAlign w:val="center"/>
            <w:hideMark/>
          </w:tcPr>
          <w:p w14:paraId="0B1D3C14"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7B968495"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324" w:type="pct"/>
            <w:tcBorders>
              <w:top w:val="nil"/>
              <w:left w:val="nil"/>
              <w:bottom w:val="nil"/>
              <w:right w:val="nil"/>
            </w:tcBorders>
            <w:shd w:val="clear" w:color="auto" w:fill="E1E8EB"/>
            <w:noWrap/>
            <w:vAlign w:val="center"/>
            <w:hideMark/>
          </w:tcPr>
          <w:p w14:paraId="5869469B"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108" w:type="pct"/>
            <w:tcBorders>
              <w:top w:val="nil"/>
              <w:left w:val="nil"/>
              <w:bottom w:val="nil"/>
              <w:right w:val="nil"/>
            </w:tcBorders>
            <w:shd w:val="clear" w:color="auto" w:fill="auto"/>
            <w:noWrap/>
            <w:vAlign w:val="center"/>
            <w:hideMark/>
          </w:tcPr>
          <w:p w14:paraId="59C69986"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32FC9521"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324" w:type="pct"/>
            <w:tcBorders>
              <w:top w:val="nil"/>
              <w:left w:val="nil"/>
              <w:bottom w:val="nil"/>
              <w:right w:val="nil"/>
            </w:tcBorders>
            <w:shd w:val="clear" w:color="auto" w:fill="E1E8EB"/>
            <w:noWrap/>
            <w:vAlign w:val="center"/>
            <w:hideMark/>
          </w:tcPr>
          <w:p w14:paraId="1EF1D899"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108" w:type="pct"/>
            <w:tcBorders>
              <w:top w:val="nil"/>
              <w:left w:val="nil"/>
              <w:bottom w:val="nil"/>
              <w:right w:val="nil"/>
            </w:tcBorders>
            <w:shd w:val="clear" w:color="auto" w:fill="auto"/>
            <w:noWrap/>
            <w:vAlign w:val="center"/>
            <w:hideMark/>
          </w:tcPr>
          <w:p w14:paraId="3F0F359B"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458854D9"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1</w:t>
            </w:r>
          </w:p>
        </w:tc>
        <w:tc>
          <w:tcPr>
            <w:tcW w:w="324" w:type="pct"/>
            <w:tcBorders>
              <w:top w:val="nil"/>
              <w:left w:val="nil"/>
              <w:bottom w:val="nil"/>
              <w:right w:val="nil"/>
            </w:tcBorders>
            <w:shd w:val="clear" w:color="auto" w:fill="E1E8EB"/>
            <w:noWrap/>
            <w:vAlign w:val="center"/>
            <w:hideMark/>
          </w:tcPr>
          <w:p w14:paraId="1A2BE4FF" w14:textId="7F68C8FB" w:rsidR="007A361F" w:rsidRPr="00B63F32" w:rsidRDefault="00560AE5" w:rsidP="006E5FC3">
            <w:pPr>
              <w:pStyle w:val="SingleParagraph"/>
              <w:jc w:val="right"/>
              <w:rPr>
                <w:rFonts w:ascii="Arial" w:hAnsi="Arial" w:cs="Arial"/>
                <w:sz w:val="16"/>
                <w:szCs w:val="16"/>
              </w:rPr>
            </w:pPr>
            <w:r>
              <w:rPr>
                <w:rFonts w:ascii="Arial" w:hAnsi="Arial" w:cs="Arial"/>
                <w:sz w:val="16"/>
                <w:szCs w:val="16"/>
              </w:rPr>
              <w:t>0</w:t>
            </w:r>
          </w:p>
        </w:tc>
        <w:tc>
          <w:tcPr>
            <w:tcW w:w="108" w:type="pct"/>
            <w:tcBorders>
              <w:top w:val="nil"/>
              <w:left w:val="nil"/>
              <w:bottom w:val="nil"/>
              <w:right w:val="nil"/>
            </w:tcBorders>
            <w:shd w:val="clear" w:color="auto" w:fill="auto"/>
            <w:noWrap/>
            <w:vAlign w:val="center"/>
            <w:hideMark/>
          </w:tcPr>
          <w:p w14:paraId="20FCCE26"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1D7D5489"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324" w:type="pct"/>
            <w:tcBorders>
              <w:top w:val="nil"/>
              <w:left w:val="nil"/>
              <w:bottom w:val="nil"/>
              <w:right w:val="nil"/>
            </w:tcBorders>
            <w:shd w:val="clear" w:color="auto" w:fill="E1E8EB"/>
            <w:noWrap/>
            <w:vAlign w:val="center"/>
            <w:hideMark/>
          </w:tcPr>
          <w:p w14:paraId="6C20BF3E" w14:textId="12518906" w:rsidR="007A361F" w:rsidRPr="00B63F32" w:rsidRDefault="002370A2" w:rsidP="006E5FC3">
            <w:pPr>
              <w:pStyle w:val="SingleParagraph"/>
              <w:jc w:val="right"/>
              <w:rPr>
                <w:rFonts w:ascii="Arial" w:hAnsi="Arial" w:cs="Arial"/>
                <w:sz w:val="16"/>
                <w:szCs w:val="16"/>
              </w:rPr>
            </w:pPr>
            <w:r>
              <w:rPr>
                <w:rFonts w:ascii="Arial" w:hAnsi="Arial" w:cs="Arial"/>
                <w:sz w:val="16"/>
                <w:szCs w:val="16"/>
              </w:rPr>
              <w:t>4</w:t>
            </w:r>
          </w:p>
        </w:tc>
        <w:tc>
          <w:tcPr>
            <w:tcW w:w="108" w:type="pct"/>
            <w:tcBorders>
              <w:top w:val="nil"/>
              <w:left w:val="nil"/>
              <w:bottom w:val="nil"/>
              <w:right w:val="nil"/>
            </w:tcBorders>
            <w:shd w:val="clear" w:color="auto" w:fill="auto"/>
            <w:noWrap/>
            <w:vAlign w:val="center"/>
            <w:hideMark/>
          </w:tcPr>
          <w:p w14:paraId="3F55A58F"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nil"/>
              <w:right w:val="nil"/>
            </w:tcBorders>
            <w:shd w:val="clear" w:color="auto" w:fill="auto"/>
            <w:noWrap/>
            <w:vAlign w:val="center"/>
            <w:hideMark/>
          </w:tcPr>
          <w:p w14:paraId="53BD387D"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2</w:t>
            </w:r>
          </w:p>
        </w:tc>
        <w:tc>
          <w:tcPr>
            <w:tcW w:w="324" w:type="pct"/>
            <w:tcBorders>
              <w:top w:val="nil"/>
              <w:left w:val="nil"/>
              <w:bottom w:val="nil"/>
              <w:right w:val="nil"/>
            </w:tcBorders>
            <w:shd w:val="clear" w:color="auto" w:fill="E1E8EB"/>
            <w:noWrap/>
            <w:vAlign w:val="center"/>
            <w:hideMark/>
          </w:tcPr>
          <w:p w14:paraId="1D2CEF93" w14:textId="5E5BDA94" w:rsidR="007A361F" w:rsidRPr="00B63F32" w:rsidRDefault="002370A2" w:rsidP="006E5FC3">
            <w:pPr>
              <w:pStyle w:val="SingleParagraph"/>
              <w:jc w:val="right"/>
              <w:rPr>
                <w:rFonts w:ascii="Arial" w:hAnsi="Arial" w:cs="Arial"/>
                <w:sz w:val="16"/>
                <w:szCs w:val="16"/>
              </w:rPr>
            </w:pPr>
            <w:r>
              <w:rPr>
                <w:rFonts w:ascii="Arial" w:hAnsi="Arial" w:cs="Arial"/>
                <w:sz w:val="16"/>
                <w:szCs w:val="16"/>
              </w:rPr>
              <w:t>5</w:t>
            </w:r>
          </w:p>
        </w:tc>
      </w:tr>
      <w:tr w:rsidR="008F29F0" w:rsidRPr="00B63F32" w14:paraId="4427ACFB" w14:textId="77777777" w:rsidTr="008F29F0">
        <w:trPr>
          <w:trHeight w:val="300"/>
        </w:trPr>
        <w:tc>
          <w:tcPr>
            <w:tcW w:w="714" w:type="pct"/>
            <w:tcBorders>
              <w:top w:val="nil"/>
              <w:left w:val="nil"/>
              <w:bottom w:val="single" w:sz="4" w:space="0" w:color="auto"/>
              <w:right w:val="nil"/>
            </w:tcBorders>
            <w:shd w:val="clear" w:color="000000" w:fill="FFFFFF"/>
            <w:noWrap/>
            <w:vAlign w:val="center"/>
            <w:hideMark/>
          </w:tcPr>
          <w:p w14:paraId="0689E6BD" w14:textId="198DD164" w:rsidR="007A361F" w:rsidRPr="00B63F32" w:rsidRDefault="007A361F" w:rsidP="007A361F">
            <w:pPr>
              <w:pStyle w:val="SingleParagraph"/>
              <w:jc w:val="left"/>
              <w:rPr>
                <w:rFonts w:ascii="Arial" w:hAnsi="Arial" w:cs="Arial"/>
                <w:sz w:val="16"/>
                <w:szCs w:val="16"/>
              </w:rPr>
            </w:pPr>
            <w:r w:rsidRPr="00B63F32">
              <w:rPr>
                <w:rFonts w:ascii="Arial" w:hAnsi="Arial" w:cs="Arial"/>
                <w:sz w:val="16"/>
                <w:szCs w:val="16"/>
              </w:rPr>
              <w:t xml:space="preserve"> Withdrawn  </w:t>
            </w:r>
          </w:p>
        </w:tc>
        <w:tc>
          <w:tcPr>
            <w:tcW w:w="182" w:type="pct"/>
            <w:tcBorders>
              <w:top w:val="nil"/>
              <w:left w:val="nil"/>
              <w:bottom w:val="single" w:sz="4" w:space="0" w:color="auto"/>
              <w:right w:val="nil"/>
            </w:tcBorders>
            <w:shd w:val="clear" w:color="auto" w:fill="auto"/>
            <w:noWrap/>
            <w:vAlign w:val="center"/>
            <w:hideMark/>
          </w:tcPr>
          <w:p w14:paraId="73659422"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6</w:t>
            </w:r>
          </w:p>
        </w:tc>
        <w:tc>
          <w:tcPr>
            <w:tcW w:w="324" w:type="pct"/>
            <w:tcBorders>
              <w:top w:val="nil"/>
              <w:left w:val="nil"/>
              <w:bottom w:val="single" w:sz="4" w:space="0" w:color="auto"/>
              <w:right w:val="nil"/>
            </w:tcBorders>
            <w:shd w:val="clear" w:color="auto" w:fill="E1E8EB"/>
            <w:noWrap/>
            <w:vAlign w:val="center"/>
            <w:hideMark/>
          </w:tcPr>
          <w:p w14:paraId="1AF0D464" w14:textId="74C45D14"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1</w:t>
            </w:r>
            <w:r w:rsidR="00560AE5">
              <w:rPr>
                <w:rFonts w:ascii="Arial" w:hAnsi="Arial" w:cs="Arial"/>
                <w:sz w:val="16"/>
                <w:szCs w:val="16"/>
              </w:rPr>
              <w:t>1</w:t>
            </w:r>
          </w:p>
        </w:tc>
        <w:tc>
          <w:tcPr>
            <w:tcW w:w="108" w:type="pct"/>
            <w:tcBorders>
              <w:top w:val="nil"/>
              <w:left w:val="nil"/>
              <w:bottom w:val="single" w:sz="4" w:space="0" w:color="auto"/>
              <w:right w:val="nil"/>
            </w:tcBorders>
            <w:shd w:val="clear" w:color="auto" w:fill="auto"/>
            <w:noWrap/>
            <w:vAlign w:val="center"/>
            <w:hideMark/>
          </w:tcPr>
          <w:p w14:paraId="2410B382"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single" w:sz="4" w:space="0" w:color="auto"/>
              <w:right w:val="nil"/>
            </w:tcBorders>
            <w:shd w:val="clear" w:color="auto" w:fill="auto"/>
            <w:noWrap/>
            <w:vAlign w:val="center"/>
            <w:hideMark/>
          </w:tcPr>
          <w:p w14:paraId="2FC33807"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324" w:type="pct"/>
            <w:tcBorders>
              <w:top w:val="nil"/>
              <w:left w:val="nil"/>
              <w:bottom w:val="single" w:sz="4" w:space="0" w:color="auto"/>
              <w:right w:val="nil"/>
            </w:tcBorders>
            <w:shd w:val="clear" w:color="auto" w:fill="E1E8EB"/>
            <w:noWrap/>
            <w:vAlign w:val="center"/>
            <w:hideMark/>
          </w:tcPr>
          <w:p w14:paraId="6F49280D"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108" w:type="pct"/>
            <w:tcBorders>
              <w:top w:val="nil"/>
              <w:left w:val="nil"/>
              <w:bottom w:val="single" w:sz="4" w:space="0" w:color="auto"/>
              <w:right w:val="nil"/>
            </w:tcBorders>
            <w:shd w:val="clear" w:color="auto" w:fill="auto"/>
            <w:noWrap/>
            <w:vAlign w:val="center"/>
            <w:hideMark/>
          </w:tcPr>
          <w:p w14:paraId="64926DD0"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single" w:sz="4" w:space="0" w:color="auto"/>
              <w:right w:val="nil"/>
            </w:tcBorders>
            <w:shd w:val="clear" w:color="auto" w:fill="auto"/>
            <w:noWrap/>
            <w:vAlign w:val="center"/>
            <w:hideMark/>
          </w:tcPr>
          <w:p w14:paraId="608B9E66"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42</w:t>
            </w:r>
          </w:p>
        </w:tc>
        <w:tc>
          <w:tcPr>
            <w:tcW w:w="324" w:type="pct"/>
            <w:tcBorders>
              <w:top w:val="nil"/>
              <w:left w:val="nil"/>
              <w:bottom w:val="single" w:sz="4" w:space="0" w:color="auto"/>
              <w:right w:val="nil"/>
            </w:tcBorders>
            <w:shd w:val="clear" w:color="auto" w:fill="E1E8EB"/>
            <w:noWrap/>
            <w:vAlign w:val="center"/>
            <w:hideMark/>
          </w:tcPr>
          <w:p w14:paraId="6748A716"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0</w:t>
            </w:r>
          </w:p>
        </w:tc>
        <w:tc>
          <w:tcPr>
            <w:tcW w:w="108" w:type="pct"/>
            <w:tcBorders>
              <w:top w:val="nil"/>
              <w:left w:val="nil"/>
              <w:bottom w:val="single" w:sz="4" w:space="0" w:color="auto"/>
              <w:right w:val="nil"/>
            </w:tcBorders>
            <w:shd w:val="clear" w:color="auto" w:fill="auto"/>
            <w:noWrap/>
            <w:vAlign w:val="center"/>
            <w:hideMark/>
          </w:tcPr>
          <w:p w14:paraId="693EF6BE"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single" w:sz="4" w:space="0" w:color="auto"/>
              <w:right w:val="nil"/>
            </w:tcBorders>
            <w:shd w:val="clear" w:color="auto" w:fill="auto"/>
            <w:noWrap/>
            <w:vAlign w:val="center"/>
            <w:hideMark/>
          </w:tcPr>
          <w:p w14:paraId="2F8CCB9D"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6</w:t>
            </w:r>
          </w:p>
        </w:tc>
        <w:tc>
          <w:tcPr>
            <w:tcW w:w="324" w:type="pct"/>
            <w:tcBorders>
              <w:top w:val="nil"/>
              <w:left w:val="nil"/>
              <w:bottom w:val="single" w:sz="4" w:space="0" w:color="auto"/>
              <w:right w:val="nil"/>
            </w:tcBorders>
            <w:shd w:val="clear" w:color="auto" w:fill="E1E8EB"/>
            <w:noWrap/>
            <w:vAlign w:val="center"/>
            <w:hideMark/>
          </w:tcPr>
          <w:p w14:paraId="476C11CA" w14:textId="57B66240" w:rsidR="007A361F" w:rsidRPr="00B63F32" w:rsidRDefault="00560AE5" w:rsidP="006E5FC3">
            <w:pPr>
              <w:pStyle w:val="SingleParagraph"/>
              <w:jc w:val="right"/>
              <w:rPr>
                <w:rFonts w:ascii="Arial" w:hAnsi="Arial" w:cs="Arial"/>
                <w:sz w:val="16"/>
                <w:szCs w:val="16"/>
              </w:rPr>
            </w:pPr>
            <w:r>
              <w:rPr>
                <w:rFonts w:ascii="Arial" w:hAnsi="Arial" w:cs="Arial"/>
                <w:sz w:val="16"/>
                <w:szCs w:val="16"/>
              </w:rPr>
              <w:t>23</w:t>
            </w:r>
          </w:p>
        </w:tc>
        <w:tc>
          <w:tcPr>
            <w:tcW w:w="108" w:type="pct"/>
            <w:tcBorders>
              <w:top w:val="nil"/>
              <w:left w:val="nil"/>
              <w:bottom w:val="single" w:sz="4" w:space="0" w:color="auto"/>
              <w:right w:val="nil"/>
            </w:tcBorders>
            <w:shd w:val="clear" w:color="auto" w:fill="auto"/>
            <w:noWrap/>
            <w:vAlign w:val="center"/>
            <w:hideMark/>
          </w:tcPr>
          <w:p w14:paraId="17F33E5D"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single" w:sz="4" w:space="0" w:color="auto"/>
              <w:right w:val="nil"/>
            </w:tcBorders>
            <w:shd w:val="clear" w:color="auto" w:fill="auto"/>
            <w:noWrap/>
            <w:vAlign w:val="center"/>
            <w:hideMark/>
          </w:tcPr>
          <w:p w14:paraId="69AC304D"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11</w:t>
            </w:r>
          </w:p>
        </w:tc>
        <w:tc>
          <w:tcPr>
            <w:tcW w:w="324" w:type="pct"/>
            <w:tcBorders>
              <w:top w:val="nil"/>
              <w:left w:val="nil"/>
              <w:bottom w:val="single" w:sz="4" w:space="0" w:color="auto"/>
              <w:right w:val="nil"/>
            </w:tcBorders>
            <w:shd w:val="clear" w:color="auto" w:fill="E1E8EB"/>
            <w:noWrap/>
            <w:vAlign w:val="center"/>
            <w:hideMark/>
          </w:tcPr>
          <w:p w14:paraId="0DC5F4DC" w14:textId="282FDAF2" w:rsidR="007A361F" w:rsidRPr="00B63F32" w:rsidRDefault="002370A2" w:rsidP="006E5FC3">
            <w:pPr>
              <w:pStyle w:val="SingleParagraph"/>
              <w:jc w:val="right"/>
              <w:rPr>
                <w:rFonts w:ascii="Arial" w:hAnsi="Arial" w:cs="Arial"/>
                <w:sz w:val="16"/>
                <w:szCs w:val="16"/>
              </w:rPr>
            </w:pPr>
            <w:r>
              <w:rPr>
                <w:rFonts w:ascii="Arial" w:hAnsi="Arial" w:cs="Arial"/>
                <w:sz w:val="16"/>
                <w:szCs w:val="16"/>
              </w:rPr>
              <w:t>11</w:t>
            </w:r>
          </w:p>
        </w:tc>
        <w:tc>
          <w:tcPr>
            <w:tcW w:w="108" w:type="pct"/>
            <w:tcBorders>
              <w:top w:val="nil"/>
              <w:left w:val="nil"/>
              <w:bottom w:val="single" w:sz="4" w:space="0" w:color="auto"/>
              <w:right w:val="nil"/>
            </w:tcBorders>
            <w:shd w:val="clear" w:color="auto" w:fill="auto"/>
            <w:noWrap/>
            <w:vAlign w:val="center"/>
            <w:hideMark/>
          </w:tcPr>
          <w:p w14:paraId="7E4F4B33" w14:textId="77777777" w:rsidR="007A361F" w:rsidRPr="00B63F32" w:rsidRDefault="007A361F" w:rsidP="006E5FC3">
            <w:pPr>
              <w:pStyle w:val="SingleParagraph"/>
              <w:jc w:val="right"/>
              <w:rPr>
                <w:rFonts w:ascii="Arial" w:hAnsi="Arial" w:cs="Arial"/>
                <w:sz w:val="16"/>
                <w:szCs w:val="16"/>
              </w:rPr>
            </w:pPr>
          </w:p>
        </w:tc>
        <w:tc>
          <w:tcPr>
            <w:tcW w:w="324" w:type="pct"/>
            <w:tcBorders>
              <w:top w:val="nil"/>
              <w:left w:val="nil"/>
              <w:bottom w:val="single" w:sz="4" w:space="0" w:color="auto"/>
              <w:right w:val="nil"/>
            </w:tcBorders>
            <w:shd w:val="clear" w:color="auto" w:fill="auto"/>
            <w:noWrap/>
            <w:vAlign w:val="center"/>
            <w:hideMark/>
          </w:tcPr>
          <w:p w14:paraId="4304D4F8" w14:textId="77777777" w:rsidR="007A361F" w:rsidRPr="00B63F32" w:rsidRDefault="007A361F" w:rsidP="006E5FC3">
            <w:pPr>
              <w:pStyle w:val="SingleParagraph"/>
              <w:jc w:val="right"/>
              <w:rPr>
                <w:rFonts w:ascii="Arial" w:hAnsi="Arial" w:cs="Arial"/>
                <w:sz w:val="16"/>
                <w:szCs w:val="16"/>
              </w:rPr>
            </w:pPr>
            <w:r w:rsidRPr="00B63F32">
              <w:rPr>
                <w:rFonts w:ascii="Arial" w:hAnsi="Arial" w:cs="Arial"/>
                <w:sz w:val="16"/>
                <w:szCs w:val="16"/>
              </w:rPr>
              <w:t>65</w:t>
            </w:r>
          </w:p>
        </w:tc>
        <w:tc>
          <w:tcPr>
            <w:tcW w:w="324" w:type="pct"/>
            <w:tcBorders>
              <w:top w:val="nil"/>
              <w:left w:val="nil"/>
              <w:bottom w:val="single" w:sz="4" w:space="0" w:color="auto"/>
              <w:right w:val="nil"/>
            </w:tcBorders>
            <w:shd w:val="clear" w:color="auto" w:fill="E1E8EB"/>
            <w:noWrap/>
            <w:vAlign w:val="center"/>
            <w:hideMark/>
          </w:tcPr>
          <w:p w14:paraId="2B6B083C" w14:textId="0E0E4A1C" w:rsidR="007A361F" w:rsidRPr="00B63F32" w:rsidRDefault="002370A2" w:rsidP="006E5FC3">
            <w:pPr>
              <w:pStyle w:val="SingleParagraph"/>
              <w:jc w:val="right"/>
              <w:rPr>
                <w:rFonts w:ascii="Arial" w:hAnsi="Arial" w:cs="Arial"/>
                <w:sz w:val="16"/>
                <w:szCs w:val="16"/>
              </w:rPr>
            </w:pPr>
            <w:r>
              <w:rPr>
                <w:rFonts w:ascii="Arial" w:hAnsi="Arial" w:cs="Arial"/>
                <w:sz w:val="16"/>
                <w:szCs w:val="16"/>
              </w:rPr>
              <w:t>45</w:t>
            </w:r>
          </w:p>
        </w:tc>
      </w:tr>
      <w:tr w:rsidR="008F29F0" w:rsidRPr="00B63F32" w14:paraId="7AF0739F" w14:textId="77777777" w:rsidTr="008F29F0">
        <w:trPr>
          <w:trHeight w:val="300"/>
        </w:trPr>
        <w:tc>
          <w:tcPr>
            <w:tcW w:w="714" w:type="pct"/>
            <w:tcBorders>
              <w:top w:val="single" w:sz="4" w:space="0" w:color="auto"/>
              <w:left w:val="nil"/>
              <w:bottom w:val="single" w:sz="4" w:space="0" w:color="000000"/>
              <w:right w:val="nil"/>
            </w:tcBorders>
            <w:shd w:val="clear" w:color="000000" w:fill="FFFFFF"/>
            <w:noWrap/>
            <w:vAlign w:val="center"/>
            <w:hideMark/>
          </w:tcPr>
          <w:p w14:paraId="6AEDBBDF" w14:textId="5FEB20A2" w:rsidR="007A361F" w:rsidRPr="00B63F32" w:rsidRDefault="007A361F" w:rsidP="007A361F">
            <w:pPr>
              <w:pStyle w:val="SingleParagraph"/>
              <w:rPr>
                <w:rFonts w:ascii="Arial" w:hAnsi="Arial" w:cs="Arial"/>
                <w:b/>
                <w:bCs/>
                <w:sz w:val="16"/>
                <w:szCs w:val="16"/>
              </w:rPr>
            </w:pPr>
            <w:r w:rsidRPr="00B63F32">
              <w:rPr>
                <w:rFonts w:ascii="Arial" w:hAnsi="Arial" w:cs="Arial"/>
                <w:b/>
                <w:bCs/>
                <w:sz w:val="16"/>
                <w:szCs w:val="16"/>
              </w:rPr>
              <w:t>Total</w:t>
            </w:r>
            <w:r w:rsidR="00772571">
              <w:rPr>
                <w:rFonts w:ascii="Arial" w:hAnsi="Arial" w:cs="Arial"/>
                <w:b/>
                <w:bCs/>
                <w:sz w:val="16"/>
                <w:szCs w:val="16"/>
              </w:rPr>
              <w:t xml:space="preserve"> </w:t>
            </w:r>
            <w:r w:rsidRPr="00B63F32">
              <w:rPr>
                <w:rFonts w:ascii="Arial" w:hAnsi="Arial" w:cs="Arial"/>
                <w:b/>
                <w:bCs/>
                <w:sz w:val="16"/>
                <w:szCs w:val="16"/>
              </w:rPr>
              <w:t xml:space="preserve">considered </w:t>
            </w:r>
          </w:p>
        </w:tc>
        <w:tc>
          <w:tcPr>
            <w:tcW w:w="182" w:type="pct"/>
            <w:tcBorders>
              <w:top w:val="single" w:sz="4" w:space="0" w:color="auto"/>
              <w:left w:val="nil"/>
              <w:bottom w:val="single" w:sz="4" w:space="0" w:color="000000"/>
              <w:right w:val="nil"/>
            </w:tcBorders>
            <w:shd w:val="clear" w:color="auto" w:fill="auto"/>
            <w:noWrap/>
            <w:vAlign w:val="center"/>
            <w:hideMark/>
          </w:tcPr>
          <w:p w14:paraId="3D4D50A0"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24</w:t>
            </w:r>
          </w:p>
        </w:tc>
        <w:tc>
          <w:tcPr>
            <w:tcW w:w="324" w:type="pct"/>
            <w:tcBorders>
              <w:top w:val="single" w:sz="4" w:space="0" w:color="auto"/>
              <w:left w:val="nil"/>
              <w:bottom w:val="single" w:sz="4" w:space="0" w:color="000000"/>
              <w:right w:val="nil"/>
            </w:tcBorders>
            <w:shd w:val="clear" w:color="auto" w:fill="E1E8EB"/>
            <w:noWrap/>
            <w:vAlign w:val="center"/>
            <w:hideMark/>
          </w:tcPr>
          <w:p w14:paraId="5A1AD248" w14:textId="4536FD0C" w:rsidR="007A361F" w:rsidRPr="00B63F32" w:rsidRDefault="00560AE5" w:rsidP="006E5FC3">
            <w:pPr>
              <w:pStyle w:val="SingleParagraph"/>
              <w:jc w:val="right"/>
              <w:rPr>
                <w:rFonts w:ascii="Arial" w:hAnsi="Arial" w:cs="Arial"/>
                <w:b/>
                <w:bCs/>
                <w:sz w:val="16"/>
                <w:szCs w:val="16"/>
              </w:rPr>
            </w:pPr>
            <w:r>
              <w:rPr>
                <w:rFonts w:ascii="Arial" w:hAnsi="Arial" w:cs="Arial"/>
                <w:b/>
                <w:bCs/>
                <w:sz w:val="16"/>
                <w:szCs w:val="16"/>
              </w:rPr>
              <w:t>35</w:t>
            </w:r>
          </w:p>
        </w:tc>
        <w:tc>
          <w:tcPr>
            <w:tcW w:w="108" w:type="pct"/>
            <w:tcBorders>
              <w:top w:val="single" w:sz="4" w:space="0" w:color="auto"/>
              <w:left w:val="nil"/>
              <w:bottom w:val="single" w:sz="4" w:space="0" w:color="000000"/>
              <w:right w:val="nil"/>
            </w:tcBorders>
            <w:shd w:val="clear" w:color="auto" w:fill="auto"/>
            <w:noWrap/>
            <w:vAlign w:val="center"/>
            <w:hideMark/>
          </w:tcPr>
          <w:p w14:paraId="5201EAEC"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 </w:t>
            </w:r>
          </w:p>
        </w:tc>
        <w:tc>
          <w:tcPr>
            <w:tcW w:w="324" w:type="pct"/>
            <w:tcBorders>
              <w:top w:val="single" w:sz="4" w:space="0" w:color="auto"/>
              <w:left w:val="nil"/>
              <w:bottom w:val="single" w:sz="4" w:space="0" w:color="000000"/>
              <w:right w:val="nil"/>
            </w:tcBorders>
            <w:shd w:val="clear" w:color="auto" w:fill="auto"/>
            <w:noWrap/>
            <w:vAlign w:val="center"/>
            <w:hideMark/>
          </w:tcPr>
          <w:p w14:paraId="2E9E469D"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0</w:t>
            </w:r>
          </w:p>
        </w:tc>
        <w:tc>
          <w:tcPr>
            <w:tcW w:w="324" w:type="pct"/>
            <w:tcBorders>
              <w:top w:val="single" w:sz="4" w:space="0" w:color="auto"/>
              <w:left w:val="nil"/>
              <w:bottom w:val="single" w:sz="4" w:space="0" w:color="000000"/>
              <w:right w:val="nil"/>
            </w:tcBorders>
            <w:shd w:val="clear" w:color="auto" w:fill="E1E8EB"/>
            <w:noWrap/>
            <w:vAlign w:val="center"/>
            <w:hideMark/>
          </w:tcPr>
          <w:p w14:paraId="0907B793"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0</w:t>
            </w:r>
          </w:p>
        </w:tc>
        <w:tc>
          <w:tcPr>
            <w:tcW w:w="108" w:type="pct"/>
            <w:tcBorders>
              <w:top w:val="single" w:sz="4" w:space="0" w:color="auto"/>
              <w:left w:val="nil"/>
              <w:bottom w:val="single" w:sz="4" w:space="0" w:color="000000"/>
              <w:right w:val="nil"/>
            </w:tcBorders>
            <w:shd w:val="clear" w:color="auto" w:fill="auto"/>
            <w:noWrap/>
            <w:vAlign w:val="center"/>
            <w:hideMark/>
          </w:tcPr>
          <w:p w14:paraId="081A4145"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 </w:t>
            </w:r>
          </w:p>
        </w:tc>
        <w:tc>
          <w:tcPr>
            <w:tcW w:w="324" w:type="pct"/>
            <w:tcBorders>
              <w:top w:val="single" w:sz="4" w:space="0" w:color="auto"/>
              <w:left w:val="nil"/>
              <w:bottom w:val="single" w:sz="4" w:space="0" w:color="000000"/>
              <w:right w:val="nil"/>
            </w:tcBorders>
            <w:shd w:val="clear" w:color="auto" w:fill="auto"/>
            <w:noWrap/>
            <w:vAlign w:val="center"/>
            <w:hideMark/>
          </w:tcPr>
          <w:p w14:paraId="7246B6C0"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254</w:t>
            </w:r>
          </w:p>
        </w:tc>
        <w:tc>
          <w:tcPr>
            <w:tcW w:w="324" w:type="pct"/>
            <w:tcBorders>
              <w:top w:val="single" w:sz="4" w:space="0" w:color="auto"/>
              <w:left w:val="nil"/>
              <w:bottom w:val="single" w:sz="4" w:space="0" w:color="000000"/>
              <w:right w:val="nil"/>
            </w:tcBorders>
            <w:shd w:val="clear" w:color="auto" w:fill="E1E8EB"/>
            <w:noWrap/>
            <w:vAlign w:val="center"/>
            <w:hideMark/>
          </w:tcPr>
          <w:p w14:paraId="1DDDD6EB"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212</w:t>
            </w:r>
          </w:p>
        </w:tc>
        <w:tc>
          <w:tcPr>
            <w:tcW w:w="108" w:type="pct"/>
            <w:tcBorders>
              <w:top w:val="single" w:sz="4" w:space="0" w:color="auto"/>
              <w:left w:val="nil"/>
              <w:bottom w:val="single" w:sz="4" w:space="0" w:color="000000"/>
              <w:right w:val="nil"/>
            </w:tcBorders>
            <w:shd w:val="clear" w:color="auto" w:fill="auto"/>
            <w:noWrap/>
            <w:vAlign w:val="center"/>
            <w:hideMark/>
          </w:tcPr>
          <w:p w14:paraId="628AAFE3"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 </w:t>
            </w:r>
          </w:p>
        </w:tc>
        <w:tc>
          <w:tcPr>
            <w:tcW w:w="324" w:type="pct"/>
            <w:tcBorders>
              <w:top w:val="single" w:sz="4" w:space="0" w:color="auto"/>
              <w:left w:val="nil"/>
              <w:bottom w:val="single" w:sz="4" w:space="0" w:color="000000"/>
              <w:right w:val="nil"/>
            </w:tcBorders>
            <w:shd w:val="clear" w:color="auto" w:fill="auto"/>
            <w:noWrap/>
            <w:vAlign w:val="center"/>
            <w:hideMark/>
          </w:tcPr>
          <w:p w14:paraId="7D8A9258"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34</w:t>
            </w:r>
          </w:p>
        </w:tc>
        <w:tc>
          <w:tcPr>
            <w:tcW w:w="324" w:type="pct"/>
            <w:tcBorders>
              <w:top w:val="single" w:sz="4" w:space="0" w:color="auto"/>
              <w:left w:val="nil"/>
              <w:bottom w:val="single" w:sz="4" w:space="0" w:color="000000"/>
              <w:right w:val="nil"/>
            </w:tcBorders>
            <w:shd w:val="clear" w:color="auto" w:fill="E1E8EB"/>
            <w:noWrap/>
            <w:vAlign w:val="center"/>
            <w:hideMark/>
          </w:tcPr>
          <w:p w14:paraId="481D35FA" w14:textId="26ACA42C" w:rsidR="007A361F" w:rsidRPr="00B63F32" w:rsidRDefault="00560AE5" w:rsidP="006E5FC3">
            <w:pPr>
              <w:pStyle w:val="SingleParagraph"/>
              <w:jc w:val="right"/>
              <w:rPr>
                <w:rFonts w:ascii="Arial" w:hAnsi="Arial" w:cs="Arial"/>
                <w:b/>
                <w:bCs/>
                <w:sz w:val="16"/>
                <w:szCs w:val="16"/>
              </w:rPr>
            </w:pPr>
            <w:r>
              <w:rPr>
                <w:rFonts w:ascii="Arial" w:hAnsi="Arial" w:cs="Arial"/>
                <w:b/>
                <w:bCs/>
                <w:sz w:val="16"/>
                <w:szCs w:val="16"/>
              </w:rPr>
              <w:t>52</w:t>
            </w:r>
          </w:p>
        </w:tc>
        <w:tc>
          <w:tcPr>
            <w:tcW w:w="108" w:type="pct"/>
            <w:tcBorders>
              <w:top w:val="single" w:sz="4" w:space="0" w:color="auto"/>
              <w:left w:val="nil"/>
              <w:bottom w:val="single" w:sz="4" w:space="0" w:color="000000"/>
              <w:right w:val="nil"/>
            </w:tcBorders>
            <w:shd w:val="clear" w:color="auto" w:fill="auto"/>
            <w:noWrap/>
            <w:vAlign w:val="center"/>
            <w:hideMark/>
          </w:tcPr>
          <w:p w14:paraId="23AC82FA"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 </w:t>
            </w:r>
          </w:p>
        </w:tc>
        <w:tc>
          <w:tcPr>
            <w:tcW w:w="324" w:type="pct"/>
            <w:tcBorders>
              <w:top w:val="single" w:sz="4" w:space="0" w:color="auto"/>
              <w:left w:val="nil"/>
              <w:bottom w:val="single" w:sz="4" w:space="0" w:color="000000"/>
              <w:right w:val="nil"/>
            </w:tcBorders>
            <w:shd w:val="clear" w:color="auto" w:fill="auto"/>
            <w:noWrap/>
            <w:vAlign w:val="center"/>
            <w:hideMark/>
          </w:tcPr>
          <w:p w14:paraId="2C296B6A"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29</w:t>
            </w:r>
          </w:p>
        </w:tc>
        <w:tc>
          <w:tcPr>
            <w:tcW w:w="324" w:type="pct"/>
            <w:tcBorders>
              <w:top w:val="single" w:sz="4" w:space="0" w:color="auto"/>
              <w:left w:val="nil"/>
              <w:bottom w:val="single" w:sz="4" w:space="0" w:color="000000"/>
              <w:right w:val="nil"/>
            </w:tcBorders>
            <w:shd w:val="clear" w:color="auto" w:fill="E1E8EB"/>
            <w:noWrap/>
            <w:vAlign w:val="center"/>
            <w:hideMark/>
          </w:tcPr>
          <w:p w14:paraId="4C0A9CFF" w14:textId="031FF25D" w:rsidR="007A361F" w:rsidRPr="00B63F32" w:rsidRDefault="002370A2" w:rsidP="006E5FC3">
            <w:pPr>
              <w:pStyle w:val="SingleParagraph"/>
              <w:jc w:val="right"/>
              <w:rPr>
                <w:rFonts w:ascii="Arial" w:hAnsi="Arial" w:cs="Arial"/>
                <w:b/>
                <w:bCs/>
                <w:sz w:val="16"/>
                <w:szCs w:val="16"/>
              </w:rPr>
            </w:pPr>
            <w:r>
              <w:rPr>
                <w:rFonts w:ascii="Arial" w:hAnsi="Arial" w:cs="Arial"/>
                <w:b/>
                <w:bCs/>
                <w:sz w:val="16"/>
                <w:szCs w:val="16"/>
              </w:rPr>
              <w:t>42</w:t>
            </w:r>
          </w:p>
        </w:tc>
        <w:tc>
          <w:tcPr>
            <w:tcW w:w="108" w:type="pct"/>
            <w:tcBorders>
              <w:top w:val="single" w:sz="4" w:space="0" w:color="auto"/>
              <w:left w:val="nil"/>
              <w:bottom w:val="single" w:sz="4" w:space="0" w:color="auto"/>
              <w:right w:val="nil"/>
            </w:tcBorders>
            <w:shd w:val="clear" w:color="auto" w:fill="auto"/>
            <w:noWrap/>
            <w:vAlign w:val="center"/>
            <w:hideMark/>
          </w:tcPr>
          <w:p w14:paraId="4E35B428"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 </w:t>
            </w:r>
          </w:p>
        </w:tc>
        <w:tc>
          <w:tcPr>
            <w:tcW w:w="324" w:type="pct"/>
            <w:tcBorders>
              <w:top w:val="single" w:sz="4" w:space="0" w:color="auto"/>
              <w:left w:val="nil"/>
              <w:bottom w:val="single" w:sz="4" w:space="0" w:color="auto"/>
              <w:right w:val="nil"/>
            </w:tcBorders>
            <w:shd w:val="clear" w:color="auto" w:fill="auto"/>
            <w:noWrap/>
            <w:vAlign w:val="center"/>
            <w:hideMark/>
          </w:tcPr>
          <w:p w14:paraId="7D4D5458" w14:textId="77777777"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341</w:t>
            </w:r>
          </w:p>
        </w:tc>
        <w:tc>
          <w:tcPr>
            <w:tcW w:w="324" w:type="pct"/>
            <w:tcBorders>
              <w:top w:val="single" w:sz="4" w:space="0" w:color="auto"/>
              <w:left w:val="nil"/>
              <w:bottom w:val="single" w:sz="4" w:space="0" w:color="auto"/>
              <w:right w:val="nil"/>
            </w:tcBorders>
            <w:shd w:val="clear" w:color="auto" w:fill="E1E8EB"/>
            <w:noWrap/>
            <w:vAlign w:val="center"/>
            <w:hideMark/>
          </w:tcPr>
          <w:p w14:paraId="1AA9B0CD" w14:textId="68A8FD40" w:rsidR="007A361F" w:rsidRPr="00B63F32" w:rsidRDefault="007A361F" w:rsidP="006E5FC3">
            <w:pPr>
              <w:pStyle w:val="SingleParagraph"/>
              <w:jc w:val="right"/>
              <w:rPr>
                <w:rFonts w:ascii="Arial" w:hAnsi="Arial" w:cs="Arial"/>
                <w:b/>
                <w:bCs/>
                <w:sz w:val="16"/>
                <w:szCs w:val="16"/>
              </w:rPr>
            </w:pPr>
            <w:r w:rsidRPr="00B63F32">
              <w:rPr>
                <w:rFonts w:ascii="Arial" w:hAnsi="Arial" w:cs="Arial"/>
                <w:b/>
                <w:bCs/>
                <w:sz w:val="16"/>
                <w:szCs w:val="16"/>
              </w:rPr>
              <w:t>34</w:t>
            </w:r>
            <w:r w:rsidR="002370A2">
              <w:rPr>
                <w:rFonts w:ascii="Arial" w:hAnsi="Arial" w:cs="Arial"/>
                <w:b/>
                <w:bCs/>
                <w:sz w:val="16"/>
                <w:szCs w:val="16"/>
              </w:rPr>
              <w:t>1</w:t>
            </w:r>
          </w:p>
        </w:tc>
      </w:tr>
    </w:tbl>
    <w:p w14:paraId="5E8A59A4" w14:textId="77777777" w:rsidR="006371D9" w:rsidRDefault="006371D9" w:rsidP="006371D9">
      <w:pPr>
        <w:pStyle w:val="SingleParagraph"/>
      </w:pPr>
    </w:p>
    <w:p w14:paraId="7E8528A9" w14:textId="65451DAE" w:rsidR="008F29F0" w:rsidRDefault="008F29F0">
      <w:pPr>
        <w:spacing w:after="0" w:line="240" w:lineRule="auto"/>
        <w:jc w:val="left"/>
        <w:rPr>
          <w:rFonts w:ascii="Calibri" w:hAnsi="Calibri"/>
          <w:b/>
          <w:color w:val="4F81BD" w:themeColor="accent1"/>
          <w:sz w:val="22"/>
        </w:rPr>
      </w:pPr>
      <w:bookmarkStart w:id="170" w:name="_Toc63798287"/>
      <w:bookmarkStart w:id="171" w:name="_Toc73984746"/>
      <w:r>
        <w:rPr>
          <w:color w:val="4F81BD" w:themeColor="accent1"/>
        </w:rPr>
        <w:br w:type="page"/>
      </w:r>
    </w:p>
    <w:p w14:paraId="1D223B33" w14:textId="3373BAF4" w:rsidR="00F07785" w:rsidRPr="008F29F0" w:rsidRDefault="008F29F0" w:rsidP="008F29F0">
      <w:pPr>
        <w:pStyle w:val="TableMainHeading"/>
      </w:pPr>
      <w:bookmarkStart w:id="172" w:name="_Toc89939953"/>
      <w:bookmarkEnd w:id="170"/>
      <w:bookmarkEnd w:id="171"/>
      <w:r w:rsidRPr="008F29F0">
        <w:lastRenderedPageBreak/>
        <w:t>T</w:t>
      </w:r>
      <w:r w:rsidR="00F07785" w:rsidRPr="008F29F0">
        <w:t xml:space="preserve">able </w:t>
      </w:r>
      <w:fldSimple w:instr=" STYLEREF 1 \s ">
        <w:r w:rsidR="0019342F">
          <w:rPr>
            <w:noProof/>
          </w:rPr>
          <w:t>3</w:t>
        </w:r>
      </w:fldSimple>
      <w:r w:rsidR="009812FE" w:rsidRPr="008F29F0">
        <w:t>.</w:t>
      </w:r>
      <w:fldSimple w:instr=" SEQ Table \* ARABIC \s 1 ">
        <w:r w:rsidR="0019342F">
          <w:rPr>
            <w:noProof/>
          </w:rPr>
          <w:t>19</w:t>
        </w:r>
      </w:fldSimple>
      <w:r w:rsidR="00F07785" w:rsidRPr="008F29F0">
        <w:t xml:space="preserve">: Variations approved from </w:t>
      </w:r>
      <w:r w:rsidR="00D76ED2" w:rsidRPr="008F29F0">
        <w:t>2019</w:t>
      </w:r>
      <w:r w:rsidR="00D76ED2" w:rsidRPr="008F29F0">
        <w:noBreakHyphen/>
        <w:t>20</w:t>
      </w:r>
      <w:r w:rsidR="00F07785" w:rsidRPr="008F29F0">
        <w:t xml:space="preserve"> to </w:t>
      </w:r>
      <w:r w:rsidR="00D76ED2" w:rsidRPr="008F29F0">
        <w:t>2020</w:t>
      </w:r>
      <w:r w:rsidR="00D76ED2" w:rsidRPr="008F29F0">
        <w:noBreakHyphen/>
        <w:t>21</w:t>
      </w:r>
      <w:r w:rsidR="00F07785" w:rsidRPr="008F29F0">
        <w:t xml:space="preserve"> (number of variations by reason)</w:t>
      </w:r>
      <w:bookmarkEnd w:id="172"/>
    </w:p>
    <w:tbl>
      <w:tblPr>
        <w:tblW w:w="5077" w:type="pct"/>
        <w:tblLayout w:type="fixed"/>
        <w:tblCellMar>
          <w:left w:w="28" w:type="dxa"/>
          <w:right w:w="28" w:type="dxa"/>
        </w:tblCellMar>
        <w:tblLook w:val="04A0" w:firstRow="1" w:lastRow="0" w:firstColumn="1" w:lastColumn="0" w:noHBand="0" w:noVBand="1"/>
      </w:tblPr>
      <w:tblGrid>
        <w:gridCol w:w="1418"/>
        <w:gridCol w:w="668"/>
        <w:gridCol w:w="817"/>
        <w:gridCol w:w="44"/>
        <w:gridCol w:w="198"/>
        <w:gridCol w:w="51"/>
        <w:gridCol w:w="745"/>
        <w:gridCol w:w="795"/>
        <w:gridCol w:w="63"/>
        <w:gridCol w:w="176"/>
        <w:gridCol w:w="60"/>
        <w:gridCol w:w="733"/>
        <w:gridCol w:w="798"/>
        <w:gridCol w:w="94"/>
        <w:gridCol w:w="147"/>
        <w:gridCol w:w="135"/>
        <w:gridCol w:w="662"/>
        <w:gridCol w:w="795"/>
        <w:gridCol w:w="104"/>
        <w:gridCol w:w="133"/>
        <w:gridCol w:w="104"/>
        <w:gridCol w:w="704"/>
        <w:gridCol w:w="307"/>
        <w:gridCol w:w="496"/>
        <w:gridCol w:w="94"/>
        <w:gridCol w:w="143"/>
        <w:gridCol w:w="99"/>
        <w:gridCol w:w="619"/>
        <w:gridCol w:w="99"/>
        <w:gridCol w:w="771"/>
        <w:gridCol w:w="17"/>
      </w:tblGrid>
      <w:tr w:rsidR="00DC0FCA" w:rsidRPr="00DC0FCA" w14:paraId="26D80C9E" w14:textId="77777777" w:rsidTr="008F29F0">
        <w:trPr>
          <w:gridAfter w:val="1"/>
          <w:wAfter w:w="7" w:type="pct"/>
          <w:trHeight w:val="360"/>
        </w:trPr>
        <w:tc>
          <w:tcPr>
            <w:tcW w:w="586" w:type="pct"/>
            <w:tcBorders>
              <w:top w:val="single" w:sz="4" w:space="0" w:color="000000"/>
              <w:left w:val="nil"/>
              <w:bottom w:val="nil"/>
              <w:right w:val="nil"/>
            </w:tcBorders>
            <w:shd w:val="clear" w:color="000000" w:fill="FFFFFF"/>
            <w:noWrap/>
            <w:vAlign w:val="center"/>
            <w:hideMark/>
          </w:tcPr>
          <w:p w14:paraId="4F5324CC" w14:textId="77777777" w:rsidR="000C0F10" w:rsidRPr="004B6536" w:rsidRDefault="000C0F10" w:rsidP="000C0F10">
            <w:pPr>
              <w:spacing w:after="0" w:line="240" w:lineRule="auto"/>
              <w:rPr>
                <w:rFonts w:ascii="Arial" w:hAnsi="Arial" w:cs="Arial"/>
                <w:sz w:val="16"/>
                <w:szCs w:val="16"/>
              </w:rPr>
            </w:pPr>
            <w:r w:rsidRPr="004B6536">
              <w:rPr>
                <w:rFonts w:ascii="Arial" w:hAnsi="Arial" w:cs="Arial"/>
                <w:sz w:val="16"/>
                <w:szCs w:val="16"/>
              </w:rPr>
              <w:t> </w:t>
            </w:r>
          </w:p>
        </w:tc>
        <w:tc>
          <w:tcPr>
            <w:tcW w:w="1398" w:type="pct"/>
            <w:gridSpan w:val="8"/>
            <w:tcBorders>
              <w:top w:val="single" w:sz="4" w:space="0" w:color="000000"/>
              <w:left w:val="nil"/>
              <w:bottom w:val="single" w:sz="4" w:space="0" w:color="000000"/>
              <w:right w:val="nil"/>
            </w:tcBorders>
            <w:shd w:val="clear" w:color="auto" w:fill="auto"/>
            <w:vAlign w:val="bottom"/>
            <w:hideMark/>
          </w:tcPr>
          <w:p w14:paraId="43B77815" w14:textId="075235E0" w:rsidR="000C0F10" w:rsidRPr="004B6536" w:rsidRDefault="000C0F10" w:rsidP="000C0F10">
            <w:pPr>
              <w:spacing w:after="0" w:line="240" w:lineRule="auto"/>
              <w:jc w:val="center"/>
              <w:rPr>
                <w:rFonts w:ascii="Arial" w:hAnsi="Arial" w:cs="Arial"/>
                <w:sz w:val="16"/>
                <w:szCs w:val="16"/>
              </w:rPr>
            </w:pPr>
            <w:r w:rsidRPr="004B6536">
              <w:rPr>
                <w:rFonts w:ascii="Arial" w:hAnsi="Arial" w:cs="Arial"/>
                <w:sz w:val="16"/>
                <w:szCs w:val="16"/>
              </w:rPr>
              <w:t xml:space="preserve"> Variation to </w:t>
            </w:r>
            <w:r w:rsidR="006170B3">
              <w:rPr>
                <w:rFonts w:ascii="Arial" w:hAnsi="Arial" w:cs="Arial"/>
                <w:sz w:val="16"/>
                <w:szCs w:val="16"/>
              </w:rPr>
              <w:t>EC</w:t>
            </w:r>
            <w:r w:rsidR="00542DCF">
              <w:rPr>
                <w:rFonts w:ascii="Arial" w:hAnsi="Arial" w:cs="Arial"/>
                <w:sz w:val="16"/>
                <w:szCs w:val="16"/>
              </w:rPr>
              <w:t xml:space="preserve"> (a)</w:t>
            </w:r>
          </w:p>
        </w:tc>
        <w:tc>
          <w:tcPr>
            <w:tcW w:w="98" w:type="pct"/>
            <w:gridSpan w:val="2"/>
            <w:tcBorders>
              <w:top w:val="single" w:sz="4" w:space="0" w:color="000000"/>
              <w:left w:val="nil"/>
              <w:bottom w:val="single" w:sz="4" w:space="0" w:color="000000"/>
              <w:right w:val="nil"/>
            </w:tcBorders>
            <w:shd w:val="clear" w:color="auto" w:fill="auto"/>
            <w:vAlign w:val="bottom"/>
            <w:hideMark/>
          </w:tcPr>
          <w:p w14:paraId="70868C87" w14:textId="77777777" w:rsidR="000C0F10" w:rsidRPr="004B6536" w:rsidRDefault="000C0F10" w:rsidP="000C0F10">
            <w:pPr>
              <w:spacing w:after="0" w:line="240" w:lineRule="auto"/>
              <w:jc w:val="center"/>
              <w:rPr>
                <w:rFonts w:ascii="Arial" w:hAnsi="Arial" w:cs="Arial"/>
                <w:sz w:val="16"/>
                <w:szCs w:val="16"/>
              </w:rPr>
            </w:pPr>
            <w:r w:rsidRPr="004B6536">
              <w:rPr>
                <w:rFonts w:ascii="Arial" w:hAnsi="Arial" w:cs="Arial"/>
                <w:sz w:val="16"/>
                <w:szCs w:val="16"/>
              </w:rPr>
              <w:t> </w:t>
            </w:r>
          </w:p>
        </w:tc>
        <w:tc>
          <w:tcPr>
            <w:tcW w:w="1434" w:type="pct"/>
            <w:gridSpan w:val="8"/>
            <w:tcBorders>
              <w:top w:val="single" w:sz="4" w:space="0" w:color="000000"/>
              <w:left w:val="nil"/>
              <w:bottom w:val="single" w:sz="4" w:space="0" w:color="000000"/>
              <w:right w:val="nil"/>
            </w:tcBorders>
            <w:shd w:val="clear" w:color="auto" w:fill="auto"/>
            <w:vAlign w:val="bottom"/>
            <w:hideMark/>
          </w:tcPr>
          <w:p w14:paraId="74C9FB25" w14:textId="2B0BE91E" w:rsidR="000C0F10" w:rsidRPr="004B6536" w:rsidRDefault="000C0F10" w:rsidP="000C0F10">
            <w:pPr>
              <w:spacing w:after="0" w:line="240" w:lineRule="auto"/>
              <w:jc w:val="center"/>
              <w:rPr>
                <w:rFonts w:ascii="Arial" w:hAnsi="Arial" w:cs="Arial"/>
                <w:sz w:val="16"/>
                <w:szCs w:val="16"/>
              </w:rPr>
            </w:pPr>
            <w:r w:rsidRPr="004B6536">
              <w:rPr>
                <w:rFonts w:ascii="Arial" w:hAnsi="Arial" w:cs="Arial"/>
                <w:sz w:val="16"/>
                <w:szCs w:val="16"/>
              </w:rPr>
              <w:t xml:space="preserve"> Variation to Land </w:t>
            </w:r>
            <w:r w:rsidR="0048602D">
              <w:rPr>
                <w:rFonts w:ascii="Arial" w:hAnsi="Arial" w:cs="Arial"/>
                <w:sz w:val="16"/>
                <w:szCs w:val="16"/>
              </w:rPr>
              <w:t>EC</w:t>
            </w:r>
            <w:r w:rsidR="00542DCF">
              <w:rPr>
                <w:rFonts w:ascii="Arial" w:hAnsi="Arial" w:cs="Arial"/>
                <w:sz w:val="16"/>
                <w:szCs w:val="16"/>
              </w:rPr>
              <w:t xml:space="preserve"> (b)</w:t>
            </w:r>
          </w:p>
        </w:tc>
        <w:tc>
          <w:tcPr>
            <w:tcW w:w="98" w:type="pct"/>
            <w:gridSpan w:val="2"/>
            <w:tcBorders>
              <w:top w:val="single" w:sz="4" w:space="0" w:color="000000"/>
              <w:left w:val="nil"/>
              <w:bottom w:val="single" w:sz="4" w:space="0" w:color="000000"/>
              <w:right w:val="nil"/>
            </w:tcBorders>
            <w:shd w:val="clear" w:color="auto" w:fill="auto"/>
            <w:vAlign w:val="bottom"/>
            <w:hideMark/>
          </w:tcPr>
          <w:p w14:paraId="03B4AE0F" w14:textId="77777777" w:rsidR="000C0F10" w:rsidRPr="004B6536" w:rsidRDefault="000C0F10" w:rsidP="000C0F10">
            <w:pPr>
              <w:spacing w:after="0" w:line="240" w:lineRule="auto"/>
              <w:jc w:val="center"/>
              <w:rPr>
                <w:rFonts w:ascii="Calibri" w:hAnsi="Calibri" w:cs="Calibri"/>
                <w:sz w:val="22"/>
                <w:szCs w:val="22"/>
              </w:rPr>
            </w:pPr>
            <w:r w:rsidRPr="004B6536">
              <w:rPr>
                <w:rFonts w:ascii="Calibri" w:hAnsi="Calibri" w:cs="Calibri"/>
                <w:sz w:val="22"/>
                <w:szCs w:val="22"/>
              </w:rPr>
              <w:t> </w:t>
            </w:r>
          </w:p>
        </w:tc>
        <w:tc>
          <w:tcPr>
            <w:tcW w:w="662" w:type="pct"/>
            <w:gridSpan w:val="4"/>
            <w:tcBorders>
              <w:top w:val="single" w:sz="4" w:space="0" w:color="000000"/>
              <w:left w:val="nil"/>
              <w:bottom w:val="single" w:sz="4" w:space="0" w:color="000000"/>
              <w:right w:val="nil"/>
            </w:tcBorders>
            <w:shd w:val="clear" w:color="auto" w:fill="auto"/>
            <w:vAlign w:val="bottom"/>
            <w:hideMark/>
          </w:tcPr>
          <w:p w14:paraId="4586336A" w14:textId="7D66563D" w:rsidR="000C0F10" w:rsidRPr="004B6536" w:rsidRDefault="000C0F10" w:rsidP="000C0F10">
            <w:pPr>
              <w:spacing w:after="0" w:line="240" w:lineRule="auto"/>
              <w:jc w:val="center"/>
              <w:rPr>
                <w:rFonts w:ascii="Arial" w:hAnsi="Arial" w:cs="Arial"/>
                <w:sz w:val="16"/>
                <w:szCs w:val="16"/>
              </w:rPr>
            </w:pPr>
            <w:r w:rsidRPr="004B6536">
              <w:rPr>
                <w:rFonts w:ascii="Arial" w:hAnsi="Arial" w:cs="Arial"/>
                <w:sz w:val="16"/>
                <w:szCs w:val="16"/>
              </w:rPr>
              <w:t xml:space="preserve"> Variation to Other approval</w:t>
            </w:r>
          </w:p>
        </w:tc>
        <w:tc>
          <w:tcPr>
            <w:tcW w:w="100" w:type="pct"/>
            <w:gridSpan w:val="2"/>
            <w:tcBorders>
              <w:top w:val="single" w:sz="4" w:space="0" w:color="000000"/>
              <w:left w:val="nil"/>
              <w:bottom w:val="single" w:sz="4" w:space="0" w:color="000000"/>
              <w:right w:val="nil"/>
            </w:tcBorders>
            <w:shd w:val="clear" w:color="auto" w:fill="auto"/>
            <w:vAlign w:val="bottom"/>
            <w:hideMark/>
          </w:tcPr>
          <w:p w14:paraId="486F4BAA" w14:textId="77777777" w:rsidR="000C0F10" w:rsidRPr="004B6536" w:rsidRDefault="000C0F10" w:rsidP="000C0F10">
            <w:pPr>
              <w:spacing w:after="0" w:line="240" w:lineRule="auto"/>
              <w:jc w:val="center"/>
              <w:rPr>
                <w:rFonts w:ascii="Calibri" w:hAnsi="Calibri" w:cs="Calibri"/>
                <w:sz w:val="22"/>
                <w:szCs w:val="22"/>
              </w:rPr>
            </w:pPr>
            <w:r w:rsidRPr="004B6536">
              <w:rPr>
                <w:rFonts w:ascii="Calibri" w:hAnsi="Calibri" w:cs="Calibri"/>
                <w:sz w:val="22"/>
                <w:szCs w:val="22"/>
              </w:rPr>
              <w:t> </w:t>
            </w:r>
          </w:p>
        </w:tc>
        <w:tc>
          <w:tcPr>
            <w:tcW w:w="616" w:type="pct"/>
            <w:gridSpan w:val="3"/>
            <w:tcBorders>
              <w:top w:val="single" w:sz="4" w:space="0" w:color="000000"/>
              <w:left w:val="nil"/>
              <w:bottom w:val="single" w:sz="4" w:space="0" w:color="000000"/>
              <w:right w:val="nil"/>
            </w:tcBorders>
            <w:shd w:val="clear" w:color="auto" w:fill="auto"/>
            <w:vAlign w:val="bottom"/>
            <w:hideMark/>
          </w:tcPr>
          <w:p w14:paraId="70B690A5" w14:textId="2315717C" w:rsidR="000C0F10" w:rsidRPr="00DC0FCA" w:rsidRDefault="000C0F10" w:rsidP="000C0F10">
            <w:pPr>
              <w:spacing w:after="0" w:line="240" w:lineRule="auto"/>
              <w:jc w:val="center"/>
              <w:rPr>
                <w:rFonts w:ascii="Arial" w:hAnsi="Arial" w:cs="Arial"/>
                <w:b/>
                <w:bCs/>
                <w:sz w:val="16"/>
                <w:szCs w:val="16"/>
              </w:rPr>
            </w:pPr>
            <w:r w:rsidRPr="00DC0FCA">
              <w:rPr>
                <w:rFonts w:ascii="Arial" w:hAnsi="Arial" w:cs="Arial"/>
                <w:b/>
                <w:bCs/>
                <w:sz w:val="16"/>
                <w:szCs w:val="16"/>
              </w:rPr>
              <w:t xml:space="preserve"> Total variations </w:t>
            </w:r>
          </w:p>
        </w:tc>
      </w:tr>
      <w:tr w:rsidR="00DC0FCA" w:rsidRPr="00DC0FCA" w14:paraId="11934C57" w14:textId="77777777" w:rsidTr="008F29F0">
        <w:trPr>
          <w:gridAfter w:val="1"/>
          <w:wAfter w:w="7" w:type="pct"/>
          <w:trHeight w:val="300"/>
        </w:trPr>
        <w:tc>
          <w:tcPr>
            <w:tcW w:w="586" w:type="pct"/>
            <w:tcBorders>
              <w:top w:val="nil"/>
              <w:left w:val="nil"/>
              <w:bottom w:val="nil"/>
              <w:right w:val="nil"/>
            </w:tcBorders>
            <w:shd w:val="clear" w:color="000000" w:fill="FFFFFF"/>
            <w:noWrap/>
            <w:vAlign w:val="center"/>
            <w:hideMark/>
          </w:tcPr>
          <w:p w14:paraId="4968DAD8" w14:textId="77777777" w:rsidR="000C0F10" w:rsidRPr="004B6536" w:rsidRDefault="000C0F10" w:rsidP="000C0F10">
            <w:pPr>
              <w:spacing w:after="0" w:line="240" w:lineRule="auto"/>
              <w:rPr>
                <w:rFonts w:ascii="Arial" w:hAnsi="Arial" w:cs="Arial"/>
                <w:sz w:val="16"/>
                <w:szCs w:val="16"/>
              </w:rPr>
            </w:pPr>
            <w:r w:rsidRPr="004B6536">
              <w:rPr>
                <w:rFonts w:ascii="Arial" w:hAnsi="Arial" w:cs="Arial"/>
                <w:sz w:val="16"/>
                <w:szCs w:val="16"/>
              </w:rPr>
              <w:t> </w:t>
            </w:r>
          </w:p>
        </w:tc>
        <w:tc>
          <w:tcPr>
            <w:tcW w:w="632" w:type="pct"/>
            <w:gridSpan w:val="3"/>
            <w:tcBorders>
              <w:top w:val="single" w:sz="4" w:space="0" w:color="000000"/>
              <w:left w:val="nil"/>
              <w:bottom w:val="single" w:sz="4" w:space="0" w:color="000000"/>
              <w:right w:val="nil"/>
            </w:tcBorders>
            <w:shd w:val="clear" w:color="auto" w:fill="auto"/>
            <w:vAlign w:val="bottom"/>
            <w:hideMark/>
          </w:tcPr>
          <w:p w14:paraId="56A07B51" w14:textId="0F926804" w:rsidR="000C0F10" w:rsidRPr="004B6536" w:rsidRDefault="000C0F10" w:rsidP="000C0F10">
            <w:pPr>
              <w:spacing w:after="0" w:line="240" w:lineRule="auto"/>
              <w:jc w:val="center"/>
              <w:rPr>
                <w:rFonts w:ascii="Arial" w:hAnsi="Arial" w:cs="Arial"/>
                <w:sz w:val="16"/>
                <w:szCs w:val="16"/>
              </w:rPr>
            </w:pPr>
            <w:r w:rsidRPr="004B6536">
              <w:rPr>
                <w:rFonts w:ascii="Arial" w:hAnsi="Arial" w:cs="Arial"/>
                <w:sz w:val="16"/>
                <w:szCs w:val="16"/>
              </w:rPr>
              <w:t xml:space="preserve"> Acquisition program certificate  </w:t>
            </w:r>
          </w:p>
        </w:tc>
        <w:tc>
          <w:tcPr>
            <w:tcW w:w="103" w:type="pct"/>
            <w:gridSpan w:val="2"/>
            <w:tcBorders>
              <w:top w:val="nil"/>
              <w:left w:val="nil"/>
              <w:bottom w:val="nil"/>
              <w:right w:val="nil"/>
            </w:tcBorders>
            <w:shd w:val="clear" w:color="auto" w:fill="auto"/>
            <w:vAlign w:val="bottom"/>
            <w:hideMark/>
          </w:tcPr>
          <w:p w14:paraId="65A7AD03" w14:textId="77777777" w:rsidR="000C0F10" w:rsidRPr="004B6536" w:rsidRDefault="000C0F10" w:rsidP="000C0F10">
            <w:pPr>
              <w:spacing w:after="0" w:line="240" w:lineRule="auto"/>
              <w:jc w:val="center"/>
              <w:rPr>
                <w:rFonts w:ascii="Calibri" w:hAnsi="Calibri" w:cs="Calibri"/>
                <w:sz w:val="22"/>
                <w:szCs w:val="22"/>
              </w:rPr>
            </w:pPr>
            <w:r w:rsidRPr="004B6536">
              <w:rPr>
                <w:rFonts w:ascii="Calibri" w:hAnsi="Calibri" w:cs="Calibri"/>
                <w:sz w:val="22"/>
                <w:szCs w:val="22"/>
              </w:rPr>
              <w:t> </w:t>
            </w:r>
          </w:p>
        </w:tc>
        <w:tc>
          <w:tcPr>
            <w:tcW w:w="663" w:type="pct"/>
            <w:gridSpan w:val="3"/>
            <w:tcBorders>
              <w:top w:val="single" w:sz="4" w:space="0" w:color="000000"/>
              <w:left w:val="nil"/>
              <w:bottom w:val="single" w:sz="4" w:space="0" w:color="000000"/>
              <w:right w:val="nil"/>
            </w:tcBorders>
            <w:shd w:val="clear" w:color="auto" w:fill="auto"/>
            <w:vAlign w:val="bottom"/>
            <w:hideMark/>
          </w:tcPr>
          <w:p w14:paraId="6CA53D14" w14:textId="6219E8E9" w:rsidR="000C0F10" w:rsidRPr="004B6536" w:rsidRDefault="000C0F10" w:rsidP="000C0F10">
            <w:pPr>
              <w:spacing w:after="0" w:line="240" w:lineRule="auto"/>
              <w:jc w:val="center"/>
              <w:rPr>
                <w:rFonts w:ascii="Arial" w:hAnsi="Arial" w:cs="Arial"/>
                <w:sz w:val="16"/>
                <w:szCs w:val="16"/>
              </w:rPr>
            </w:pPr>
            <w:r w:rsidRPr="004B6536">
              <w:rPr>
                <w:rFonts w:ascii="Arial" w:hAnsi="Arial" w:cs="Arial"/>
                <w:sz w:val="16"/>
                <w:szCs w:val="16"/>
              </w:rPr>
              <w:t xml:space="preserve"> New </w:t>
            </w:r>
            <w:r w:rsidR="00B63F32">
              <w:rPr>
                <w:rFonts w:ascii="Arial" w:hAnsi="Arial" w:cs="Arial"/>
                <w:sz w:val="16"/>
                <w:szCs w:val="16"/>
              </w:rPr>
              <w:t>D</w:t>
            </w:r>
            <w:r w:rsidRPr="004B6536">
              <w:rPr>
                <w:rFonts w:ascii="Arial" w:hAnsi="Arial" w:cs="Arial"/>
                <w:sz w:val="16"/>
                <w:szCs w:val="16"/>
              </w:rPr>
              <w:t xml:space="preserve">welling </w:t>
            </w:r>
            <w:r w:rsidR="00B63F32">
              <w:rPr>
                <w:rFonts w:ascii="Arial" w:hAnsi="Arial" w:cs="Arial"/>
                <w:sz w:val="16"/>
                <w:szCs w:val="16"/>
              </w:rPr>
              <w:t>EC</w:t>
            </w:r>
          </w:p>
        </w:tc>
        <w:tc>
          <w:tcPr>
            <w:tcW w:w="98" w:type="pct"/>
            <w:gridSpan w:val="2"/>
            <w:tcBorders>
              <w:top w:val="nil"/>
              <w:left w:val="nil"/>
              <w:bottom w:val="nil"/>
              <w:right w:val="nil"/>
            </w:tcBorders>
            <w:shd w:val="clear" w:color="auto" w:fill="auto"/>
            <w:vAlign w:val="bottom"/>
            <w:hideMark/>
          </w:tcPr>
          <w:p w14:paraId="1A25252C" w14:textId="77777777" w:rsidR="000C0F10" w:rsidRPr="004B6536" w:rsidRDefault="000C0F10" w:rsidP="000C0F10">
            <w:pPr>
              <w:spacing w:after="0" w:line="240" w:lineRule="auto"/>
              <w:jc w:val="center"/>
              <w:rPr>
                <w:rFonts w:ascii="Calibri" w:hAnsi="Calibri" w:cs="Calibri"/>
                <w:sz w:val="22"/>
                <w:szCs w:val="22"/>
              </w:rPr>
            </w:pPr>
            <w:r w:rsidRPr="004B6536">
              <w:rPr>
                <w:rFonts w:ascii="Calibri" w:hAnsi="Calibri" w:cs="Calibri"/>
                <w:sz w:val="22"/>
                <w:szCs w:val="22"/>
              </w:rPr>
              <w:t> </w:t>
            </w:r>
          </w:p>
        </w:tc>
        <w:tc>
          <w:tcPr>
            <w:tcW w:w="672" w:type="pct"/>
            <w:gridSpan w:val="3"/>
            <w:tcBorders>
              <w:top w:val="single" w:sz="4" w:space="0" w:color="000000"/>
              <w:left w:val="nil"/>
              <w:bottom w:val="single" w:sz="4" w:space="0" w:color="000000"/>
              <w:right w:val="nil"/>
            </w:tcBorders>
            <w:shd w:val="clear" w:color="auto" w:fill="auto"/>
            <w:vAlign w:val="bottom"/>
            <w:hideMark/>
          </w:tcPr>
          <w:p w14:paraId="1E0FDB09" w14:textId="76821068" w:rsidR="000C0F10" w:rsidRPr="004B6536" w:rsidRDefault="000C0F10" w:rsidP="000C0F10">
            <w:pPr>
              <w:spacing w:after="0" w:line="240" w:lineRule="auto"/>
              <w:jc w:val="center"/>
              <w:rPr>
                <w:rFonts w:ascii="Arial" w:hAnsi="Arial" w:cs="Arial"/>
                <w:sz w:val="16"/>
                <w:szCs w:val="16"/>
              </w:rPr>
            </w:pPr>
            <w:r w:rsidRPr="004B6536">
              <w:rPr>
                <w:rFonts w:ascii="Arial" w:hAnsi="Arial" w:cs="Arial"/>
                <w:sz w:val="16"/>
                <w:szCs w:val="16"/>
              </w:rPr>
              <w:t xml:space="preserve"> Residential</w:t>
            </w:r>
          </w:p>
        </w:tc>
        <w:tc>
          <w:tcPr>
            <w:tcW w:w="117" w:type="pct"/>
            <w:gridSpan w:val="2"/>
            <w:tcBorders>
              <w:top w:val="nil"/>
              <w:left w:val="nil"/>
              <w:bottom w:val="nil"/>
              <w:right w:val="nil"/>
            </w:tcBorders>
            <w:shd w:val="clear" w:color="auto" w:fill="auto"/>
            <w:vAlign w:val="bottom"/>
            <w:hideMark/>
          </w:tcPr>
          <w:p w14:paraId="615297C6" w14:textId="77777777" w:rsidR="000C0F10" w:rsidRPr="004B6536" w:rsidRDefault="000C0F10" w:rsidP="000C0F10">
            <w:pPr>
              <w:spacing w:after="0" w:line="240" w:lineRule="auto"/>
              <w:jc w:val="center"/>
              <w:rPr>
                <w:rFonts w:ascii="Calibri" w:hAnsi="Calibri" w:cs="Calibri"/>
                <w:sz w:val="22"/>
                <w:szCs w:val="22"/>
              </w:rPr>
            </w:pPr>
            <w:r w:rsidRPr="004B6536">
              <w:rPr>
                <w:rFonts w:ascii="Calibri" w:hAnsi="Calibri" w:cs="Calibri"/>
                <w:sz w:val="22"/>
                <w:szCs w:val="22"/>
              </w:rPr>
              <w:t> </w:t>
            </w:r>
          </w:p>
        </w:tc>
        <w:tc>
          <w:tcPr>
            <w:tcW w:w="646" w:type="pct"/>
            <w:gridSpan w:val="3"/>
            <w:tcBorders>
              <w:top w:val="single" w:sz="4" w:space="0" w:color="000000"/>
              <w:left w:val="nil"/>
              <w:bottom w:val="single" w:sz="4" w:space="0" w:color="000000"/>
              <w:right w:val="nil"/>
            </w:tcBorders>
            <w:shd w:val="clear" w:color="auto" w:fill="auto"/>
            <w:vAlign w:val="bottom"/>
            <w:hideMark/>
          </w:tcPr>
          <w:p w14:paraId="389566EA" w14:textId="74387AC0" w:rsidR="000C0F10" w:rsidRPr="004B6536" w:rsidRDefault="000C0F10" w:rsidP="000C0F10">
            <w:pPr>
              <w:spacing w:after="0" w:line="240" w:lineRule="auto"/>
              <w:jc w:val="center"/>
              <w:rPr>
                <w:rFonts w:ascii="Arial" w:hAnsi="Arial" w:cs="Arial"/>
                <w:sz w:val="16"/>
                <w:szCs w:val="16"/>
              </w:rPr>
            </w:pPr>
            <w:r w:rsidRPr="004B6536">
              <w:rPr>
                <w:rFonts w:ascii="Arial" w:hAnsi="Arial" w:cs="Arial"/>
                <w:sz w:val="16"/>
                <w:szCs w:val="16"/>
              </w:rPr>
              <w:t xml:space="preserve"> Other</w:t>
            </w:r>
          </w:p>
        </w:tc>
        <w:tc>
          <w:tcPr>
            <w:tcW w:w="98" w:type="pct"/>
            <w:gridSpan w:val="2"/>
            <w:tcBorders>
              <w:top w:val="nil"/>
              <w:left w:val="nil"/>
              <w:bottom w:val="nil"/>
              <w:right w:val="nil"/>
            </w:tcBorders>
            <w:shd w:val="clear" w:color="auto" w:fill="auto"/>
            <w:vAlign w:val="bottom"/>
            <w:hideMark/>
          </w:tcPr>
          <w:p w14:paraId="5699ECA2" w14:textId="77777777" w:rsidR="000C0F10" w:rsidRPr="004B6536" w:rsidRDefault="000C0F10" w:rsidP="000C0F10">
            <w:pPr>
              <w:spacing w:after="0" w:line="240" w:lineRule="auto"/>
              <w:jc w:val="center"/>
              <w:rPr>
                <w:rFonts w:ascii="Calibri" w:hAnsi="Calibri" w:cs="Calibri"/>
                <w:sz w:val="22"/>
                <w:szCs w:val="22"/>
              </w:rPr>
            </w:pPr>
            <w:r w:rsidRPr="004B6536">
              <w:rPr>
                <w:rFonts w:ascii="Calibri" w:hAnsi="Calibri" w:cs="Calibri"/>
                <w:sz w:val="22"/>
                <w:szCs w:val="22"/>
              </w:rPr>
              <w:t> </w:t>
            </w:r>
          </w:p>
        </w:tc>
        <w:tc>
          <w:tcPr>
            <w:tcW w:w="418" w:type="pct"/>
            <w:gridSpan w:val="2"/>
            <w:tcBorders>
              <w:top w:val="nil"/>
              <w:left w:val="nil"/>
              <w:bottom w:val="nil"/>
              <w:right w:val="nil"/>
            </w:tcBorders>
            <w:shd w:val="clear" w:color="auto" w:fill="auto"/>
            <w:vAlign w:val="bottom"/>
            <w:hideMark/>
          </w:tcPr>
          <w:p w14:paraId="6A17E395" w14:textId="77777777" w:rsidR="000C0F10" w:rsidRPr="004B6536" w:rsidRDefault="000C0F10" w:rsidP="000C0F10">
            <w:pPr>
              <w:spacing w:after="0" w:line="240" w:lineRule="auto"/>
              <w:jc w:val="center"/>
              <w:rPr>
                <w:rFonts w:ascii="Arial" w:hAnsi="Arial" w:cs="Arial"/>
                <w:sz w:val="16"/>
                <w:szCs w:val="16"/>
              </w:rPr>
            </w:pPr>
            <w:r w:rsidRPr="004B6536">
              <w:rPr>
                <w:rFonts w:ascii="Arial" w:hAnsi="Arial" w:cs="Arial"/>
                <w:sz w:val="16"/>
                <w:szCs w:val="16"/>
              </w:rPr>
              <w:t> </w:t>
            </w:r>
          </w:p>
        </w:tc>
        <w:tc>
          <w:tcPr>
            <w:tcW w:w="244" w:type="pct"/>
            <w:gridSpan w:val="2"/>
            <w:tcBorders>
              <w:top w:val="nil"/>
              <w:left w:val="nil"/>
              <w:bottom w:val="nil"/>
              <w:right w:val="nil"/>
            </w:tcBorders>
            <w:shd w:val="clear" w:color="auto" w:fill="auto"/>
            <w:vAlign w:val="bottom"/>
            <w:hideMark/>
          </w:tcPr>
          <w:p w14:paraId="3182B813" w14:textId="77777777" w:rsidR="000C0F10" w:rsidRPr="004B6536" w:rsidRDefault="000C0F10" w:rsidP="000C0F10">
            <w:pPr>
              <w:spacing w:after="0" w:line="240" w:lineRule="auto"/>
              <w:jc w:val="center"/>
              <w:rPr>
                <w:rFonts w:ascii="Calibri" w:hAnsi="Calibri" w:cs="Calibri"/>
                <w:sz w:val="22"/>
                <w:szCs w:val="22"/>
              </w:rPr>
            </w:pPr>
            <w:r w:rsidRPr="004B6536">
              <w:rPr>
                <w:rFonts w:ascii="Calibri" w:hAnsi="Calibri" w:cs="Calibri"/>
                <w:sz w:val="22"/>
                <w:szCs w:val="22"/>
              </w:rPr>
              <w:t> </w:t>
            </w:r>
          </w:p>
        </w:tc>
        <w:tc>
          <w:tcPr>
            <w:tcW w:w="100" w:type="pct"/>
            <w:gridSpan w:val="2"/>
            <w:tcBorders>
              <w:top w:val="nil"/>
              <w:left w:val="nil"/>
              <w:bottom w:val="nil"/>
              <w:right w:val="nil"/>
            </w:tcBorders>
            <w:shd w:val="clear" w:color="auto" w:fill="auto"/>
            <w:vAlign w:val="bottom"/>
            <w:hideMark/>
          </w:tcPr>
          <w:p w14:paraId="7EDC8EC9" w14:textId="77777777" w:rsidR="000C0F10" w:rsidRPr="004B6536" w:rsidRDefault="000C0F10" w:rsidP="000C0F10">
            <w:pPr>
              <w:spacing w:after="0" w:line="240" w:lineRule="auto"/>
              <w:jc w:val="center"/>
              <w:rPr>
                <w:rFonts w:ascii="Calibri" w:hAnsi="Calibri" w:cs="Calibri"/>
                <w:sz w:val="22"/>
                <w:szCs w:val="22"/>
              </w:rPr>
            </w:pPr>
            <w:r w:rsidRPr="004B6536">
              <w:rPr>
                <w:rFonts w:ascii="Calibri" w:hAnsi="Calibri" w:cs="Calibri"/>
                <w:sz w:val="22"/>
                <w:szCs w:val="22"/>
              </w:rPr>
              <w:t> </w:t>
            </w:r>
          </w:p>
        </w:tc>
        <w:tc>
          <w:tcPr>
            <w:tcW w:w="256" w:type="pct"/>
            <w:tcBorders>
              <w:top w:val="nil"/>
              <w:left w:val="nil"/>
              <w:bottom w:val="nil"/>
              <w:right w:val="nil"/>
            </w:tcBorders>
            <w:shd w:val="clear" w:color="auto" w:fill="auto"/>
            <w:vAlign w:val="bottom"/>
            <w:hideMark/>
          </w:tcPr>
          <w:p w14:paraId="6E5EA5B6" w14:textId="77777777" w:rsidR="000C0F10" w:rsidRPr="00DC0FCA" w:rsidRDefault="000C0F10" w:rsidP="000C0F10">
            <w:pPr>
              <w:spacing w:after="0" w:line="240" w:lineRule="auto"/>
              <w:jc w:val="center"/>
              <w:rPr>
                <w:rFonts w:ascii="Arial" w:hAnsi="Arial" w:cs="Arial"/>
                <w:b/>
                <w:bCs/>
                <w:sz w:val="16"/>
                <w:szCs w:val="16"/>
              </w:rPr>
            </w:pPr>
            <w:r w:rsidRPr="00DC0FCA">
              <w:rPr>
                <w:rFonts w:ascii="Arial" w:hAnsi="Arial" w:cs="Arial"/>
                <w:b/>
                <w:bCs/>
                <w:sz w:val="16"/>
                <w:szCs w:val="16"/>
              </w:rPr>
              <w:t> </w:t>
            </w:r>
          </w:p>
        </w:tc>
        <w:tc>
          <w:tcPr>
            <w:tcW w:w="360" w:type="pct"/>
            <w:gridSpan w:val="2"/>
            <w:tcBorders>
              <w:top w:val="nil"/>
              <w:left w:val="nil"/>
              <w:bottom w:val="nil"/>
              <w:right w:val="nil"/>
            </w:tcBorders>
            <w:shd w:val="clear" w:color="auto" w:fill="auto"/>
            <w:vAlign w:val="bottom"/>
            <w:hideMark/>
          </w:tcPr>
          <w:p w14:paraId="40081826" w14:textId="77777777" w:rsidR="000C0F10" w:rsidRPr="00DC0FCA" w:rsidRDefault="000C0F10" w:rsidP="000C0F10">
            <w:pPr>
              <w:spacing w:after="0" w:line="240" w:lineRule="auto"/>
              <w:jc w:val="center"/>
              <w:rPr>
                <w:rFonts w:ascii="Calibri" w:hAnsi="Calibri" w:cs="Calibri"/>
                <w:b/>
                <w:bCs/>
                <w:sz w:val="22"/>
                <w:szCs w:val="22"/>
              </w:rPr>
            </w:pPr>
            <w:r w:rsidRPr="00DC0FCA">
              <w:rPr>
                <w:rFonts w:ascii="Calibri" w:hAnsi="Calibri" w:cs="Calibri"/>
                <w:b/>
                <w:bCs/>
                <w:sz w:val="22"/>
                <w:szCs w:val="22"/>
              </w:rPr>
              <w:t> </w:t>
            </w:r>
          </w:p>
        </w:tc>
      </w:tr>
      <w:tr w:rsidR="00DC0FCA" w:rsidRPr="004B6536" w14:paraId="1C432C5F" w14:textId="77777777" w:rsidTr="00C53067">
        <w:trPr>
          <w:trHeight w:val="238"/>
        </w:trPr>
        <w:tc>
          <w:tcPr>
            <w:tcW w:w="586" w:type="pct"/>
            <w:tcBorders>
              <w:top w:val="nil"/>
              <w:left w:val="nil"/>
              <w:bottom w:val="nil"/>
              <w:right w:val="nil"/>
            </w:tcBorders>
            <w:shd w:val="clear" w:color="000000" w:fill="FFFFFF"/>
            <w:noWrap/>
            <w:vAlign w:val="center"/>
            <w:hideMark/>
          </w:tcPr>
          <w:p w14:paraId="5AE4539C" w14:textId="77777777" w:rsidR="000C0F10" w:rsidRPr="004B6536" w:rsidRDefault="000C0F10" w:rsidP="000C0F10">
            <w:pPr>
              <w:spacing w:after="0" w:line="240" w:lineRule="auto"/>
              <w:rPr>
                <w:rFonts w:ascii="Arial" w:hAnsi="Arial" w:cs="Arial"/>
                <w:sz w:val="16"/>
                <w:szCs w:val="16"/>
              </w:rPr>
            </w:pPr>
            <w:r w:rsidRPr="004B6536">
              <w:rPr>
                <w:rFonts w:ascii="Arial" w:hAnsi="Arial" w:cs="Arial"/>
                <w:sz w:val="16"/>
                <w:szCs w:val="16"/>
              </w:rPr>
              <w:t> </w:t>
            </w:r>
          </w:p>
        </w:tc>
        <w:tc>
          <w:tcPr>
            <w:tcW w:w="276" w:type="pct"/>
            <w:tcBorders>
              <w:top w:val="nil"/>
              <w:left w:val="nil"/>
              <w:bottom w:val="nil"/>
              <w:right w:val="nil"/>
            </w:tcBorders>
            <w:shd w:val="clear" w:color="auto" w:fill="auto"/>
            <w:noWrap/>
            <w:vAlign w:val="center"/>
            <w:hideMark/>
          </w:tcPr>
          <w:p w14:paraId="046875BF" w14:textId="5FC2221B" w:rsidR="000C0F10" w:rsidRPr="004B6536" w:rsidRDefault="00D76ED2" w:rsidP="00DC0FCA">
            <w:pPr>
              <w:spacing w:after="0" w:line="240" w:lineRule="auto"/>
              <w:rPr>
                <w:rFonts w:ascii="Arial" w:hAnsi="Arial" w:cs="Arial"/>
                <w:sz w:val="16"/>
                <w:szCs w:val="16"/>
              </w:rPr>
            </w:pPr>
            <w:r>
              <w:rPr>
                <w:rFonts w:ascii="Arial" w:hAnsi="Arial" w:cs="Arial"/>
                <w:sz w:val="16"/>
                <w:szCs w:val="16"/>
              </w:rPr>
              <w:t>2019</w:t>
            </w:r>
            <w:r>
              <w:rPr>
                <w:rFonts w:ascii="Arial" w:hAnsi="Arial" w:cs="Arial"/>
                <w:sz w:val="16"/>
                <w:szCs w:val="16"/>
              </w:rPr>
              <w:noBreakHyphen/>
              <w:t>20</w:t>
            </w:r>
            <w:r w:rsidR="000C0F10" w:rsidRPr="004B6536">
              <w:rPr>
                <w:rFonts w:ascii="Arial" w:hAnsi="Arial" w:cs="Arial"/>
                <w:sz w:val="16"/>
                <w:szCs w:val="16"/>
              </w:rPr>
              <w:t xml:space="preserve"> </w:t>
            </w:r>
          </w:p>
        </w:tc>
        <w:tc>
          <w:tcPr>
            <w:tcW w:w="338" w:type="pct"/>
            <w:tcBorders>
              <w:top w:val="nil"/>
              <w:left w:val="nil"/>
              <w:bottom w:val="nil"/>
              <w:right w:val="nil"/>
            </w:tcBorders>
            <w:shd w:val="clear" w:color="auto" w:fill="E1E8EB"/>
            <w:noWrap/>
            <w:vAlign w:val="center"/>
            <w:hideMark/>
          </w:tcPr>
          <w:p w14:paraId="3679CD58" w14:textId="17FA4DAF"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xml:space="preserve"> </w:t>
            </w:r>
            <w:r w:rsidR="00D76ED2">
              <w:rPr>
                <w:rFonts w:ascii="Arial" w:hAnsi="Arial" w:cs="Arial"/>
                <w:sz w:val="16"/>
                <w:szCs w:val="16"/>
              </w:rPr>
              <w:t>2020</w:t>
            </w:r>
            <w:r w:rsidR="00D76ED2">
              <w:rPr>
                <w:rFonts w:ascii="Arial" w:hAnsi="Arial" w:cs="Arial"/>
                <w:sz w:val="16"/>
                <w:szCs w:val="16"/>
              </w:rPr>
              <w:noBreakHyphen/>
              <w:t>21</w:t>
            </w:r>
            <w:r w:rsidRPr="004B6536">
              <w:rPr>
                <w:rFonts w:ascii="Arial" w:hAnsi="Arial" w:cs="Arial"/>
                <w:sz w:val="16"/>
                <w:szCs w:val="16"/>
              </w:rPr>
              <w:t xml:space="preserve"> </w:t>
            </w:r>
          </w:p>
        </w:tc>
        <w:tc>
          <w:tcPr>
            <w:tcW w:w="100" w:type="pct"/>
            <w:gridSpan w:val="2"/>
            <w:tcBorders>
              <w:top w:val="single" w:sz="4" w:space="0" w:color="000000"/>
              <w:left w:val="nil"/>
              <w:bottom w:val="nil"/>
              <w:right w:val="nil"/>
            </w:tcBorders>
            <w:shd w:val="clear" w:color="auto" w:fill="auto"/>
            <w:noWrap/>
            <w:vAlign w:val="center"/>
            <w:hideMark/>
          </w:tcPr>
          <w:p w14:paraId="79C78235" w14:textId="77777777"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w:t>
            </w:r>
          </w:p>
        </w:tc>
        <w:tc>
          <w:tcPr>
            <w:tcW w:w="329" w:type="pct"/>
            <w:gridSpan w:val="2"/>
            <w:tcBorders>
              <w:top w:val="nil"/>
              <w:left w:val="nil"/>
              <w:bottom w:val="nil"/>
              <w:right w:val="nil"/>
            </w:tcBorders>
            <w:shd w:val="clear" w:color="auto" w:fill="auto"/>
            <w:noWrap/>
            <w:vAlign w:val="center"/>
            <w:hideMark/>
          </w:tcPr>
          <w:p w14:paraId="75DB11E7" w14:textId="53B0AAC2"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xml:space="preserve"> </w:t>
            </w:r>
            <w:r w:rsidR="00D76ED2">
              <w:rPr>
                <w:rFonts w:ascii="Arial" w:hAnsi="Arial" w:cs="Arial"/>
                <w:sz w:val="16"/>
                <w:szCs w:val="16"/>
              </w:rPr>
              <w:t>2019</w:t>
            </w:r>
            <w:r w:rsidR="00D76ED2">
              <w:rPr>
                <w:rFonts w:ascii="Arial" w:hAnsi="Arial" w:cs="Arial"/>
                <w:sz w:val="16"/>
                <w:szCs w:val="16"/>
              </w:rPr>
              <w:noBreakHyphen/>
              <w:t>20</w:t>
            </w:r>
            <w:r w:rsidRPr="004B6536">
              <w:rPr>
                <w:rFonts w:ascii="Arial" w:hAnsi="Arial" w:cs="Arial"/>
                <w:sz w:val="16"/>
                <w:szCs w:val="16"/>
              </w:rPr>
              <w:t xml:space="preserve"> </w:t>
            </w:r>
          </w:p>
        </w:tc>
        <w:tc>
          <w:tcPr>
            <w:tcW w:w="329" w:type="pct"/>
            <w:tcBorders>
              <w:top w:val="nil"/>
              <w:left w:val="nil"/>
              <w:bottom w:val="nil"/>
              <w:right w:val="nil"/>
            </w:tcBorders>
            <w:shd w:val="clear" w:color="auto" w:fill="E1E8EB"/>
            <w:noWrap/>
            <w:vAlign w:val="center"/>
            <w:hideMark/>
          </w:tcPr>
          <w:p w14:paraId="704AC56C" w14:textId="5197E8B2"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xml:space="preserve"> </w:t>
            </w:r>
            <w:r w:rsidR="00D76ED2">
              <w:rPr>
                <w:rFonts w:ascii="Arial" w:hAnsi="Arial" w:cs="Arial"/>
                <w:sz w:val="16"/>
                <w:szCs w:val="16"/>
              </w:rPr>
              <w:t>2020</w:t>
            </w:r>
            <w:r w:rsidR="00D76ED2">
              <w:rPr>
                <w:rFonts w:ascii="Arial" w:hAnsi="Arial" w:cs="Arial"/>
                <w:sz w:val="16"/>
                <w:szCs w:val="16"/>
              </w:rPr>
              <w:noBreakHyphen/>
              <w:t>21</w:t>
            </w:r>
            <w:r w:rsidRPr="004B6536">
              <w:rPr>
                <w:rFonts w:ascii="Arial" w:hAnsi="Arial" w:cs="Arial"/>
                <w:sz w:val="16"/>
                <w:szCs w:val="16"/>
              </w:rPr>
              <w:t xml:space="preserve"> </w:t>
            </w:r>
          </w:p>
        </w:tc>
        <w:tc>
          <w:tcPr>
            <w:tcW w:w="99" w:type="pct"/>
            <w:gridSpan w:val="2"/>
            <w:tcBorders>
              <w:top w:val="single" w:sz="4" w:space="0" w:color="000000"/>
              <w:left w:val="nil"/>
              <w:bottom w:val="nil"/>
              <w:right w:val="nil"/>
            </w:tcBorders>
            <w:shd w:val="clear" w:color="auto" w:fill="auto"/>
            <w:noWrap/>
            <w:vAlign w:val="center"/>
            <w:hideMark/>
          </w:tcPr>
          <w:p w14:paraId="7F84BFD5" w14:textId="77777777"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w:t>
            </w:r>
          </w:p>
        </w:tc>
        <w:tc>
          <w:tcPr>
            <w:tcW w:w="328" w:type="pct"/>
            <w:gridSpan w:val="2"/>
            <w:tcBorders>
              <w:top w:val="nil"/>
              <w:left w:val="nil"/>
              <w:bottom w:val="nil"/>
              <w:right w:val="nil"/>
            </w:tcBorders>
            <w:shd w:val="clear" w:color="auto" w:fill="auto"/>
            <w:noWrap/>
            <w:vAlign w:val="center"/>
            <w:hideMark/>
          </w:tcPr>
          <w:p w14:paraId="22C05B79" w14:textId="2E75E9DD"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xml:space="preserve"> </w:t>
            </w:r>
            <w:r w:rsidR="00D76ED2">
              <w:rPr>
                <w:rFonts w:ascii="Arial" w:hAnsi="Arial" w:cs="Arial"/>
                <w:sz w:val="16"/>
                <w:szCs w:val="16"/>
              </w:rPr>
              <w:t>2019</w:t>
            </w:r>
            <w:r w:rsidR="00D76ED2">
              <w:rPr>
                <w:rFonts w:ascii="Arial" w:hAnsi="Arial" w:cs="Arial"/>
                <w:sz w:val="16"/>
                <w:szCs w:val="16"/>
              </w:rPr>
              <w:noBreakHyphen/>
              <w:t>20</w:t>
            </w:r>
            <w:r w:rsidRPr="004B6536">
              <w:rPr>
                <w:rFonts w:ascii="Arial" w:hAnsi="Arial" w:cs="Arial"/>
                <w:sz w:val="16"/>
                <w:szCs w:val="16"/>
              </w:rPr>
              <w:t xml:space="preserve"> </w:t>
            </w:r>
          </w:p>
        </w:tc>
        <w:tc>
          <w:tcPr>
            <w:tcW w:w="330" w:type="pct"/>
            <w:tcBorders>
              <w:top w:val="nil"/>
              <w:left w:val="nil"/>
              <w:bottom w:val="nil"/>
              <w:right w:val="nil"/>
            </w:tcBorders>
            <w:shd w:val="clear" w:color="auto" w:fill="E1E8EB"/>
            <w:noWrap/>
            <w:vAlign w:val="center"/>
            <w:hideMark/>
          </w:tcPr>
          <w:p w14:paraId="4881E5A2" w14:textId="248B40EF"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xml:space="preserve"> </w:t>
            </w:r>
            <w:r w:rsidR="00D76ED2">
              <w:rPr>
                <w:rFonts w:ascii="Arial" w:hAnsi="Arial" w:cs="Arial"/>
                <w:sz w:val="16"/>
                <w:szCs w:val="16"/>
              </w:rPr>
              <w:t>2020</w:t>
            </w:r>
            <w:r w:rsidR="00D76ED2">
              <w:rPr>
                <w:rFonts w:ascii="Arial" w:hAnsi="Arial" w:cs="Arial"/>
                <w:sz w:val="16"/>
                <w:szCs w:val="16"/>
              </w:rPr>
              <w:noBreakHyphen/>
              <w:t>21</w:t>
            </w:r>
            <w:r w:rsidRPr="004B6536">
              <w:rPr>
                <w:rFonts w:ascii="Arial" w:hAnsi="Arial" w:cs="Arial"/>
                <w:sz w:val="16"/>
                <w:szCs w:val="16"/>
              </w:rPr>
              <w:t xml:space="preserve"> </w:t>
            </w:r>
          </w:p>
        </w:tc>
        <w:tc>
          <w:tcPr>
            <w:tcW w:w="100" w:type="pct"/>
            <w:gridSpan w:val="2"/>
            <w:tcBorders>
              <w:top w:val="single" w:sz="4" w:space="0" w:color="000000"/>
              <w:left w:val="nil"/>
              <w:bottom w:val="nil"/>
              <w:right w:val="nil"/>
            </w:tcBorders>
            <w:shd w:val="clear" w:color="auto" w:fill="auto"/>
            <w:noWrap/>
            <w:vAlign w:val="center"/>
            <w:hideMark/>
          </w:tcPr>
          <w:p w14:paraId="3A5345ED" w14:textId="77777777"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w:t>
            </w:r>
          </w:p>
        </w:tc>
        <w:tc>
          <w:tcPr>
            <w:tcW w:w="330" w:type="pct"/>
            <w:gridSpan w:val="2"/>
            <w:tcBorders>
              <w:top w:val="nil"/>
              <w:left w:val="nil"/>
              <w:bottom w:val="nil"/>
              <w:right w:val="nil"/>
            </w:tcBorders>
            <w:shd w:val="clear" w:color="auto" w:fill="auto"/>
            <w:noWrap/>
            <w:vAlign w:val="center"/>
            <w:hideMark/>
          </w:tcPr>
          <w:p w14:paraId="27AE7947" w14:textId="289E6F4B"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xml:space="preserve"> </w:t>
            </w:r>
            <w:r w:rsidR="00D76ED2">
              <w:rPr>
                <w:rFonts w:ascii="Arial" w:hAnsi="Arial" w:cs="Arial"/>
                <w:sz w:val="16"/>
                <w:szCs w:val="16"/>
              </w:rPr>
              <w:t>2019</w:t>
            </w:r>
            <w:r w:rsidR="00D76ED2">
              <w:rPr>
                <w:rFonts w:ascii="Arial" w:hAnsi="Arial" w:cs="Arial"/>
                <w:sz w:val="16"/>
                <w:szCs w:val="16"/>
              </w:rPr>
              <w:noBreakHyphen/>
              <w:t>20</w:t>
            </w:r>
            <w:r w:rsidRPr="004B6536">
              <w:rPr>
                <w:rFonts w:ascii="Arial" w:hAnsi="Arial" w:cs="Arial"/>
                <w:sz w:val="16"/>
                <w:szCs w:val="16"/>
              </w:rPr>
              <w:t xml:space="preserve"> </w:t>
            </w:r>
          </w:p>
        </w:tc>
        <w:tc>
          <w:tcPr>
            <w:tcW w:w="329" w:type="pct"/>
            <w:tcBorders>
              <w:top w:val="nil"/>
              <w:left w:val="nil"/>
              <w:bottom w:val="nil"/>
              <w:right w:val="nil"/>
            </w:tcBorders>
            <w:shd w:val="clear" w:color="auto" w:fill="E1E8EB"/>
            <w:noWrap/>
            <w:vAlign w:val="center"/>
            <w:hideMark/>
          </w:tcPr>
          <w:p w14:paraId="6B6F6D03" w14:textId="72946539"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xml:space="preserve"> </w:t>
            </w:r>
            <w:r w:rsidR="00D76ED2">
              <w:rPr>
                <w:rFonts w:ascii="Arial" w:hAnsi="Arial" w:cs="Arial"/>
                <w:sz w:val="16"/>
                <w:szCs w:val="16"/>
              </w:rPr>
              <w:t>2020</w:t>
            </w:r>
            <w:r w:rsidR="00D76ED2">
              <w:rPr>
                <w:rFonts w:ascii="Arial" w:hAnsi="Arial" w:cs="Arial"/>
                <w:sz w:val="16"/>
                <w:szCs w:val="16"/>
              </w:rPr>
              <w:noBreakHyphen/>
              <w:t>21</w:t>
            </w:r>
            <w:r w:rsidRPr="004B6536">
              <w:rPr>
                <w:rFonts w:ascii="Arial" w:hAnsi="Arial" w:cs="Arial"/>
                <w:sz w:val="16"/>
                <w:szCs w:val="16"/>
              </w:rPr>
              <w:t xml:space="preserve"> </w:t>
            </w:r>
          </w:p>
        </w:tc>
        <w:tc>
          <w:tcPr>
            <w:tcW w:w="98" w:type="pct"/>
            <w:gridSpan w:val="2"/>
            <w:tcBorders>
              <w:top w:val="single" w:sz="4" w:space="0" w:color="000000"/>
              <w:left w:val="nil"/>
              <w:bottom w:val="nil"/>
              <w:right w:val="nil"/>
            </w:tcBorders>
            <w:shd w:val="clear" w:color="auto" w:fill="auto"/>
            <w:noWrap/>
            <w:vAlign w:val="center"/>
            <w:hideMark/>
          </w:tcPr>
          <w:p w14:paraId="2CB5EC39" w14:textId="77777777"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w:t>
            </w:r>
          </w:p>
        </w:tc>
        <w:tc>
          <w:tcPr>
            <w:tcW w:w="334" w:type="pct"/>
            <w:gridSpan w:val="2"/>
            <w:tcBorders>
              <w:top w:val="single" w:sz="4" w:space="0" w:color="000000"/>
              <w:left w:val="nil"/>
              <w:bottom w:val="nil"/>
              <w:right w:val="nil"/>
            </w:tcBorders>
            <w:shd w:val="clear" w:color="auto" w:fill="auto"/>
            <w:noWrap/>
            <w:vAlign w:val="center"/>
            <w:hideMark/>
          </w:tcPr>
          <w:p w14:paraId="5A342258" w14:textId="33D1DCD2"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xml:space="preserve"> </w:t>
            </w:r>
            <w:r w:rsidR="00D76ED2">
              <w:rPr>
                <w:rFonts w:ascii="Arial" w:hAnsi="Arial" w:cs="Arial"/>
                <w:sz w:val="16"/>
                <w:szCs w:val="16"/>
              </w:rPr>
              <w:t>2019</w:t>
            </w:r>
            <w:r w:rsidR="00D76ED2">
              <w:rPr>
                <w:rFonts w:ascii="Arial" w:hAnsi="Arial" w:cs="Arial"/>
                <w:sz w:val="16"/>
                <w:szCs w:val="16"/>
              </w:rPr>
              <w:noBreakHyphen/>
              <w:t>20</w:t>
            </w:r>
            <w:r w:rsidRPr="004B6536">
              <w:rPr>
                <w:rFonts w:ascii="Arial" w:hAnsi="Arial" w:cs="Arial"/>
                <w:sz w:val="16"/>
                <w:szCs w:val="16"/>
              </w:rPr>
              <w:t xml:space="preserve"> </w:t>
            </w:r>
          </w:p>
        </w:tc>
        <w:tc>
          <w:tcPr>
            <w:tcW w:w="332" w:type="pct"/>
            <w:gridSpan w:val="2"/>
            <w:tcBorders>
              <w:top w:val="single" w:sz="4" w:space="0" w:color="000000"/>
              <w:left w:val="nil"/>
              <w:bottom w:val="nil"/>
              <w:right w:val="nil"/>
            </w:tcBorders>
            <w:shd w:val="clear" w:color="auto" w:fill="E1E8EB"/>
            <w:noWrap/>
            <w:vAlign w:val="center"/>
            <w:hideMark/>
          </w:tcPr>
          <w:p w14:paraId="1D16696E" w14:textId="0328FBB1"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xml:space="preserve"> </w:t>
            </w:r>
            <w:r w:rsidR="00D76ED2">
              <w:rPr>
                <w:rFonts w:ascii="Arial" w:hAnsi="Arial" w:cs="Arial"/>
                <w:sz w:val="16"/>
                <w:szCs w:val="16"/>
              </w:rPr>
              <w:t>2020</w:t>
            </w:r>
            <w:r w:rsidR="00D76ED2">
              <w:rPr>
                <w:rFonts w:ascii="Arial" w:hAnsi="Arial" w:cs="Arial"/>
                <w:sz w:val="16"/>
                <w:szCs w:val="16"/>
              </w:rPr>
              <w:noBreakHyphen/>
              <w:t>21</w:t>
            </w:r>
            <w:r w:rsidRPr="004B6536">
              <w:rPr>
                <w:rFonts w:ascii="Arial" w:hAnsi="Arial" w:cs="Arial"/>
                <w:sz w:val="16"/>
                <w:szCs w:val="16"/>
              </w:rPr>
              <w:t xml:space="preserve"> </w:t>
            </w:r>
          </w:p>
        </w:tc>
        <w:tc>
          <w:tcPr>
            <w:tcW w:w="98" w:type="pct"/>
            <w:gridSpan w:val="2"/>
            <w:tcBorders>
              <w:top w:val="single" w:sz="4" w:space="0" w:color="000000"/>
              <w:left w:val="nil"/>
              <w:bottom w:val="nil"/>
              <w:right w:val="nil"/>
            </w:tcBorders>
            <w:shd w:val="clear" w:color="auto" w:fill="auto"/>
            <w:noWrap/>
            <w:vAlign w:val="center"/>
            <w:hideMark/>
          </w:tcPr>
          <w:p w14:paraId="7FD7642B" w14:textId="77777777"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w:t>
            </w:r>
          </w:p>
        </w:tc>
        <w:tc>
          <w:tcPr>
            <w:tcW w:w="338" w:type="pct"/>
            <w:gridSpan w:val="3"/>
            <w:tcBorders>
              <w:top w:val="single" w:sz="4" w:space="0" w:color="000000"/>
              <w:left w:val="nil"/>
              <w:bottom w:val="nil"/>
              <w:right w:val="nil"/>
            </w:tcBorders>
            <w:shd w:val="clear" w:color="auto" w:fill="auto"/>
            <w:noWrap/>
            <w:vAlign w:val="center"/>
            <w:hideMark/>
          </w:tcPr>
          <w:p w14:paraId="052AC334" w14:textId="4F61627D" w:rsidR="000C0F10" w:rsidRPr="00DC0FCA" w:rsidRDefault="000C0F10" w:rsidP="000C0F10">
            <w:pPr>
              <w:spacing w:after="0" w:line="240" w:lineRule="auto"/>
              <w:jc w:val="right"/>
              <w:rPr>
                <w:rFonts w:ascii="Arial" w:hAnsi="Arial" w:cs="Arial"/>
                <w:sz w:val="16"/>
                <w:szCs w:val="16"/>
              </w:rPr>
            </w:pPr>
            <w:r w:rsidRPr="00DC0FCA">
              <w:rPr>
                <w:rFonts w:ascii="Arial" w:hAnsi="Arial" w:cs="Arial"/>
                <w:sz w:val="16"/>
                <w:szCs w:val="16"/>
              </w:rPr>
              <w:t xml:space="preserve"> </w:t>
            </w:r>
            <w:r w:rsidR="00D76ED2">
              <w:rPr>
                <w:rFonts w:ascii="Arial" w:hAnsi="Arial" w:cs="Arial"/>
                <w:sz w:val="16"/>
                <w:szCs w:val="16"/>
              </w:rPr>
              <w:t>2019</w:t>
            </w:r>
            <w:r w:rsidR="00D76ED2">
              <w:rPr>
                <w:rFonts w:ascii="Arial" w:hAnsi="Arial" w:cs="Arial"/>
                <w:sz w:val="16"/>
                <w:szCs w:val="16"/>
              </w:rPr>
              <w:noBreakHyphen/>
              <w:t>20</w:t>
            </w:r>
            <w:r w:rsidRPr="00DC0FCA">
              <w:rPr>
                <w:rFonts w:ascii="Arial" w:hAnsi="Arial" w:cs="Arial"/>
                <w:sz w:val="16"/>
                <w:szCs w:val="16"/>
              </w:rPr>
              <w:t xml:space="preserve"> </w:t>
            </w:r>
          </w:p>
        </w:tc>
        <w:tc>
          <w:tcPr>
            <w:tcW w:w="326" w:type="pct"/>
            <w:gridSpan w:val="2"/>
            <w:tcBorders>
              <w:top w:val="single" w:sz="4" w:space="0" w:color="000000"/>
              <w:left w:val="nil"/>
              <w:bottom w:val="nil"/>
              <w:right w:val="nil"/>
            </w:tcBorders>
            <w:shd w:val="clear" w:color="auto" w:fill="E1E8EB"/>
            <w:noWrap/>
            <w:vAlign w:val="center"/>
            <w:hideMark/>
          </w:tcPr>
          <w:p w14:paraId="548F65DA" w14:textId="4AAA5F7F" w:rsidR="000C0F10" w:rsidRPr="00DC0FCA" w:rsidRDefault="000C0F10" w:rsidP="000C0F10">
            <w:pPr>
              <w:spacing w:after="0" w:line="240" w:lineRule="auto"/>
              <w:jc w:val="right"/>
              <w:rPr>
                <w:rFonts w:ascii="Arial" w:hAnsi="Arial" w:cs="Arial"/>
                <w:b/>
                <w:bCs/>
                <w:sz w:val="16"/>
                <w:szCs w:val="16"/>
              </w:rPr>
            </w:pPr>
            <w:r w:rsidRPr="00DC0FCA">
              <w:rPr>
                <w:rFonts w:ascii="Arial" w:hAnsi="Arial" w:cs="Arial"/>
                <w:b/>
                <w:bCs/>
                <w:sz w:val="16"/>
                <w:szCs w:val="16"/>
              </w:rPr>
              <w:t xml:space="preserve"> </w:t>
            </w:r>
            <w:r w:rsidR="00D76ED2">
              <w:rPr>
                <w:rFonts w:ascii="Arial" w:hAnsi="Arial" w:cs="Arial"/>
                <w:b/>
                <w:bCs/>
                <w:sz w:val="16"/>
                <w:szCs w:val="16"/>
              </w:rPr>
              <w:t>2020</w:t>
            </w:r>
            <w:r w:rsidR="00D76ED2">
              <w:rPr>
                <w:rFonts w:ascii="Arial" w:hAnsi="Arial" w:cs="Arial"/>
                <w:b/>
                <w:bCs/>
                <w:sz w:val="16"/>
                <w:szCs w:val="16"/>
              </w:rPr>
              <w:noBreakHyphen/>
              <w:t>21</w:t>
            </w:r>
            <w:r w:rsidRPr="00DC0FCA">
              <w:rPr>
                <w:rFonts w:ascii="Arial" w:hAnsi="Arial" w:cs="Arial"/>
                <w:b/>
                <w:bCs/>
                <w:sz w:val="16"/>
                <w:szCs w:val="16"/>
              </w:rPr>
              <w:t xml:space="preserve"> </w:t>
            </w:r>
          </w:p>
        </w:tc>
      </w:tr>
      <w:tr w:rsidR="00DC0FCA" w:rsidRPr="004B6536" w14:paraId="3ED752A5" w14:textId="77777777" w:rsidTr="00C53067">
        <w:trPr>
          <w:trHeight w:val="238"/>
        </w:trPr>
        <w:tc>
          <w:tcPr>
            <w:tcW w:w="586" w:type="pct"/>
            <w:tcBorders>
              <w:top w:val="nil"/>
              <w:left w:val="nil"/>
              <w:bottom w:val="single" w:sz="4" w:space="0" w:color="000000"/>
              <w:right w:val="nil"/>
            </w:tcBorders>
            <w:shd w:val="clear" w:color="000000" w:fill="FFFFFF"/>
            <w:noWrap/>
            <w:vAlign w:val="bottom"/>
            <w:hideMark/>
          </w:tcPr>
          <w:p w14:paraId="5809F9A0" w14:textId="2F5704C6" w:rsidR="000C0F10" w:rsidRPr="004B6536" w:rsidRDefault="000C0F10" w:rsidP="000C0F10">
            <w:pPr>
              <w:spacing w:after="0" w:line="240" w:lineRule="auto"/>
              <w:rPr>
                <w:rFonts w:ascii="Arial" w:hAnsi="Arial" w:cs="Arial"/>
                <w:sz w:val="16"/>
                <w:szCs w:val="16"/>
              </w:rPr>
            </w:pPr>
            <w:r w:rsidRPr="004B6536">
              <w:rPr>
                <w:rFonts w:ascii="Arial" w:hAnsi="Arial" w:cs="Arial"/>
                <w:sz w:val="16"/>
                <w:szCs w:val="16"/>
              </w:rPr>
              <w:t xml:space="preserve">Reason </w:t>
            </w:r>
          </w:p>
        </w:tc>
        <w:tc>
          <w:tcPr>
            <w:tcW w:w="276" w:type="pct"/>
            <w:tcBorders>
              <w:top w:val="nil"/>
              <w:left w:val="nil"/>
              <w:bottom w:val="single" w:sz="4" w:space="0" w:color="000000"/>
              <w:right w:val="nil"/>
            </w:tcBorders>
            <w:shd w:val="clear" w:color="auto" w:fill="auto"/>
            <w:noWrap/>
            <w:vAlign w:val="bottom"/>
            <w:hideMark/>
          </w:tcPr>
          <w:p w14:paraId="11BA430C" w14:textId="77777777"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xml:space="preserve"> No. </w:t>
            </w:r>
          </w:p>
        </w:tc>
        <w:tc>
          <w:tcPr>
            <w:tcW w:w="338" w:type="pct"/>
            <w:tcBorders>
              <w:top w:val="nil"/>
              <w:left w:val="nil"/>
              <w:bottom w:val="single" w:sz="4" w:space="0" w:color="000000"/>
              <w:right w:val="nil"/>
            </w:tcBorders>
            <w:shd w:val="clear" w:color="auto" w:fill="E1E8EB"/>
            <w:noWrap/>
            <w:vAlign w:val="bottom"/>
            <w:hideMark/>
          </w:tcPr>
          <w:p w14:paraId="31AAE79F" w14:textId="77777777"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xml:space="preserve"> No. </w:t>
            </w:r>
          </w:p>
        </w:tc>
        <w:tc>
          <w:tcPr>
            <w:tcW w:w="100" w:type="pct"/>
            <w:gridSpan w:val="2"/>
            <w:tcBorders>
              <w:top w:val="nil"/>
              <w:left w:val="nil"/>
              <w:bottom w:val="nil"/>
              <w:right w:val="nil"/>
            </w:tcBorders>
            <w:shd w:val="clear" w:color="auto" w:fill="auto"/>
            <w:noWrap/>
            <w:vAlign w:val="bottom"/>
            <w:hideMark/>
          </w:tcPr>
          <w:p w14:paraId="04848473" w14:textId="77777777" w:rsidR="000C0F10" w:rsidRPr="004B6536" w:rsidRDefault="000C0F10" w:rsidP="000C0F10">
            <w:pPr>
              <w:spacing w:after="0" w:line="240" w:lineRule="auto"/>
              <w:jc w:val="right"/>
              <w:rPr>
                <w:rFonts w:ascii="Arial" w:hAnsi="Arial" w:cs="Arial"/>
                <w:sz w:val="16"/>
                <w:szCs w:val="16"/>
              </w:rPr>
            </w:pPr>
          </w:p>
        </w:tc>
        <w:tc>
          <w:tcPr>
            <w:tcW w:w="329" w:type="pct"/>
            <w:gridSpan w:val="2"/>
            <w:tcBorders>
              <w:top w:val="nil"/>
              <w:left w:val="nil"/>
              <w:bottom w:val="single" w:sz="4" w:space="0" w:color="000000"/>
              <w:right w:val="nil"/>
            </w:tcBorders>
            <w:shd w:val="clear" w:color="auto" w:fill="auto"/>
            <w:noWrap/>
            <w:vAlign w:val="bottom"/>
            <w:hideMark/>
          </w:tcPr>
          <w:p w14:paraId="6AD9E067" w14:textId="77777777"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xml:space="preserve"> No. </w:t>
            </w:r>
          </w:p>
        </w:tc>
        <w:tc>
          <w:tcPr>
            <w:tcW w:w="329" w:type="pct"/>
            <w:tcBorders>
              <w:top w:val="nil"/>
              <w:left w:val="nil"/>
              <w:bottom w:val="single" w:sz="4" w:space="0" w:color="000000"/>
              <w:right w:val="nil"/>
            </w:tcBorders>
            <w:shd w:val="clear" w:color="auto" w:fill="E1E8EB"/>
            <w:noWrap/>
            <w:vAlign w:val="bottom"/>
            <w:hideMark/>
          </w:tcPr>
          <w:p w14:paraId="4382CB33" w14:textId="77777777"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xml:space="preserve"> No. </w:t>
            </w:r>
          </w:p>
        </w:tc>
        <w:tc>
          <w:tcPr>
            <w:tcW w:w="99" w:type="pct"/>
            <w:gridSpan w:val="2"/>
            <w:tcBorders>
              <w:top w:val="nil"/>
              <w:left w:val="nil"/>
              <w:bottom w:val="nil"/>
              <w:right w:val="nil"/>
            </w:tcBorders>
            <w:shd w:val="clear" w:color="auto" w:fill="auto"/>
            <w:noWrap/>
            <w:vAlign w:val="bottom"/>
            <w:hideMark/>
          </w:tcPr>
          <w:p w14:paraId="0BBA4011" w14:textId="77777777" w:rsidR="000C0F10" w:rsidRPr="004B6536" w:rsidRDefault="000C0F10" w:rsidP="000C0F10">
            <w:pPr>
              <w:spacing w:after="0" w:line="240" w:lineRule="auto"/>
              <w:jc w:val="right"/>
              <w:rPr>
                <w:rFonts w:ascii="Arial" w:hAnsi="Arial" w:cs="Arial"/>
                <w:sz w:val="16"/>
                <w:szCs w:val="16"/>
              </w:rPr>
            </w:pPr>
          </w:p>
        </w:tc>
        <w:tc>
          <w:tcPr>
            <w:tcW w:w="328" w:type="pct"/>
            <w:gridSpan w:val="2"/>
            <w:tcBorders>
              <w:top w:val="nil"/>
              <w:left w:val="nil"/>
              <w:bottom w:val="single" w:sz="4" w:space="0" w:color="000000"/>
              <w:right w:val="nil"/>
            </w:tcBorders>
            <w:shd w:val="clear" w:color="auto" w:fill="auto"/>
            <w:noWrap/>
            <w:vAlign w:val="bottom"/>
            <w:hideMark/>
          </w:tcPr>
          <w:p w14:paraId="03388C2B" w14:textId="77777777"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xml:space="preserve"> No. </w:t>
            </w:r>
          </w:p>
        </w:tc>
        <w:tc>
          <w:tcPr>
            <w:tcW w:w="330" w:type="pct"/>
            <w:tcBorders>
              <w:top w:val="nil"/>
              <w:left w:val="nil"/>
              <w:bottom w:val="single" w:sz="4" w:space="0" w:color="000000"/>
              <w:right w:val="nil"/>
            </w:tcBorders>
            <w:shd w:val="clear" w:color="auto" w:fill="E1E8EB"/>
            <w:noWrap/>
            <w:vAlign w:val="bottom"/>
            <w:hideMark/>
          </w:tcPr>
          <w:p w14:paraId="2B6605BE" w14:textId="77777777"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xml:space="preserve"> No. </w:t>
            </w:r>
          </w:p>
        </w:tc>
        <w:tc>
          <w:tcPr>
            <w:tcW w:w="100" w:type="pct"/>
            <w:gridSpan w:val="2"/>
            <w:tcBorders>
              <w:top w:val="nil"/>
              <w:left w:val="nil"/>
              <w:bottom w:val="nil"/>
              <w:right w:val="nil"/>
            </w:tcBorders>
            <w:shd w:val="clear" w:color="auto" w:fill="auto"/>
            <w:noWrap/>
            <w:vAlign w:val="bottom"/>
            <w:hideMark/>
          </w:tcPr>
          <w:p w14:paraId="03F725BE" w14:textId="77777777" w:rsidR="000C0F10" w:rsidRPr="004B6536" w:rsidRDefault="000C0F10" w:rsidP="000C0F10">
            <w:pPr>
              <w:spacing w:after="0" w:line="240" w:lineRule="auto"/>
              <w:jc w:val="right"/>
              <w:rPr>
                <w:rFonts w:ascii="Arial" w:hAnsi="Arial" w:cs="Arial"/>
                <w:sz w:val="16"/>
                <w:szCs w:val="16"/>
              </w:rPr>
            </w:pPr>
          </w:p>
        </w:tc>
        <w:tc>
          <w:tcPr>
            <w:tcW w:w="330" w:type="pct"/>
            <w:gridSpan w:val="2"/>
            <w:tcBorders>
              <w:top w:val="nil"/>
              <w:left w:val="nil"/>
              <w:bottom w:val="single" w:sz="4" w:space="0" w:color="000000"/>
              <w:right w:val="nil"/>
            </w:tcBorders>
            <w:shd w:val="clear" w:color="auto" w:fill="auto"/>
            <w:noWrap/>
            <w:vAlign w:val="bottom"/>
            <w:hideMark/>
          </w:tcPr>
          <w:p w14:paraId="3B6F9ABA" w14:textId="77777777"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xml:space="preserve"> No. </w:t>
            </w:r>
          </w:p>
        </w:tc>
        <w:tc>
          <w:tcPr>
            <w:tcW w:w="329" w:type="pct"/>
            <w:tcBorders>
              <w:top w:val="nil"/>
              <w:left w:val="nil"/>
              <w:bottom w:val="single" w:sz="4" w:space="0" w:color="000000"/>
              <w:right w:val="nil"/>
            </w:tcBorders>
            <w:shd w:val="clear" w:color="auto" w:fill="E1E8EB"/>
            <w:noWrap/>
            <w:vAlign w:val="bottom"/>
            <w:hideMark/>
          </w:tcPr>
          <w:p w14:paraId="438FADF5" w14:textId="77777777"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xml:space="preserve"> No. </w:t>
            </w:r>
          </w:p>
        </w:tc>
        <w:tc>
          <w:tcPr>
            <w:tcW w:w="98" w:type="pct"/>
            <w:gridSpan w:val="2"/>
            <w:tcBorders>
              <w:top w:val="nil"/>
              <w:left w:val="nil"/>
              <w:bottom w:val="nil"/>
              <w:right w:val="nil"/>
            </w:tcBorders>
            <w:shd w:val="clear" w:color="auto" w:fill="auto"/>
            <w:noWrap/>
            <w:vAlign w:val="bottom"/>
            <w:hideMark/>
          </w:tcPr>
          <w:p w14:paraId="7A11686B" w14:textId="77777777" w:rsidR="000C0F10" w:rsidRPr="004B6536" w:rsidRDefault="000C0F10" w:rsidP="000C0F10">
            <w:pPr>
              <w:spacing w:after="0" w:line="240" w:lineRule="auto"/>
              <w:jc w:val="right"/>
              <w:rPr>
                <w:rFonts w:ascii="Arial" w:hAnsi="Arial" w:cs="Arial"/>
                <w:sz w:val="16"/>
                <w:szCs w:val="16"/>
              </w:rPr>
            </w:pPr>
          </w:p>
        </w:tc>
        <w:tc>
          <w:tcPr>
            <w:tcW w:w="334" w:type="pct"/>
            <w:gridSpan w:val="2"/>
            <w:tcBorders>
              <w:top w:val="nil"/>
              <w:left w:val="nil"/>
              <w:bottom w:val="single" w:sz="4" w:space="0" w:color="000000"/>
              <w:right w:val="nil"/>
            </w:tcBorders>
            <w:shd w:val="clear" w:color="auto" w:fill="auto"/>
            <w:noWrap/>
            <w:vAlign w:val="bottom"/>
            <w:hideMark/>
          </w:tcPr>
          <w:p w14:paraId="08DFB79A" w14:textId="77777777"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xml:space="preserve"> No. </w:t>
            </w:r>
          </w:p>
        </w:tc>
        <w:tc>
          <w:tcPr>
            <w:tcW w:w="332" w:type="pct"/>
            <w:gridSpan w:val="2"/>
            <w:tcBorders>
              <w:top w:val="nil"/>
              <w:left w:val="nil"/>
              <w:bottom w:val="single" w:sz="4" w:space="0" w:color="000000"/>
              <w:right w:val="nil"/>
            </w:tcBorders>
            <w:shd w:val="clear" w:color="auto" w:fill="E1E8EB"/>
            <w:noWrap/>
            <w:vAlign w:val="bottom"/>
            <w:hideMark/>
          </w:tcPr>
          <w:p w14:paraId="099343A0" w14:textId="77777777" w:rsidR="000C0F10" w:rsidRPr="004B6536" w:rsidRDefault="000C0F10" w:rsidP="000C0F10">
            <w:pPr>
              <w:spacing w:after="0" w:line="240" w:lineRule="auto"/>
              <w:jc w:val="right"/>
              <w:rPr>
                <w:rFonts w:ascii="Arial" w:hAnsi="Arial" w:cs="Arial"/>
                <w:sz w:val="16"/>
                <w:szCs w:val="16"/>
              </w:rPr>
            </w:pPr>
            <w:r w:rsidRPr="004B6536">
              <w:rPr>
                <w:rFonts w:ascii="Arial" w:hAnsi="Arial" w:cs="Arial"/>
                <w:sz w:val="16"/>
                <w:szCs w:val="16"/>
              </w:rPr>
              <w:t xml:space="preserve"> No. </w:t>
            </w:r>
          </w:p>
        </w:tc>
        <w:tc>
          <w:tcPr>
            <w:tcW w:w="98" w:type="pct"/>
            <w:gridSpan w:val="2"/>
            <w:tcBorders>
              <w:top w:val="nil"/>
              <w:left w:val="nil"/>
              <w:bottom w:val="nil"/>
              <w:right w:val="nil"/>
            </w:tcBorders>
            <w:shd w:val="clear" w:color="auto" w:fill="auto"/>
            <w:noWrap/>
            <w:vAlign w:val="bottom"/>
            <w:hideMark/>
          </w:tcPr>
          <w:p w14:paraId="7195F8D6" w14:textId="77777777" w:rsidR="000C0F10" w:rsidRPr="004B6536" w:rsidRDefault="000C0F10" w:rsidP="000C0F10">
            <w:pPr>
              <w:spacing w:after="0" w:line="240" w:lineRule="auto"/>
              <w:jc w:val="right"/>
              <w:rPr>
                <w:rFonts w:ascii="Arial" w:hAnsi="Arial" w:cs="Arial"/>
                <w:sz w:val="16"/>
                <w:szCs w:val="16"/>
              </w:rPr>
            </w:pPr>
          </w:p>
        </w:tc>
        <w:tc>
          <w:tcPr>
            <w:tcW w:w="338" w:type="pct"/>
            <w:gridSpan w:val="3"/>
            <w:tcBorders>
              <w:top w:val="nil"/>
              <w:left w:val="nil"/>
              <w:bottom w:val="single" w:sz="4" w:space="0" w:color="000000"/>
              <w:right w:val="nil"/>
            </w:tcBorders>
            <w:shd w:val="clear" w:color="auto" w:fill="auto"/>
            <w:noWrap/>
            <w:vAlign w:val="bottom"/>
            <w:hideMark/>
          </w:tcPr>
          <w:p w14:paraId="21780DEC" w14:textId="77777777" w:rsidR="000C0F10" w:rsidRPr="00DC0FCA" w:rsidRDefault="000C0F10" w:rsidP="000C0F10">
            <w:pPr>
              <w:spacing w:after="0" w:line="240" w:lineRule="auto"/>
              <w:jc w:val="right"/>
              <w:rPr>
                <w:rFonts w:ascii="Arial" w:hAnsi="Arial" w:cs="Arial"/>
                <w:sz w:val="16"/>
                <w:szCs w:val="16"/>
              </w:rPr>
            </w:pPr>
            <w:r w:rsidRPr="00DC0FCA">
              <w:rPr>
                <w:rFonts w:ascii="Arial" w:hAnsi="Arial" w:cs="Arial"/>
                <w:sz w:val="16"/>
                <w:szCs w:val="16"/>
              </w:rPr>
              <w:t xml:space="preserve"> No. </w:t>
            </w:r>
          </w:p>
        </w:tc>
        <w:tc>
          <w:tcPr>
            <w:tcW w:w="326" w:type="pct"/>
            <w:gridSpan w:val="2"/>
            <w:tcBorders>
              <w:top w:val="nil"/>
              <w:left w:val="nil"/>
              <w:bottom w:val="single" w:sz="4" w:space="0" w:color="000000"/>
              <w:right w:val="nil"/>
            </w:tcBorders>
            <w:shd w:val="clear" w:color="auto" w:fill="E1E8EB"/>
            <w:noWrap/>
            <w:vAlign w:val="bottom"/>
            <w:hideMark/>
          </w:tcPr>
          <w:p w14:paraId="15BAEB08" w14:textId="77777777" w:rsidR="000C0F10" w:rsidRPr="00DC0FCA" w:rsidRDefault="000C0F10" w:rsidP="000C0F10">
            <w:pPr>
              <w:spacing w:after="0" w:line="240" w:lineRule="auto"/>
              <w:jc w:val="right"/>
              <w:rPr>
                <w:rFonts w:ascii="Arial" w:hAnsi="Arial" w:cs="Arial"/>
                <w:b/>
                <w:bCs/>
                <w:sz w:val="16"/>
                <w:szCs w:val="16"/>
              </w:rPr>
            </w:pPr>
            <w:r w:rsidRPr="00DC0FCA">
              <w:rPr>
                <w:rFonts w:ascii="Arial" w:hAnsi="Arial" w:cs="Arial"/>
                <w:b/>
                <w:bCs/>
                <w:sz w:val="16"/>
                <w:szCs w:val="16"/>
              </w:rPr>
              <w:t xml:space="preserve"> No. </w:t>
            </w:r>
          </w:p>
        </w:tc>
      </w:tr>
      <w:tr w:rsidR="00DC0FCA" w:rsidRPr="004B6536" w14:paraId="6B077A11" w14:textId="77777777" w:rsidTr="00405179">
        <w:trPr>
          <w:trHeight w:val="770"/>
        </w:trPr>
        <w:tc>
          <w:tcPr>
            <w:tcW w:w="586" w:type="pct"/>
            <w:tcBorders>
              <w:top w:val="nil"/>
              <w:left w:val="nil"/>
              <w:bottom w:val="nil"/>
              <w:right w:val="nil"/>
            </w:tcBorders>
            <w:shd w:val="clear" w:color="000000" w:fill="FFFFFF"/>
            <w:vAlign w:val="bottom"/>
            <w:hideMark/>
          </w:tcPr>
          <w:p w14:paraId="20C40D73" w14:textId="671945E8" w:rsidR="000C0F10" w:rsidRPr="004B6536" w:rsidRDefault="000C0F10" w:rsidP="00405179">
            <w:pPr>
              <w:spacing w:after="0" w:line="240" w:lineRule="auto"/>
              <w:jc w:val="left"/>
              <w:rPr>
                <w:rFonts w:ascii="Arial" w:hAnsi="Arial" w:cs="Arial"/>
                <w:sz w:val="16"/>
                <w:szCs w:val="16"/>
              </w:rPr>
            </w:pPr>
            <w:r w:rsidRPr="004B6536">
              <w:rPr>
                <w:rFonts w:ascii="Arial" w:hAnsi="Arial" w:cs="Arial"/>
                <w:sz w:val="16"/>
                <w:szCs w:val="16"/>
              </w:rPr>
              <w:t>Longer time to undertake</w:t>
            </w:r>
            <w:r w:rsidR="0048602D">
              <w:rPr>
                <w:rFonts w:ascii="Arial" w:hAnsi="Arial" w:cs="Arial"/>
                <w:sz w:val="16"/>
                <w:szCs w:val="16"/>
              </w:rPr>
              <w:t xml:space="preserve"> </w:t>
            </w:r>
            <w:r w:rsidRPr="004B6536">
              <w:rPr>
                <w:rFonts w:ascii="Arial" w:hAnsi="Arial" w:cs="Arial"/>
                <w:sz w:val="16"/>
                <w:szCs w:val="16"/>
              </w:rPr>
              <w:t>action only</w:t>
            </w:r>
          </w:p>
        </w:tc>
        <w:tc>
          <w:tcPr>
            <w:tcW w:w="276" w:type="pct"/>
            <w:tcBorders>
              <w:top w:val="nil"/>
              <w:left w:val="nil"/>
              <w:bottom w:val="nil"/>
              <w:right w:val="nil"/>
            </w:tcBorders>
            <w:shd w:val="clear" w:color="auto" w:fill="auto"/>
            <w:noWrap/>
            <w:vAlign w:val="bottom"/>
            <w:hideMark/>
          </w:tcPr>
          <w:p w14:paraId="1C44B179" w14:textId="77777777"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5</w:t>
            </w:r>
          </w:p>
        </w:tc>
        <w:tc>
          <w:tcPr>
            <w:tcW w:w="338" w:type="pct"/>
            <w:tcBorders>
              <w:top w:val="nil"/>
              <w:left w:val="nil"/>
              <w:bottom w:val="nil"/>
              <w:right w:val="nil"/>
            </w:tcBorders>
            <w:shd w:val="clear" w:color="auto" w:fill="E1E8EB"/>
            <w:noWrap/>
            <w:vAlign w:val="bottom"/>
            <w:hideMark/>
          </w:tcPr>
          <w:p w14:paraId="12592762" w14:textId="73D41DFF" w:rsidR="000C0F10" w:rsidRPr="004B6536" w:rsidRDefault="00A837A1" w:rsidP="00405179">
            <w:pPr>
              <w:spacing w:after="0" w:line="240" w:lineRule="auto"/>
              <w:jc w:val="right"/>
              <w:rPr>
                <w:rFonts w:ascii="Arial" w:hAnsi="Arial" w:cs="Arial"/>
                <w:sz w:val="16"/>
                <w:szCs w:val="16"/>
              </w:rPr>
            </w:pPr>
            <w:r>
              <w:rPr>
                <w:rFonts w:ascii="Arial" w:hAnsi="Arial" w:cs="Arial"/>
                <w:sz w:val="16"/>
                <w:szCs w:val="16"/>
              </w:rPr>
              <w:t>3</w:t>
            </w:r>
          </w:p>
        </w:tc>
        <w:tc>
          <w:tcPr>
            <w:tcW w:w="100" w:type="pct"/>
            <w:gridSpan w:val="2"/>
            <w:tcBorders>
              <w:top w:val="nil"/>
              <w:left w:val="nil"/>
              <w:bottom w:val="nil"/>
              <w:right w:val="nil"/>
            </w:tcBorders>
            <w:shd w:val="clear" w:color="auto" w:fill="auto"/>
            <w:noWrap/>
            <w:vAlign w:val="bottom"/>
            <w:hideMark/>
          </w:tcPr>
          <w:p w14:paraId="01488577" w14:textId="77777777" w:rsidR="000C0F10" w:rsidRPr="004B6536" w:rsidRDefault="000C0F10" w:rsidP="00405179">
            <w:pPr>
              <w:spacing w:after="0" w:line="240" w:lineRule="auto"/>
              <w:jc w:val="right"/>
              <w:rPr>
                <w:rFonts w:ascii="Arial" w:hAnsi="Arial" w:cs="Arial"/>
                <w:sz w:val="16"/>
                <w:szCs w:val="16"/>
              </w:rPr>
            </w:pPr>
          </w:p>
        </w:tc>
        <w:tc>
          <w:tcPr>
            <w:tcW w:w="329" w:type="pct"/>
            <w:gridSpan w:val="2"/>
            <w:tcBorders>
              <w:top w:val="nil"/>
              <w:left w:val="nil"/>
              <w:bottom w:val="nil"/>
              <w:right w:val="nil"/>
            </w:tcBorders>
            <w:shd w:val="clear" w:color="auto" w:fill="auto"/>
            <w:noWrap/>
            <w:vAlign w:val="bottom"/>
            <w:hideMark/>
          </w:tcPr>
          <w:p w14:paraId="5634D5CF" w14:textId="77777777"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0</w:t>
            </w:r>
          </w:p>
        </w:tc>
        <w:tc>
          <w:tcPr>
            <w:tcW w:w="329" w:type="pct"/>
            <w:tcBorders>
              <w:top w:val="nil"/>
              <w:left w:val="nil"/>
              <w:bottom w:val="nil"/>
              <w:right w:val="nil"/>
            </w:tcBorders>
            <w:shd w:val="clear" w:color="auto" w:fill="E1E8EB"/>
            <w:noWrap/>
            <w:vAlign w:val="bottom"/>
            <w:hideMark/>
          </w:tcPr>
          <w:p w14:paraId="43FB4D27" w14:textId="77777777"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0</w:t>
            </w:r>
          </w:p>
        </w:tc>
        <w:tc>
          <w:tcPr>
            <w:tcW w:w="99" w:type="pct"/>
            <w:gridSpan w:val="2"/>
            <w:tcBorders>
              <w:top w:val="nil"/>
              <w:left w:val="nil"/>
              <w:bottom w:val="nil"/>
              <w:right w:val="nil"/>
            </w:tcBorders>
            <w:shd w:val="clear" w:color="auto" w:fill="auto"/>
            <w:noWrap/>
            <w:vAlign w:val="bottom"/>
            <w:hideMark/>
          </w:tcPr>
          <w:p w14:paraId="1ACBA624" w14:textId="77777777" w:rsidR="000C0F10" w:rsidRPr="004B6536" w:rsidRDefault="000C0F10" w:rsidP="00405179">
            <w:pPr>
              <w:spacing w:after="0" w:line="240" w:lineRule="auto"/>
              <w:jc w:val="right"/>
              <w:rPr>
                <w:rFonts w:ascii="Arial" w:hAnsi="Arial" w:cs="Arial"/>
                <w:sz w:val="16"/>
                <w:szCs w:val="16"/>
              </w:rPr>
            </w:pPr>
          </w:p>
        </w:tc>
        <w:tc>
          <w:tcPr>
            <w:tcW w:w="328" w:type="pct"/>
            <w:gridSpan w:val="2"/>
            <w:tcBorders>
              <w:top w:val="nil"/>
              <w:left w:val="nil"/>
              <w:bottom w:val="nil"/>
              <w:right w:val="nil"/>
            </w:tcBorders>
            <w:shd w:val="clear" w:color="auto" w:fill="auto"/>
            <w:noWrap/>
            <w:vAlign w:val="bottom"/>
            <w:hideMark/>
          </w:tcPr>
          <w:p w14:paraId="11B165CF" w14:textId="77777777"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68</w:t>
            </w:r>
          </w:p>
        </w:tc>
        <w:tc>
          <w:tcPr>
            <w:tcW w:w="330" w:type="pct"/>
            <w:tcBorders>
              <w:top w:val="nil"/>
              <w:left w:val="nil"/>
              <w:bottom w:val="nil"/>
              <w:right w:val="nil"/>
            </w:tcBorders>
            <w:shd w:val="clear" w:color="auto" w:fill="E1E8EB"/>
            <w:noWrap/>
            <w:vAlign w:val="bottom"/>
            <w:hideMark/>
          </w:tcPr>
          <w:p w14:paraId="5D9B688D" w14:textId="1DE00555"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12</w:t>
            </w:r>
            <w:r w:rsidR="00814721">
              <w:rPr>
                <w:rFonts w:ascii="Arial" w:hAnsi="Arial" w:cs="Arial"/>
                <w:sz w:val="16"/>
                <w:szCs w:val="16"/>
              </w:rPr>
              <w:t>4</w:t>
            </w:r>
          </w:p>
        </w:tc>
        <w:tc>
          <w:tcPr>
            <w:tcW w:w="100" w:type="pct"/>
            <w:gridSpan w:val="2"/>
            <w:tcBorders>
              <w:top w:val="nil"/>
              <w:left w:val="nil"/>
              <w:bottom w:val="nil"/>
              <w:right w:val="nil"/>
            </w:tcBorders>
            <w:shd w:val="clear" w:color="auto" w:fill="auto"/>
            <w:noWrap/>
            <w:vAlign w:val="bottom"/>
            <w:hideMark/>
          </w:tcPr>
          <w:p w14:paraId="2E06C576" w14:textId="77777777" w:rsidR="000C0F10" w:rsidRPr="004B6536" w:rsidRDefault="000C0F10" w:rsidP="00405179">
            <w:pPr>
              <w:spacing w:after="0" w:line="240" w:lineRule="auto"/>
              <w:jc w:val="right"/>
              <w:rPr>
                <w:rFonts w:ascii="Arial" w:hAnsi="Arial" w:cs="Arial"/>
                <w:sz w:val="16"/>
                <w:szCs w:val="16"/>
              </w:rPr>
            </w:pPr>
          </w:p>
        </w:tc>
        <w:tc>
          <w:tcPr>
            <w:tcW w:w="330" w:type="pct"/>
            <w:gridSpan w:val="2"/>
            <w:tcBorders>
              <w:top w:val="nil"/>
              <w:left w:val="nil"/>
              <w:bottom w:val="nil"/>
              <w:right w:val="nil"/>
            </w:tcBorders>
            <w:shd w:val="clear" w:color="auto" w:fill="auto"/>
            <w:noWrap/>
            <w:vAlign w:val="bottom"/>
            <w:hideMark/>
          </w:tcPr>
          <w:p w14:paraId="54D20A58" w14:textId="77777777"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7</w:t>
            </w:r>
          </w:p>
        </w:tc>
        <w:tc>
          <w:tcPr>
            <w:tcW w:w="329" w:type="pct"/>
            <w:tcBorders>
              <w:top w:val="nil"/>
              <w:left w:val="nil"/>
              <w:bottom w:val="nil"/>
              <w:right w:val="nil"/>
            </w:tcBorders>
            <w:shd w:val="clear" w:color="auto" w:fill="E1E8EB"/>
            <w:noWrap/>
            <w:vAlign w:val="bottom"/>
            <w:hideMark/>
          </w:tcPr>
          <w:p w14:paraId="18E3C0F1" w14:textId="10AF7440" w:rsidR="000C0F10" w:rsidRPr="004B6536" w:rsidRDefault="00814721" w:rsidP="00405179">
            <w:pPr>
              <w:spacing w:after="0" w:line="240" w:lineRule="auto"/>
              <w:jc w:val="right"/>
              <w:rPr>
                <w:rFonts w:ascii="Arial" w:hAnsi="Arial" w:cs="Arial"/>
                <w:sz w:val="16"/>
                <w:szCs w:val="16"/>
              </w:rPr>
            </w:pPr>
            <w:r>
              <w:rPr>
                <w:rFonts w:ascii="Arial" w:hAnsi="Arial" w:cs="Arial"/>
                <w:sz w:val="16"/>
                <w:szCs w:val="16"/>
              </w:rPr>
              <w:t>9</w:t>
            </w:r>
          </w:p>
        </w:tc>
        <w:tc>
          <w:tcPr>
            <w:tcW w:w="98" w:type="pct"/>
            <w:gridSpan w:val="2"/>
            <w:tcBorders>
              <w:top w:val="nil"/>
              <w:left w:val="nil"/>
              <w:bottom w:val="nil"/>
              <w:right w:val="nil"/>
            </w:tcBorders>
            <w:shd w:val="clear" w:color="auto" w:fill="auto"/>
            <w:noWrap/>
            <w:vAlign w:val="bottom"/>
            <w:hideMark/>
          </w:tcPr>
          <w:p w14:paraId="746D9166" w14:textId="77777777" w:rsidR="000C0F10" w:rsidRPr="004B6536" w:rsidRDefault="000C0F10" w:rsidP="00405179">
            <w:pPr>
              <w:spacing w:after="0" w:line="240" w:lineRule="auto"/>
              <w:jc w:val="right"/>
              <w:rPr>
                <w:rFonts w:ascii="Arial" w:hAnsi="Arial" w:cs="Arial"/>
                <w:sz w:val="16"/>
                <w:szCs w:val="16"/>
              </w:rPr>
            </w:pPr>
          </w:p>
        </w:tc>
        <w:tc>
          <w:tcPr>
            <w:tcW w:w="334" w:type="pct"/>
            <w:gridSpan w:val="2"/>
            <w:tcBorders>
              <w:top w:val="nil"/>
              <w:left w:val="nil"/>
              <w:bottom w:val="nil"/>
              <w:right w:val="nil"/>
            </w:tcBorders>
            <w:shd w:val="clear" w:color="auto" w:fill="auto"/>
            <w:noWrap/>
            <w:vAlign w:val="bottom"/>
            <w:hideMark/>
          </w:tcPr>
          <w:p w14:paraId="2A6FEA92" w14:textId="77777777"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8</w:t>
            </w:r>
          </w:p>
        </w:tc>
        <w:tc>
          <w:tcPr>
            <w:tcW w:w="332" w:type="pct"/>
            <w:gridSpan w:val="2"/>
            <w:tcBorders>
              <w:top w:val="nil"/>
              <w:left w:val="nil"/>
              <w:bottom w:val="nil"/>
              <w:right w:val="nil"/>
            </w:tcBorders>
            <w:shd w:val="clear" w:color="auto" w:fill="E1E8EB"/>
            <w:noWrap/>
            <w:vAlign w:val="bottom"/>
            <w:hideMark/>
          </w:tcPr>
          <w:p w14:paraId="2286A7E6" w14:textId="6FBD8613" w:rsidR="000C0F10" w:rsidRPr="004B6536" w:rsidRDefault="00814721" w:rsidP="00405179">
            <w:pPr>
              <w:spacing w:after="0" w:line="240" w:lineRule="auto"/>
              <w:jc w:val="right"/>
              <w:rPr>
                <w:rFonts w:ascii="Arial" w:hAnsi="Arial" w:cs="Arial"/>
                <w:sz w:val="16"/>
                <w:szCs w:val="16"/>
              </w:rPr>
            </w:pPr>
            <w:r>
              <w:rPr>
                <w:rFonts w:ascii="Arial" w:hAnsi="Arial" w:cs="Arial"/>
                <w:sz w:val="16"/>
                <w:szCs w:val="16"/>
              </w:rPr>
              <w:t>8</w:t>
            </w:r>
          </w:p>
        </w:tc>
        <w:tc>
          <w:tcPr>
            <w:tcW w:w="98" w:type="pct"/>
            <w:gridSpan w:val="2"/>
            <w:tcBorders>
              <w:top w:val="nil"/>
              <w:left w:val="nil"/>
              <w:bottom w:val="nil"/>
              <w:right w:val="nil"/>
            </w:tcBorders>
            <w:shd w:val="clear" w:color="auto" w:fill="auto"/>
            <w:noWrap/>
            <w:vAlign w:val="bottom"/>
            <w:hideMark/>
          </w:tcPr>
          <w:p w14:paraId="22E3F9A0" w14:textId="77777777" w:rsidR="000C0F10" w:rsidRPr="004B6536" w:rsidRDefault="000C0F10" w:rsidP="00405179">
            <w:pPr>
              <w:spacing w:after="0" w:line="240" w:lineRule="auto"/>
              <w:jc w:val="right"/>
              <w:rPr>
                <w:rFonts w:ascii="Arial" w:hAnsi="Arial" w:cs="Arial"/>
                <w:sz w:val="16"/>
                <w:szCs w:val="16"/>
              </w:rPr>
            </w:pPr>
          </w:p>
        </w:tc>
        <w:tc>
          <w:tcPr>
            <w:tcW w:w="338" w:type="pct"/>
            <w:gridSpan w:val="3"/>
            <w:tcBorders>
              <w:top w:val="nil"/>
              <w:left w:val="nil"/>
              <w:bottom w:val="nil"/>
              <w:right w:val="nil"/>
            </w:tcBorders>
            <w:shd w:val="clear" w:color="auto" w:fill="auto"/>
            <w:noWrap/>
            <w:vAlign w:val="bottom"/>
            <w:hideMark/>
          </w:tcPr>
          <w:p w14:paraId="1EEC2527" w14:textId="77777777" w:rsidR="000C0F10" w:rsidRPr="00DC0FCA" w:rsidRDefault="000C0F10" w:rsidP="00405179">
            <w:pPr>
              <w:spacing w:after="0" w:line="240" w:lineRule="auto"/>
              <w:jc w:val="right"/>
              <w:rPr>
                <w:rFonts w:ascii="Arial" w:hAnsi="Arial" w:cs="Arial"/>
                <w:sz w:val="16"/>
                <w:szCs w:val="16"/>
              </w:rPr>
            </w:pPr>
            <w:r w:rsidRPr="00DC0FCA">
              <w:rPr>
                <w:rFonts w:ascii="Arial" w:hAnsi="Arial" w:cs="Arial"/>
                <w:sz w:val="16"/>
                <w:szCs w:val="16"/>
              </w:rPr>
              <w:t>88</w:t>
            </w:r>
          </w:p>
        </w:tc>
        <w:tc>
          <w:tcPr>
            <w:tcW w:w="326" w:type="pct"/>
            <w:gridSpan w:val="2"/>
            <w:tcBorders>
              <w:top w:val="nil"/>
              <w:left w:val="nil"/>
              <w:bottom w:val="nil"/>
              <w:right w:val="nil"/>
            </w:tcBorders>
            <w:shd w:val="clear" w:color="auto" w:fill="E1E8EB"/>
            <w:noWrap/>
            <w:vAlign w:val="bottom"/>
            <w:hideMark/>
          </w:tcPr>
          <w:p w14:paraId="6459FB38" w14:textId="2FD33D4A" w:rsidR="000C0F10" w:rsidRPr="00DC0FCA" w:rsidRDefault="00814721" w:rsidP="00405179">
            <w:pPr>
              <w:spacing w:after="0" w:line="240" w:lineRule="auto"/>
              <w:jc w:val="right"/>
              <w:rPr>
                <w:rFonts w:ascii="Arial" w:hAnsi="Arial" w:cs="Arial"/>
                <w:b/>
                <w:bCs/>
                <w:sz w:val="16"/>
                <w:szCs w:val="16"/>
              </w:rPr>
            </w:pPr>
            <w:r>
              <w:rPr>
                <w:rFonts w:ascii="Arial" w:hAnsi="Arial" w:cs="Arial"/>
                <w:b/>
                <w:bCs/>
                <w:sz w:val="16"/>
                <w:szCs w:val="16"/>
              </w:rPr>
              <w:t>144</w:t>
            </w:r>
          </w:p>
        </w:tc>
      </w:tr>
      <w:tr w:rsidR="00DC0FCA" w:rsidRPr="004B6536" w14:paraId="34C77F44" w14:textId="77777777" w:rsidTr="00405179">
        <w:trPr>
          <w:trHeight w:val="538"/>
        </w:trPr>
        <w:tc>
          <w:tcPr>
            <w:tcW w:w="586" w:type="pct"/>
            <w:tcBorders>
              <w:top w:val="nil"/>
              <w:left w:val="nil"/>
              <w:right w:val="nil"/>
            </w:tcBorders>
            <w:shd w:val="clear" w:color="000000" w:fill="FFFFFF"/>
            <w:vAlign w:val="bottom"/>
            <w:hideMark/>
          </w:tcPr>
          <w:p w14:paraId="18E2DF81" w14:textId="290CD43F" w:rsidR="000C0F10" w:rsidRPr="004B6536" w:rsidRDefault="000C0F10" w:rsidP="00405179">
            <w:pPr>
              <w:spacing w:after="0" w:line="240" w:lineRule="auto"/>
              <w:jc w:val="left"/>
              <w:rPr>
                <w:rFonts w:ascii="Arial" w:hAnsi="Arial" w:cs="Arial"/>
                <w:sz w:val="16"/>
                <w:szCs w:val="16"/>
              </w:rPr>
            </w:pPr>
            <w:r w:rsidRPr="004B6536">
              <w:rPr>
                <w:rFonts w:ascii="Arial" w:hAnsi="Arial" w:cs="Arial"/>
                <w:sz w:val="16"/>
                <w:szCs w:val="16"/>
              </w:rPr>
              <w:t>Change to conditions only</w:t>
            </w:r>
          </w:p>
        </w:tc>
        <w:tc>
          <w:tcPr>
            <w:tcW w:w="276" w:type="pct"/>
            <w:tcBorders>
              <w:top w:val="nil"/>
              <w:left w:val="nil"/>
              <w:right w:val="nil"/>
            </w:tcBorders>
            <w:shd w:val="clear" w:color="auto" w:fill="auto"/>
            <w:noWrap/>
            <w:vAlign w:val="bottom"/>
            <w:hideMark/>
          </w:tcPr>
          <w:p w14:paraId="52A51F1F" w14:textId="77777777"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9</w:t>
            </w:r>
          </w:p>
        </w:tc>
        <w:tc>
          <w:tcPr>
            <w:tcW w:w="338" w:type="pct"/>
            <w:tcBorders>
              <w:top w:val="nil"/>
              <w:left w:val="nil"/>
              <w:right w:val="nil"/>
            </w:tcBorders>
            <w:shd w:val="clear" w:color="auto" w:fill="E1E8EB"/>
            <w:noWrap/>
            <w:vAlign w:val="bottom"/>
            <w:hideMark/>
          </w:tcPr>
          <w:p w14:paraId="23A7B823" w14:textId="0512E527" w:rsidR="000C0F10" w:rsidRPr="004B6536" w:rsidRDefault="00A837A1" w:rsidP="00405179">
            <w:pPr>
              <w:spacing w:after="0" w:line="240" w:lineRule="auto"/>
              <w:jc w:val="right"/>
              <w:rPr>
                <w:rFonts w:ascii="Arial" w:hAnsi="Arial" w:cs="Arial"/>
                <w:sz w:val="16"/>
                <w:szCs w:val="16"/>
              </w:rPr>
            </w:pPr>
            <w:r>
              <w:rPr>
                <w:rFonts w:ascii="Arial" w:hAnsi="Arial" w:cs="Arial"/>
                <w:sz w:val="16"/>
                <w:szCs w:val="16"/>
              </w:rPr>
              <w:t>7</w:t>
            </w:r>
          </w:p>
        </w:tc>
        <w:tc>
          <w:tcPr>
            <w:tcW w:w="100" w:type="pct"/>
            <w:gridSpan w:val="2"/>
            <w:tcBorders>
              <w:top w:val="nil"/>
              <w:left w:val="nil"/>
              <w:right w:val="nil"/>
            </w:tcBorders>
            <w:shd w:val="clear" w:color="auto" w:fill="auto"/>
            <w:noWrap/>
            <w:vAlign w:val="bottom"/>
            <w:hideMark/>
          </w:tcPr>
          <w:p w14:paraId="744FE251" w14:textId="77777777" w:rsidR="000C0F10" w:rsidRPr="004B6536" w:rsidRDefault="000C0F10" w:rsidP="00405179">
            <w:pPr>
              <w:spacing w:after="0" w:line="240" w:lineRule="auto"/>
              <w:jc w:val="right"/>
              <w:rPr>
                <w:rFonts w:ascii="Arial" w:hAnsi="Arial" w:cs="Arial"/>
                <w:sz w:val="16"/>
                <w:szCs w:val="16"/>
              </w:rPr>
            </w:pPr>
          </w:p>
        </w:tc>
        <w:tc>
          <w:tcPr>
            <w:tcW w:w="329" w:type="pct"/>
            <w:gridSpan w:val="2"/>
            <w:tcBorders>
              <w:top w:val="nil"/>
              <w:left w:val="nil"/>
              <w:right w:val="nil"/>
            </w:tcBorders>
            <w:shd w:val="clear" w:color="auto" w:fill="auto"/>
            <w:noWrap/>
            <w:vAlign w:val="bottom"/>
            <w:hideMark/>
          </w:tcPr>
          <w:p w14:paraId="37AA21D5" w14:textId="77777777"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0</w:t>
            </w:r>
          </w:p>
        </w:tc>
        <w:tc>
          <w:tcPr>
            <w:tcW w:w="329" w:type="pct"/>
            <w:tcBorders>
              <w:top w:val="nil"/>
              <w:left w:val="nil"/>
              <w:right w:val="nil"/>
            </w:tcBorders>
            <w:shd w:val="clear" w:color="auto" w:fill="E1E8EB"/>
            <w:noWrap/>
            <w:vAlign w:val="bottom"/>
            <w:hideMark/>
          </w:tcPr>
          <w:p w14:paraId="14E0AB25" w14:textId="77777777"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0</w:t>
            </w:r>
          </w:p>
        </w:tc>
        <w:tc>
          <w:tcPr>
            <w:tcW w:w="99" w:type="pct"/>
            <w:gridSpan w:val="2"/>
            <w:tcBorders>
              <w:top w:val="nil"/>
              <w:left w:val="nil"/>
              <w:right w:val="nil"/>
            </w:tcBorders>
            <w:shd w:val="clear" w:color="auto" w:fill="auto"/>
            <w:noWrap/>
            <w:vAlign w:val="bottom"/>
            <w:hideMark/>
          </w:tcPr>
          <w:p w14:paraId="0A1257DA" w14:textId="77777777" w:rsidR="000C0F10" w:rsidRPr="004B6536" w:rsidRDefault="000C0F10" w:rsidP="00405179">
            <w:pPr>
              <w:spacing w:after="0" w:line="240" w:lineRule="auto"/>
              <w:jc w:val="right"/>
              <w:rPr>
                <w:rFonts w:ascii="Arial" w:hAnsi="Arial" w:cs="Arial"/>
                <w:sz w:val="16"/>
                <w:szCs w:val="16"/>
              </w:rPr>
            </w:pPr>
          </w:p>
        </w:tc>
        <w:tc>
          <w:tcPr>
            <w:tcW w:w="328" w:type="pct"/>
            <w:gridSpan w:val="2"/>
            <w:tcBorders>
              <w:top w:val="nil"/>
              <w:left w:val="nil"/>
              <w:right w:val="nil"/>
            </w:tcBorders>
            <w:shd w:val="clear" w:color="auto" w:fill="auto"/>
            <w:noWrap/>
            <w:vAlign w:val="bottom"/>
            <w:hideMark/>
          </w:tcPr>
          <w:p w14:paraId="7CC0FC84" w14:textId="77777777"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138</w:t>
            </w:r>
          </w:p>
        </w:tc>
        <w:tc>
          <w:tcPr>
            <w:tcW w:w="330" w:type="pct"/>
            <w:tcBorders>
              <w:top w:val="nil"/>
              <w:left w:val="nil"/>
              <w:right w:val="nil"/>
            </w:tcBorders>
            <w:shd w:val="clear" w:color="auto" w:fill="E1E8EB"/>
            <w:noWrap/>
            <w:vAlign w:val="bottom"/>
            <w:hideMark/>
          </w:tcPr>
          <w:p w14:paraId="12A4483F" w14:textId="4E8FC617"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8</w:t>
            </w:r>
            <w:r w:rsidR="00814721">
              <w:rPr>
                <w:rFonts w:ascii="Arial" w:hAnsi="Arial" w:cs="Arial"/>
                <w:sz w:val="16"/>
                <w:szCs w:val="16"/>
              </w:rPr>
              <w:t>4</w:t>
            </w:r>
          </w:p>
        </w:tc>
        <w:tc>
          <w:tcPr>
            <w:tcW w:w="100" w:type="pct"/>
            <w:gridSpan w:val="2"/>
            <w:tcBorders>
              <w:top w:val="nil"/>
              <w:left w:val="nil"/>
              <w:right w:val="nil"/>
            </w:tcBorders>
            <w:shd w:val="clear" w:color="auto" w:fill="auto"/>
            <w:noWrap/>
            <w:vAlign w:val="bottom"/>
            <w:hideMark/>
          </w:tcPr>
          <w:p w14:paraId="437448C4" w14:textId="77777777" w:rsidR="000C0F10" w:rsidRPr="004B6536" w:rsidRDefault="000C0F10" w:rsidP="00405179">
            <w:pPr>
              <w:spacing w:after="0" w:line="240" w:lineRule="auto"/>
              <w:jc w:val="right"/>
              <w:rPr>
                <w:rFonts w:ascii="Arial" w:hAnsi="Arial" w:cs="Arial"/>
                <w:sz w:val="16"/>
                <w:szCs w:val="16"/>
              </w:rPr>
            </w:pPr>
          </w:p>
        </w:tc>
        <w:tc>
          <w:tcPr>
            <w:tcW w:w="330" w:type="pct"/>
            <w:gridSpan w:val="2"/>
            <w:tcBorders>
              <w:top w:val="nil"/>
              <w:left w:val="nil"/>
              <w:right w:val="nil"/>
            </w:tcBorders>
            <w:shd w:val="clear" w:color="auto" w:fill="auto"/>
            <w:noWrap/>
            <w:vAlign w:val="bottom"/>
            <w:hideMark/>
          </w:tcPr>
          <w:p w14:paraId="5F1863AA" w14:textId="77777777"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13</w:t>
            </w:r>
          </w:p>
        </w:tc>
        <w:tc>
          <w:tcPr>
            <w:tcW w:w="329" w:type="pct"/>
            <w:tcBorders>
              <w:top w:val="nil"/>
              <w:left w:val="nil"/>
              <w:right w:val="nil"/>
            </w:tcBorders>
            <w:shd w:val="clear" w:color="auto" w:fill="E1E8EB"/>
            <w:noWrap/>
            <w:vAlign w:val="bottom"/>
            <w:hideMark/>
          </w:tcPr>
          <w:p w14:paraId="45B45024" w14:textId="07FB91CE" w:rsidR="000C0F10" w:rsidRPr="004B6536" w:rsidRDefault="00814721" w:rsidP="00405179">
            <w:pPr>
              <w:spacing w:after="0" w:line="240" w:lineRule="auto"/>
              <w:jc w:val="right"/>
              <w:rPr>
                <w:rFonts w:ascii="Arial" w:hAnsi="Arial" w:cs="Arial"/>
                <w:sz w:val="16"/>
                <w:szCs w:val="16"/>
              </w:rPr>
            </w:pPr>
            <w:r>
              <w:rPr>
                <w:rFonts w:ascii="Arial" w:hAnsi="Arial" w:cs="Arial"/>
                <w:sz w:val="16"/>
                <w:szCs w:val="16"/>
              </w:rPr>
              <w:t>15</w:t>
            </w:r>
          </w:p>
        </w:tc>
        <w:tc>
          <w:tcPr>
            <w:tcW w:w="98" w:type="pct"/>
            <w:gridSpan w:val="2"/>
            <w:tcBorders>
              <w:top w:val="nil"/>
              <w:left w:val="nil"/>
              <w:right w:val="nil"/>
            </w:tcBorders>
            <w:shd w:val="clear" w:color="auto" w:fill="auto"/>
            <w:noWrap/>
            <w:vAlign w:val="bottom"/>
            <w:hideMark/>
          </w:tcPr>
          <w:p w14:paraId="317357AF" w14:textId="77777777" w:rsidR="000C0F10" w:rsidRPr="004B6536" w:rsidRDefault="000C0F10" w:rsidP="00405179">
            <w:pPr>
              <w:spacing w:after="0" w:line="240" w:lineRule="auto"/>
              <w:jc w:val="right"/>
              <w:rPr>
                <w:rFonts w:ascii="Arial" w:hAnsi="Arial" w:cs="Arial"/>
                <w:sz w:val="16"/>
                <w:szCs w:val="16"/>
              </w:rPr>
            </w:pPr>
          </w:p>
        </w:tc>
        <w:tc>
          <w:tcPr>
            <w:tcW w:w="334" w:type="pct"/>
            <w:gridSpan w:val="2"/>
            <w:tcBorders>
              <w:top w:val="nil"/>
              <w:left w:val="nil"/>
              <w:right w:val="nil"/>
            </w:tcBorders>
            <w:shd w:val="clear" w:color="auto" w:fill="auto"/>
            <w:noWrap/>
            <w:vAlign w:val="bottom"/>
            <w:hideMark/>
          </w:tcPr>
          <w:p w14:paraId="30F7AFEA" w14:textId="77777777"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5</w:t>
            </w:r>
          </w:p>
        </w:tc>
        <w:tc>
          <w:tcPr>
            <w:tcW w:w="332" w:type="pct"/>
            <w:gridSpan w:val="2"/>
            <w:tcBorders>
              <w:top w:val="nil"/>
              <w:left w:val="nil"/>
              <w:right w:val="nil"/>
            </w:tcBorders>
            <w:shd w:val="clear" w:color="auto" w:fill="E1E8EB"/>
            <w:noWrap/>
            <w:vAlign w:val="bottom"/>
            <w:hideMark/>
          </w:tcPr>
          <w:p w14:paraId="29246798" w14:textId="13EF625B" w:rsidR="000C0F10" w:rsidRPr="004B6536" w:rsidRDefault="00FD6AF5" w:rsidP="00405179">
            <w:pPr>
              <w:spacing w:after="0" w:line="240" w:lineRule="auto"/>
              <w:jc w:val="right"/>
              <w:rPr>
                <w:rFonts w:ascii="Arial" w:hAnsi="Arial" w:cs="Arial"/>
                <w:sz w:val="16"/>
                <w:szCs w:val="16"/>
              </w:rPr>
            </w:pPr>
            <w:r>
              <w:rPr>
                <w:rFonts w:ascii="Arial" w:hAnsi="Arial" w:cs="Arial"/>
                <w:sz w:val="16"/>
                <w:szCs w:val="16"/>
              </w:rPr>
              <w:t>7</w:t>
            </w:r>
          </w:p>
        </w:tc>
        <w:tc>
          <w:tcPr>
            <w:tcW w:w="98" w:type="pct"/>
            <w:gridSpan w:val="2"/>
            <w:tcBorders>
              <w:top w:val="nil"/>
              <w:left w:val="nil"/>
              <w:right w:val="nil"/>
            </w:tcBorders>
            <w:shd w:val="clear" w:color="auto" w:fill="auto"/>
            <w:noWrap/>
            <w:vAlign w:val="bottom"/>
            <w:hideMark/>
          </w:tcPr>
          <w:p w14:paraId="74A705E9" w14:textId="77777777" w:rsidR="000C0F10" w:rsidRPr="004B6536" w:rsidRDefault="000C0F10" w:rsidP="00405179">
            <w:pPr>
              <w:spacing w:after="0" w:line="240" w:lineRule="auto"/>
              <w:jc w:val="right"/>
              <w:rPr>
                <w:rFonts w:ascii="Arial" w:hAnsi="Arial" w:cs="Arial"/>
                <w:sz w:val="16"/>
                <w:szCs w:val="16"/>
              </w:rPr>
            </w:pPr>
          </w:p>
        </w:tc>
        <w:tc>
          <w:tcPr>
            <w:tcW w:w="338" w:type="pct"/>
            <w:gridSpan w:val="3"/>
            <w:tcBorders>
              <w:top w:val="nil"/>
              <w:left w:val="nil"/>
              <w:right w:val="nil"/>
            </w:tcBorders>
            <w:shd w:val="clear" w:color="auto" w:fill="auto"/>
            <w:noWrap/>
            <w:vAlign w:val="bottom"/>
            <w:hideMark/>
          </w:tcPr>
          <w:p w14:paraId="469AB7BA" w14:textId="77777777" w:rsidR="000C0F10" w:rsidRPr="00DC0FCA" w:rsidRDefault="000C0F10" w:rsidP="00405179">
            <w:pPr>
              <w:spacing w:after="0" w:line="240" w:lineRule="auto"/>
              <w:jc w:val="right"/>
              <w:rPr>
                <w:rFonts w:ascii="Arial" w:hAnsi="Arial" w:cs="Arial"/>
                <w:sz w:val="16"/>
                <w:szCs w:val="16"/>
              </w:rPr>
            </w:pPr>
            <w:r w:rsidRPr="00DC0FCA">
              <w:rPr>
                <w:rFonts w:ascii="Arial" w:hAnsi="Arial" w:cs="Arial"/>
                <w:sz w:val="16"/>
                <w:szCs w:val="16"/>
              </w:rPr>
              <w:t>165</w:t>
            </w:r>
          </w:p>
        </w:tc>
        <w:tc>
          <w:tcPr>
            <w:tcW w:w="326" w:type="pct"/>
            <w:gridSpan w:val="2"/>
            <w:tcBorders>
              <w:top w:val="nil"/>
              <w:left w:val="nil"/>
              <w:right w:val="nil"/>
            </w:tcBorders>
            <w:shd w:val="clear" w:color="auto" w:fill="E1E8EB"/>
            <w:noWrap/>
            <w:vAlign w:val="bottom"/>
            <w:hideMark/>
          </w:tcPr>
          <w:p w14:paraId="38872C9E" w14:textId="4E421BC6" w:rsidR="000C0F10" w:rsidRPr="00DC0FCA" w:rsidRDefault="00814721" w:rsidP="00405179">
            <w:pPr>
              <w:spacing w:after="0" w:line="240" w:lineRule="auto"/>
              <w:jc w:val="right"/>
              <w:rPr>
                <w:rFonts w:ascii="Arial" w:hAnsi="Arial" w:cs="Arial"/>
                <w:b/>
                <w:bCs/>
                <w:sz w:val="16"/>
                <w:szCs w:val="16"/>
              </w:rPr>
            </w:pPr>
            <w:r>
              <w:rPr>
                <w:rFonts w:ascii="Arial" w:hAnsi="Arial" w:cs="Arial"/>
                <w:b/>
                <w:bCs/>
                <w:sz w:val="16"/>
                <w:szCs w:val="16"/>
              </w:rPr>
              <w:t>113</w:t>
            </w:r>
          </w:p>
        </w:tc>
      </w:tr>
      <w:tr w:rsidR="00DC0FCA" w:rsidRPr="004B6536" w14:paraId="174223F0" w14:textId="77777777" w:rsidTr="00405179">
        <w:trPr>
          <w:trHeight w:val="621"/>
        </w:trPr>
        <w:tc>
          <w:tcPr>
            <w:tcW w:w="586" w:type="pct"/>
            <w:tcBorders>
              <w:top w:val="nil"/>
              <w:left w:val="nil"/>
              <w:bottom w:val="single" w:sz="4" w:space="0" w:color="auto"/>
              <w:right w:val="nil"/>
            </w:tcBorders>
            <w:shd w:val="clear" w:color="000000" w:fill="FFFFFF"/>
            <w:vAlign w:val="bottom"/>
            <w:hideMark/>
          </w:tcPr>
          <w:p w14:paraId="646A33AF" w14:textId="747ED87E" w:rsidR="000C0F10" w:rsidRPr="004B6536" w:rsidRDefault="000C0F10" w:rsidP="00405179">
            <w:pPr>
              <w:spacing w:after="0" w:line="240" w:lineRule="auto"/>
              <w:jc w:val="left"/>
              <w:rPr>
                <w:rFonts w:ascii="Arial" w:hAnsi="Arial" w:cs="Arial"/>
                <w:sz w:val="16"/>
                <w:szCs w:val="16"/>
              </w:rPr>
            </w:pPr>
            <w:r w:rsidRPr="004B6536">
              <w:rPr>
                <w:rFonts w:ascii="Arial" w:hAnsi="Arial" w:cs="Arial"/>
                <w:sz w:val="16"/>
                <w:szCs w:val="16"/>
              </w:rPr>
              <w:t>Other, or more than</w:t>
            </w:r>
            <w:r w:rsidR="006170B3">
              <w:rPr>
                <w:rFonts w:ascii="Arial" w:hAnsi="Arial" w:cs="Arial"/>
                <w:sz w:val="16"/>
                <w:szCs w:val="16"/>
              </w:rPr>
              <w:t xml:space="preserve"> </w:t>
            </w:r>
            <w:r w:rsidRPr="004B6536">
              <w:rPr>
                <w:rFonts w:ascii="Arial" w:hAnsi="Arial" w:cs="Arial"/>
                <w:sz w:val="16"/>
                <w:szCs w:val="16"/>
              </w:rPr>
              <w:t>one</w:t>
            </w:r>
            <w:r w:rsidR="0048602D">
              <w:rPr>
                <w:rFonts w:ascii="Arial" w:hAnsi="Arial" w:cs="Arial"/>
                <w:sz w:val="16"/>
                <w:szCs w:val="16"/>
              </w:rPr>
              <w:t xml:space="preserve"> </w:t>
            </w:r>
            <w:r w:rsidRPr="004B6536">
              <w:rPr>
                <w:rFonts w:ascii="Arial" w:hAnsi="Arial" w:cs="Arial"/>
                <w:sz w:val="16"/>
                <w:szCs w:val="16"/>
              </w:rPr>
              <w:t>reason</w:t>
            </w:r>
          </w:p>
        </w:tc>
        <w:tc>
          <w:tcPr>
            <w:tcW w:w="276" w:type="pct"/>
            <w:tcBorders>
              <w:top w:val="nil"/>
              <w:left w:val="nil"/>
              <w:bottom w:val="single" w:sz="4" w:space="0" w:color="auto"/>
              <w:right w:val="nil"/>
            </w:tcBorders>
            <w:shd w:val="clear" w:color="auto" w:fill="auto"/>
            <w:noWrap/>
            <w:vAlign w:val="bottom"/>
            <w:hideMark/>
          </w:tcPr>
          <w:p w14:paraId="594DB490" w14:textId="77777777"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3</w:t>
            </w:r>
          </w:p>
        </w:tc>
        <w:tc>
          <w:tcPr>
            <w:tcW w:w="338" w:type="pct"/>
            <w:tcBorders>
              <w:top w:val="nil"/>
              <w:left w:val="nil"/>
              <w:bottom w:val="single" w:sz="4" w:space="0" w:color="auto"/>
              <w:right w:val="nil"/>
            </w:tcBorders>
            <w:shd w:val="clear" w:color="auto" w:fill="E1E8EB"/>
            <w:noWrap/>
            <w:vAlign w:val="bottom"/>
            <w:hideMark/>
          </w:tcPr>
          <w:p w14:paraId="1514D90C" w14:textId="73A4189C" w:rsidR="000C0F10" w:rsidRPr="004B6536" w:rsidRDefault="00A837A1" w:rsidP="00405179">
            <w:pPr>
              <w:spacing w:after="0" w:line="240" w:lineRule="auto"/>
              <w:jc w:val="right"/>
              <w:rPr>
                <w:rFonts w:ascii="Arial" w:hAnsi="Arial" w:cs="Arial"/>
                <w:sz w:val="16"/>
                <w:szCs w:val="16"/>
              </w:rPr>
            </w:pPr>
            <w:r>
              <w:rPr>
                <w:rFonts w:ascii="Arial" w:hAnsi="Arial" w:cs="Arial"/>
                <w:sz w:val="16"/>
                <w:szCs w:val="16"/>
              </w:rPr>
              <w:t>13</w:t>
            </w:r>
          </w:p>
        </w:tc>
        <w:tc>
          <w:tcPr>
            <w:tcW w:w="100" w:type="pct"/>
            <w:gridSpan w:val="2"/>
            <w:tcBorders>
              <w:top w:val="nil"/>
              <w:left w:val="nil"/>
              <w:bottom w:val="single" w:sz="4" w:space="0" w:color="auto"/>
              <w:right w:val="nil"/>
            </w:tcBorders>
            <w:shd w:val="clear" w:color="auto" w:fill="auto"/>
            <w:noWrap/>
            <w:vAlign w:val="bottom"/>
            <w:hideMark/>
          </w:tcPr>
          <w:p w14:paraId="5BD767F1" w14:textId="77777777" w:rsidR="000C0F10" w:rsidRPr="004B6536" w:rsidRDefault="000C0F10" w:rsidP="00405179">
            <w:pPr>
              <w:spacing w:after="0" w:line="240" w:lineRule="auto"/>
              <w:jc w:val="right"/>
              <w:rPr>
                <w:rFonts w:ascii="Arial" w:hAnsi="Arial" w:cs="Arial"/>
                <w:sz w:val="16"/>
                <w:szCs w:val="16"/>
              </w:rPr>
            </w:pPr>
          </w:p>
        </w:tc>
        <w:tc>
          <w:tcPr>
            <w:tcW w:w="329" w:type="pct"/>
            <w:gridSpan w:val="2"/>
            <w:tcBorders>
              <w:top w:val="nil"/>
              <w:left w:val="nil"/>
              <w:bottom w:val="single" w:sz="4" w:space="0" w:color="auto"/>
              <w:right w:val="nil"/>
            </w:tcBorders>
            <w:shd w:val="clear" w:color="auto" w:fill="auto"/>
            <w:noWrap/>
            <w:vAlign w:val="bottom"/>
            <w:hideMark/>
          </w:tcPr>
          <w:p w14:paraId="71BB666F" w14:textId="77777777"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0</w:t>
            </w:r>
          </w:p>
        </w:tc>
        <w:tc>
          <w:tcPr>
            <w:tcW w:w="329" w:type="pct"/>
            <w:tcBorders>
              <w:top w:val="nil"/>
              <w:left w:val="nil"/>
              <w:bottom w:val="single" w:sz="4" w:space="0" w:color="auto"/>
              <w:right w:val="nil"/>
            </w:tcBorders>
            <w:shd w:val="clear" w:color="auto" w:fill="E1E8EB"/>
            <w:noWrap/>
            <w:vAlign w:val="bottom"/>
            <w:hideMark/>
          </w:tcPr>
          <w:p w14:paraId="3D55A104" w14:textId="77777777"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0</w:t>
            </w:r>
          </w:p>
        </w:tc>
        <w:tc>
          <w:tcPr>
            <w:tcW w:w="99" w:type="pct"/>
            <w:gridSpan w:val="2"/>
            <w:tcBorders>
              <w:top w:val="nil"/>
              <w:left w:val="nil"/>
              <w:bottom w:val="single" w:sz="4" w:space="0" w:color="auto"/>
              <w:right w:val="nil"/>
            </w:tcBorders>
            <w:shd w:val="clear" w:color="auto" w:fill="auto"/>
            <w:noWrap/>
            <w:vAlign w:val="bottom"/>
            <w:hideMark/>
          </w:tcPr>
          <w:p w14:paraId="190EF77D" w14:textId="77777777" w:rsidR="000C0F10" w:rsidRPr="004B6536" w:rsidRDefault="000C0F10" w:rsidP="00405179">
            <w:pPr>
              <w:spacing w:after="0" w:line="240" w:lineRule="auto"/>
              <w:jc w:val="right"/>
              <w:rPr>
                <w:rFonts w:ascii="Arial" w:hAnsi="Arial" w:cs="Arial"/>
                <w:sz w:val="16"/>
                <w:szCs w:val="16"/>
              </w:rPr>
            </w:pPr>
          </w:p>
        </w:tc>
        <w:tc>
          <w:tcPr>
            <w:tcW w:w="328" w:type="pct"/>
            <w:gridSpan w:val="2"/>
            <w:tcBorders>
              <w:top w:val="nil"/>
              <w:left w:val="nil"/>
              <w:bottom w:val="single" w:sz="4" w:space="0" w:color="auto"/>
              <w:right w:val="nil"/>
            </w:tcBorders>
            <w:shd w:val="clear" w:color="auto" w:fill="auto"/>
            <w:noWrap/>
            <w:vAlign w:val="bottom"/>
            <w:hideMark/>
          </w:tcPr>
          <w:p w14:paraId="6E393280" w14:textId="77777777"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5</w:t>
            </w:r>
          </w:p>
        </w:tc>
        <w:tc>
          <w:tcPr>
            <w:tcW w:w="330" w:type="pct"/>
            <w:tcBorders>
              <w:top w:val="nil"/>
              <w:left w:val="nil"/>
              <w:bottom w:val="single" w:sz="4" w:space="0" w:color="auto"/>
              <w:right w:val="nil"/>
            </w:tcBorders>
            <w:shd w:val="clear" w:color="auto" w:fill="E1E8EB"/>
            <w:noWrap/>
            <w:vAlign w:val="bottom"/>
            <w:hideMark/>
          </w:tcPr>
          <w:p w14:paraId="23534C44" w14:textId="172F8FA6" w:rsidR="000C0F10" w:rsidRPr="004B6536" w:rsidRDefault="00814721" w:rsidP="00405179">
            <w:pPr>
              <w:spacing w:after="0" w:line="240" w:lineRule="auto"/>
              <w:jc w:val="right"/>
              <w:rPr>
                <w:rFonts w:ascii="Arial" w:hAnsi="Arial" w:cs="Arial"/>
                <w:sz w:val="16"/>
                <w:szCs w:val="16"/>
              </w:rPr>
            </w:pPr>
            <w:r>
              <w:rPr>
                <w:rFonts w:ascii="Arial" w:hAnsi="Arial" w:cs="Arial"/>
                <w:sz w:val="16"/>
                <w:szCs w:val="16"/>
              </w:rPr>
              <w:t>0</w:t>
            </w:r>
          </w:p>
        </w:tc>
        <w:tc>
          <w:tcPr>
            <w:tcW w:w="100" w:type="pct"/>
            <w:gridSpan w:val="2"/>
            <w:tcBorders>
              <w:top w:val="nil"/>
              <w:left w:val="nil"/>
              <w:bottom w:val="single" w:sz="4" w:space="0" w:color="auto"/>
              <w:right w:val="nil"/>
            </w:tcBorders>
            <w:shd w:val="clear" w:color="auto" w:fill="auto"/>
            <w:noWrap/>
            <w:vAlign w:val="bottom"/>
            <w:hideMark/>
          </w:tcPr>
          <w:p w14:paraId="4DA1989B" w14:textId="77777777" w:rsidR="000C0F10" w:rsidRPr="004B6536" w:rsidRDefault="000C0F10" w:rsidP="00405179">
            <w:pPr>
              <w:spacing w:after="0" w:line="240" w:lineRule="auto"/>
              <w:jc w:val="right"/>
              <w:rPr>
                <w:rFonts w:ascii="Arial" w:hAnsi="Arial" w:cs="Arial"/>
                <w:sz w:val="16"/>
                <w:szCs w:val="16"/>
              </w:rPr>
            </w:pPr>
          </w:p>
        </w:tc>
        <w:tc>
          <w:tcPr>
            <w:tcW w:w="330" w:type="pct"/>
            <w:gridSpan w:val="2"/>
            <w:tcBorders>
              <w:top w:val="nil"/>
              <w:left w:val="nil"/>
              <w:bottom w:val="single" w:sz="4" w:space="0" w:color="auto"/>
              <w:right w:val="nil"/>
            </w:tcBorders>
            <w:shd w:val="clear" w:color="auto" w:fill="auto"/>
            <w:noWrap/>
            <w:vAlign w:val="bottom"/>
            <w:hideMark/>
          </w:tcPr>
          <w:p w14:paraId="4B684C39" w14:textId="77777777"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7</w:t>
            </w:r>
          </w:p>
        </w:tc>
        <w:tc>
          <w:tcPr>
            <w:tcW w:w="329" w:type="pct"/>
            <w:tcBorders>
              <w:top w:val="nil"/>
              <w:left w:val="nil"/>
              <w:bottom w:val="single" w:sz="4" w:space="0" w:color="auto"/>
              <w:right w:val="nil"/>
            </w:tcBorders>
            <w:shd w:val="clear" w:color="auto" w:fill="E1E8EB"/>
            <w:noWrap/>
            <w:vAlign w:val="bottom"/>
            <w:hideMark/>
          </w:tcPr>
          <w:p w14:paraId="7B40FF58" w14:textId="30F9BB2B" w:rsidR="000C0F10" w:rsidRPr="004B6536" w:rsidRDefault="00814721" w:rsidP="00405179">
            <w:pPr>
              <w:spacing w:after="0" w:line="240" w:lineRule="auto"/>
              <w:jc w:val="right"/>
              <w:rPr>
                <w:rFonts w:ascii="Arial" w:hAnsi="Arial" w:cs="Arial"/>
                <w:sz w:val="16"/>
                <w:szCs w:val="16"/>
              </w:rPr>
            </w:pPr>
            <w:r>
              <w:rPr>
                <w:rFonts w:ascii="Arial" w:hAnsi="Arial" w:cs="Arial"/>
                <w:sz w:val="16"/>
                <w:szCs w:val="16"/>
              </w:rPr>
              <w:t>5</w:t>
            </w:r>
          </w:p>
        </w:tc>
        <w:tc>
          <w:tcPr>
            <w:tcW w:w="98" w:type="pct"/>
            <w:gridSpan w:val="2"/>
            <w:tcBorders>
              <w:top w:val="nil"/>
              <w:left w:val="nil"/>
              <w:bottom w:val="single" w:sz="4" w:space="0" w:color="auto"/>
              <w:right w:val="nil"/>
            </w:tcBorders>
            <w:shd w:val="clear" w:color="auto" w:fill="auto"/>
            <w:noWrap/>
            <w:vAlign w:val="bottom"/>
            <w:hideMark/>
          </w:tcPr>
          <w:p w14:paraId="0790CE9B" w14:textId="77777777" w:rsidR="000C0F10" w:rsidRPr="004B6536" w:rsidRDefault="000C0F10" w:rsidP="00405179">
            <w:pPr>
              <w:spacing w:after="0" w:line="240" w:lineRule="auto"/>
              <w:jc w:val="right"/>
              <w:rPr>
                <w:rFonts w:ascii="Arial" w:hAnsi="Arial" w:cs="Arial"/>
                <w:sz w:val="16"/>
                <w:szCs w:val="16"/>
              </w:rPr>
            </w:pPr>
          </w:p>
        </w:tc>
        <w:tc>
          <w:tcPr>
            <w:tcW w:w="334" w:type="pct"/>
            <w:gridSpan w:val="2"/>
            <w:tcBorders>
              <w:top w:val="nil"/>
              <w:left w:val="nil"/>
              <w:bottom w:val="single" w:sz="4" w:space="0" w:color="auto"/>
              <w:right w:val="nil"/>
            </w:tcBorders>
            <w:shd w:val="clear" w:color="auto" w:fill="auto"/>
            <w:noWrap/>
            <w:vAlign w:val="bottom"/>
            <w:hideMark/>
          </w:tcPr>
          <w:p w14:paraId="5952B8B2" w14:textId="77777777" w:rsidR="000C0F10" w:rsidRPr="004B6536" w:rsidRDefault="000C0F10" w:rsidP="00405179">
            <w:pPr>
              <w:spacing w:after="0" w:line="240" w:lineRule="auto"/>
              <w:jc w:val="right"/>
              <w:rPr>
                <w:rFonts w:ascii="Arial" w:hAnsi="Arial" w:cs="Arial"/>
                <w:sz w:val="16"/>
                <w:szCs w:val="16"/>
              </w:rPr>
            </w:pPr>
            <w:r w:rsidRPr="004B6536">
              <w:rPr>
                <w:rFonts w:ascii="Arial" w:hAnsi="Arial" w:cs="Arial"/>
                <w:sz w:val="16"/>
                <w:szCs w:val="16"/>
              </w:rPr>
              <w:t>4</w:t>
            </w:r>
          </w:p>
        </w:tc>
        <w:tc>
          <w:tcPr>
            <w:tcW w:w="332" w:type="pct"/>
            <w:gridSpan w:val="2"/>
            <w:tcBorders>
              <w:top w:val="nil"/>
              <w:left w:val="nil"/>
              <w:bottom w:val="single" w:sz="4" w:space="0" w:color="auto"/>
              <w:right w:val="nil"/>
            </w:tcBorders>
            <w:shd w:val="clear" w:color="auto" w:fill="E1E8EB"/>
            <w:noWrap/>
            <w:vAlign w:val="bottom"/>
            <w:hideMark/>
          </w:tcPr>
          <w:p w14:paraId="55845AD5" w14:textId="0E9FF5D0" w:rsidR="000C0F10" w:rsidRPr="004B6536" w:rsidRDefault="00FD6AF5" w:rsidP="00405179">
            <w:pPr>
              <w:spacing w:after="0" w:line="240" w:lineRule="auto"/>
              <w:jc w:val="right"/>
              <w:rPr>
                <w:rFonts w:ascii="Arial" w:hAnsi="Arial" w:cs="Arial"/>
                <w:sz w:val="16"/>
                <w:szCs w:val="16"/>
              </w:rPr>
            </w:pPr>
            <w:r>
              <w:rPr>
                <w:rFonts w:ascii="Arial" w:hAnsi="Arial" w:cs="Arial"/>
                <w:sz w:val="16"/>
                <w:szCs w:val="16"/>
              </w:rPr>
              <w:t>12</w:t>
            </w:r>
          </w:p>
        </w:tc>
        <w:tc>
          <w:tcPr>
            <w:tcW w:w="98" w:type="pct"/>
            <w:gridSpan w:val="2"/>
            <w:tcBorders>
              <w:top w:val="nil"/>
              <w:left w:val="nil"/>
              <w:bottom w:val="single" w:sz="4" w:space="0" w:color="auto"/>
              <w:right w:val="nil"/>
            </w:tcBorders>
            <w:shd w:val="clear" w:color="auto" w:fill="auto"/>
            <w:noWrap/>
            <w:vAlign w:val="bottom"/>
            <w:hideMark/>
          </w:tcPr>
          <w:p w14:paraId="519D72DF" w14:textId="77777777" w:rsidR="000C0F10" w:rsidRPr="004B6536" w:rsidRDefault="000C0F10" w:rsidP="00405179">
            <w:pPr>
              <w:spacing w:after="0" w:line="240" w:lineRule="auto"/>
              <w:jc w:val="right"/>
              <w:rPr>
                <w:rFonts w:ascii="Arial" w:hAnsi="Arial" w:cs="Arial"/>
                <w:sz w:val="16"/>
                <w:szCs w:val="16"/>
              </w:rPr>
            </w:pPr>
          </w:p>
        </w:tc>
        <w:tc>
          <w:tcPr>
            <w:tcW w:w="338" w:type="pct"/>
            <w:gridSpan w:val="3"/>
            <w:tcBorders>
              <w:top w:val="nil"/>
              <w:left w:val="nil"/>
              <w:bottom w:val="single" w:sz="4" w:space="0" w:color="auto"/>
              <w:right w:val="nil"/>
            </w:tcBorders>
            <w:shd w:val="clear" w:color="auto" w:fill="auto"/>
            <w:noWrap/>
            <w:vAlign w:val="bottom"/>
            <w:hideMark/>
          </w:tcPr>
          <w:p w14:paraId="204CB885" w14:textId="77777777" w:rsidR="000C0F10" w:rsidRPr="00DC0FCA" w:rsidRDefault="000C0F10" w:rsidP="00405179">
            <w:pPr>
              <w:spacing w:after="0" w:line="240" w:lineRule="auto"/>
              <w:jc w:val="right"/>
              <w:rPr>
                <w:rFonts w:ascii="Arial" w:hAnsi="Arial" w:cs="Arial"/>
                <w:sz w:val="16"/>
                <w:szCs w:val="16"/>
              </w:rPr>
            </w:pPr>
            <w:r w:rsidRPr="00DC0FCA">
              <w:rPr>
                <w:rFonts w:ascii="Arial" w:hAnsi="Arial" w:cs="Arial"/>
                <w:sz w:val="16"/>
                <w:szCs w:val="16"/>
              </w:rPr>
              <w:t>19</w:t>
            </w:r>
          </w:p>
        </w:tc>
        <w:tc>
          <w:tcPr>
            <w:tcW w:w="326" w:type="pct"/>
            <w:gridSpan w:val="2"/>
            <w:tcBorders>
              <w:top w:val="nil"/>
              <w:left w:val="nil"/>
              <w:bottom w:val="single" w:sz="4" w:space="0" w:color="auto"/>
              <w:right w:val="nil"/>
            </w:tcBorders>
            <w:shd w:val="clear" w:color="auto" w:fill="E1E8EB"/>
            <w:noWrap/>
            <w:vAlign w:val="bottom"/>
            <w:hideMark/>
          </w:tcPr>
          <w:p w14:paraId="3A4F822F" w14:textId="41D56A0A" w:rsidR="000C0F10" w:rsidRPr="00DC0FCA" w:rsidRDefault="00814721" w:rsidP="00405179">
            <w:pPr>
              <w:spacing w:after="0" w:line="240" w:lineRule="auto"/>
              <w:jc w:val="right"/>
              <w:rPr>
                <w:rFonts w:ascii="Arial" w:hAnsi="Arial" w:cs="Arial"/>
                <w:b/>
                <w:bCs/>
                <w:sz w:val="16"/>
                <w:szCs w:val="16"/>
              </w:rPr>
            </w:pPr>
            <w:r>
              <w:rPr>
                <w:rFonts w:ascii="Arial" w:hAnsi="Arial" w:cs="Arial"/>
                <w:b/>
                <w:bCs/>
                <w:sz w:val="16"/>
                <w:szCs w:val="16"/>
              </w:rPr>
              <w:t>30</w:t>
            </w:r>
          </w:p>
        </w:tc>
      </w:tr>
      <w:tr w:rsidR="00DC0FCA" w:rsidRPr="004B6536" w14:paraId="33BBB856" w14:textId="77777777" w:rsidTr="00405179">
        <w:trPr>
          <w:trHeight w:val="358"/>
        </w:trPr>
        <w:tc>
          <w:tcPr>
            <w:tcW w:w="586" w:type="pct"/>
            <w:tcBorders>
              <w:top w:val="single" w:sz="4" w:space="0" w:color="auto"/>
              <w:left w:val="nil"/>
              <w:bottom w:val="single" w:sz="4" w:space="0" w:color="000000"/>
              <w:right w:val="nil"/>
            </w:tcBorders>
            <w:shd w:val="clear" w:color="000000" w:fill="FFFFFF"/>
            <w:vAlign w:val="bottom"/>
            <w:hideMark/>
          </w:tcPr>
          <w:p w14:paraId="1F2370BB" w14:textId="2F17DC54" w:rsidR="000C0F10" w:rsidRPr="004B6536" w:rsidRDefault="000C0F10" w:rsidP="00405179">
            <w:pPr>
              <w:spacing w:after="0" w:line="240" w:lineRule="auto"/>
              <w:jc w:val="left"/>
              <w:rPr>
                <w:rFonts w:ascii="Arial" w:hAnsi="Arial" w:cs="Arial"/>
                <w:b/>
                <w:bCs/>
                <w:sz w:val="16"/>
                <w:szCs w:val="16"/>
              </w:rPr>
            </w:pPr>
            <w:r w:rsidRPr="004B6536">
              <w:rPr>
                <w:rFonts w:ascii="Arial" w:hAnsi="Arial" w:cs="Arial"/>
                <w:b/>
                <w:bCs/>
                <w:sz w:val="16"/>
                <w:szCs w:val="16"/>
              </w:rPr>
              <w:t xml:space="preserve">Total approved </w:t>
            </w:r>
          </w:p>
        </w:tc>
        <w:tc>
          <w:tcPr>
            <w:tcW w:w="276" w:type="pct"/>
            <w:tcBorders>
              <w:top w:val="single" w:sz="4" w:space="0" w:color="auto"/>
              <w:left w:val="nil"/>
              <w:bottom w:val="single" w:sz="4" w:space="0" w:color="000000"/>
              <w:right w:val="nil"/>
            </w:tcBorders>
            <w:shd w:val="clear" w:color="auto" w:fill="auto"/>
            <w:noWrap/>
            <w:vAlign w:val="bottom"/>
            <w:hideMark/>
          </w:tcPr>
          <w:p w14:paraId="2DA88403" w14:textId="77777777" w:rsidR="000C0F10" w:rsidRPr="00A55C83" w:rsidRDefault="000C0F10" w:rsidP="00405179">
            <w:pPr>
              <w:spacing w:after="0" w:line="240" w:lineRule="auto"/>
              <w:jc w:val="right"/>
              <w:rPr>
                <w:rFonts w:ascii="Arial" w:hAnsi="Arial" w:cs="Arial"/>
                <w:sz w:val="16"/>
                <w:szCs w:val="16"/>
              </w:rPr>
            </w:pPr>
            <w:r w:rsidRPr="00A55C83">
              <w:rPr>
                <w:rFonts w:ascii="Arial" w:hAnsi="Arial" w:cs="Arial"/>
                <w:sz w:val="16"/>
                <w:szCs w:val="16"/>
              </w:rPr>
              <w:t>17</w:t>
            </w:r>
          </w:p>
        </w:tc>
        <w:tc>
          <w:tcPr>
            <w:tcW w:w="338" w:type="pct"/>
            <w:tcBorders>
              <w:top w:val="single" w:sz="4" w:space="0" w:color="auto"/>
              <w:left w:val="nil"/>
              <w:bottom w:val="single" w:sz="4" w:space="0" w:color="000000"/>
              <w:right w:val="nil"/>
            </w:tcBorders>
            <w:shd w:val="clear" w:color="auto" w:fill="E1E8EB"/>
            <w:noWrap/>
            <w:vAlign w:val="bottom"/>
            <w:hideMark/>
          </w:tcPr>
          <w:p w14:paraId="34DD24E8" w14:textId="4BC1A6F9" w:rsidR="000C0F10" w:rsidRPr="004B6536" w:rsidRDefault="00A837A1" w:rsidP="00405179">
            <w:pPr>
              <w:spacing w:after="0" w:line="240" w:lineRule="auto"/>
              <w:jc w:val="right"/>
              <w:rPr>
                <w:rFonts w:ascii="Arial" w:hAnsi="Arial" w:cs="Arial"/>
                <w:b/>
                <w:bCs/>
                <w:sz w:val="16"/>
                <w:szCs w:val="16"/>
              </w:rPr>
            </w:pPr>
            <w:r>
              <w:rPr>
                <w:rFonts w:ascii="Arial" w:hAnsi="Arial" w:cs="Arial"/>
                <w:b/>
                <w:bCs/>
                <w:sz w:val="16"/>
                <w:szCs w:val="16"/>
              </w:rPr>
              <w:t>23</w:t>
            </w:r>
          </w:p>
        </w:tc>
        <w:tc>
          <w:tcPr>
            <w:tcW w:w="100" w:type="pct"/>
            <w:gridSpan w:val="2"/>
            <w:tcBorders>
              <w:top w:val="single" w:sz="4" w:space="0" w:color="auto"/>
              <w:left w:val="nil"/>
              <w:bottom w:val="single" w:sz="4" w:space="0" w:color="000000"/>
              <w:right w:val="nil"/>
            </w:tcBorders>
            <w:shd w:val="clear" w:color="auto" w:fill="auto"/>
            <w:noWrap/>
            <w:vAlign w:val="bottom"/>
            <w:hideMark/>
          </w:tcPr>
          <w:p w14:paraId="22DDAC81" w14:textId="77777777" w:rsidR="000C0F10" w:rsidRPr="004B6536" w:rsidRDefault="000C0F10" w:rsidP="00405179">
            <w:pPr>
              <w:spacing w:after="0" w:line="240" w:lineRule="auto"/>
              <w:jc w:val="right"/>
              <w:rPr>
                <w:rFonts w:ascii="Arial" w:hAnsi="Arial" w:cs="Arial"/>
                <w:b/>
                <w:bCs/>
                <w:sz w:val="16"/>
                <w:szCs w:val="16"/>
              </w:rPr>
            </w:pPr>
            <w:r w:rsidRPr="004B6536">
              <w:rPr>
                <w:rFonts w:ascii="Arial" w:hAnsi="Arial" w:cs="Arial"/>
                <w:b/>
                <w:bCs/>
                <w:sz w:val="16"/>
                <w:szCs w:val="16"/>
              </w:rPr>
              <w:t> </w:t>
            </w:r>
          </w:p>
        </w:tc>
        <w:tc>
          <w:tcPr>
            <w:tcW w:w="329" w:type="pct"/>
            <w:gridSpan w:val="2"/>
            <w:tcBorders>
              <w:top w:val="single" w:sz="4" w:space="0" w:color="auto"/>
              <w:left w:val="nil"/>
              <w:bottom w:val="single" w:sz="4" w:space="0" w:color="000000"/>
              <w:right w:val="nil"/>
            </w:tcBorders>
            <w:shd w:val="clear" w:color="auto" w:fill="auto"/>
            <w:noWrap/>
            <w:vAlign w:val="bottom"/>
            <w:hideMark/>
          </w:tcPr>
          <w:p w14:paraId="2D2F8AA2" w14:textId="77777777" w:rsidR="000C0F10" w:rsidRPr="00A55C83" w:rsidRDefault="000C0F10" w:rsidP="00405179">
            <w:pPr>
              <w:spacing w:after="0" w:line="240" w:lineRule="auto"/>
              <w:jc w:val="right"/>
              <w:rPr>
                <w:rFonts w:ascii="Arial" w:hAnsi="Arial" w:cs="Arial"/>
                <w:sz w:val="16"/>
                <w:szCs w:val="16"/>
              </w:rPr>
            </w:pPr>
            <w:r w:rsidRPr="00A55C83">
              <w:rPr>
                <w:rFonts w:ascii="Arial" w:hAnsi="Arial" w:cs="Arial"/>
                <w:sz w:val="16"/>
                <w:szCs w:val="16"/>
              </w:rPr>
              <w:t>0</w:t>
            </w:r>
          </w:p>
        </w:tc>
        <w:tc>
          <w:tcPr>
            <w:tcW w:w="329" w:type="pct"/>
            <w:tcBorders>
              <w:top w:val="single" w:sz="4" w:space="0" w:color="auto"/>
              <w:left w:val="nil"/>
              <w:bottom w:val="single" w:sz="4" w:space="0" w:color="000000"/>
              <w:right w:val="nil"/>
            </w:tcBorders>
            <w:shd w:val="clear" w:color="auto" w:fill="E1E8EB"/>
            <w:noWrap/>
            <w:vAlign w:val="bottom"/>
            <w:hideMark/>
          </w:tcPr>
          <w:p w14:paraId="13E6446B" w14:textId="77777777" w:rsidR="000C0F10" w:rsidRPr="004B6536" w:rsidRDefault="000C0F10" w:rsidP="00405179">
            <w:pPr>
              <w:spacing w:after="0" w:line="240" w:lineRule="auto"/>
              <w:jc w:val="right"/>
              <w:rPr>
                <w:rFonts w:ascii="Arial" w:hAnsi="Arial" w:cs="Arial"/>
                <w:b/>
                <w:bCs/>
                <w:sz w:val="16"/>
                <w:szCs w:val="16"/>
              </w:rPr>
            </w:pPr>
            <w:r w:rsidRPr="004B6536">
              <w:rPr>
                <w:rFonts w:ascii="Arial" w:hAnsi="Arial" w:cs="Arial"/>
                <w:b/>
                <w:bCs/>
                <w:sz w:val="16"/>
                <w:szCs w:val="16"/>
              </w:rPr>
              <w:t>0</w:t>
            </w:r>
          </w:p>
        </w:tc>
        <w:tc>
          <w:tcPr>
            <w:tcW w:w="99" w:type="pct"/>
            <w:gridSpan w:val="2"/>
            <w:tcBorders>
              <w:top w:val="single" w:sz="4" w:space="0" w:color="auto"/>
              <w:left w:val="nil"/>
              <w:bottom w:val="single" w:sz="4" w:space="0" w:color="000000"/>
              <w:right w:val="nil"/>
            </w:tcBorders>
            <w:shd w:val="clear" w:color="auto" w:fill="auto"/>
            <w:noWrap/>
            <w:vAlign w:val="bottom"/>
            <w:hideMark/>
          </w:tcPr>
          <w:p w14:paraId="03DB6F01" w14:textId="77777777" w:rsidR="000C0F10" w:rsidRPr="004B6536" w:rsidRDefault="000C0F10" w:rsidP="00405179">
            <w:pPr>
              <w:spacing w:after="0" w:line="240" w:lineRule="auto"/>
              <w:jc w:val="right"/>
              <w:rPr>
                <w:rFonts w:ascii="Arial" w:hAnsi="Arial" w:cs="Arial"/>
                <w:b/>
                <w:bCs/>
                <w:sz w:val="16"/>
                <w:szCs w:val="16"/>
              </w:rPr>
            </w:pPr>
            <w:r w:rsidRPr="004B6536">
              <w:rPr>
                <w:rFonts w:ascii="Arial" w:hAnsi="Arial" w:cs="Arial"/>
                <w:b/>
                <w:bCs/>
                <w:sz w:val="16"/>
                <w:szCs w:val="16"/>
              </w:rPr>
              <w:t> </w:t>
            </w:r>
          </w:p>
        </w:tc>
        <w:tc>
          <w:tcPr>
            <w:tcW w:w="328" w:type="pct"/>
            <w:gridSpan w:val="2"/>
            <w:tcBorders>
              <w:top w:val="single" w:sz="4" w:space="0" w:color="auto"/>
              <w:left w:val="nil"/>
              <w:bottom w:val="single" w:sz="4" w:space="0" w:color="000000"/>
              <w:right w:val="nil"/>
            </w:tcBorders>
            <w:shd w:val="clear" w:color="auto" w:fill="auto"/>
            <w:noWrap/>
            <w:vAlign w:val="bottom"/>
            <w:hideMark/>
          </w:tcPr>
          <w:p w14:paraId="143E1A56" w14:textId="77777777" w:rsidR="000C0F10" w:rsidRPr="00A55C83" w:rsidRDefault="000C0F10" w:rsidP="00405179">
            <w:pPr>
              <w:spacing w:after="0" w:line="240" w:lineRule="auto"/>
              <w:jc w:val="right"/>
              <w:rPr>
                <w:rFonts w:ascii="Arial" w:hAnsi="Arial" w:cs="Arial"/>
                <w:sz w:val="16"/>
                <w:szCs w:val="16"/>
              </w:rPr>
            </w:pPr>
            <w:r w:rsidRPr="00A55C83">
              <w:rPr>
                <w:rFonts w:ascii="Arial" w:hAnsi="Arial" w:cs="Arial"/>
                <w:sz w:val="16"/>
                <w:szCs w:val="16"/>
              </w:rPr>
              <w:t>211</w:t>
            </w:r>
          </w:p>
        </w:tc>
        <w:tc>
          <w:tcPr>
            <w:tcW w:w="330" w:type="pct"/>
            <w:tcBorders>
              <w:top w:val="single" w:sz="4" w:space="0" w:color="auto"/>
              <w:left w:val="nil"/>
              <w:bottom w:val="single" w:sz="4" w:space="0" w:color="000000"/>
              <w:right w:val="nil"/>
            </w:tcBorders>
            <w:shd w:val="clear" w:color="auto" w:fill="E1E8EB"/>
            <w:noWrap/>
            <w:vAlign w:val="bottom"/>
            <w:hideMark/>
          </w:tcPr>
          <w:p w14:paraId="2D8505B9" w14:textId="3A71EA2E" w:rsidR="000C0F10" w:rsidRPr="004B6536" w:rsidRDefault="000C0F10" w:rsidP="00405179">
            <w:pPr>
              <w:spacing w:after="0" w:line="240" w:lineRule="auto"/>
              <w:jc w:val="right"/>
              <w:rPr>
                <w:rFonts w:ascii="Arial" w:hAnsi="Arial" w:cs="Arial"/>
                <w:b/>
                <w:bCs/>
                <w:sz w:val="16"/>
                <w:szCs w:val="16"/>
              </w:rPr>
            </w:pPr>
            <w:r w:rsidRPr="004B6536">
              <w:rPr>
                <w:rFonts w:ascii="Arial" w:hAnsi="Arial" w:cs="Arial"/>
                <w:b/>
                <w:bCs/>
                <w:sz w:val="16"/>
                <w:szCs w:val="16"/>
              </w:rPr>
              <w:t>2</w:t>
            </w:r>
            <w:r w:rsidR="00814721">
              <w:rPr>
                <w:rFonts w:ascii="Arial" w:hAnsi="Arial" w:cs="Arial"/>
                <w:b/>
                <w:bCs/>
                <w:sz w:val="16"/>
                <w:szCs w:val="16"/>
              </w:rPr>
              <w:t>08</w:t>
            </w:r>
          </w:p>
        </w:tc>
        <w:tc>
          <w:tcPr>
            <w:tcW w:w="100" w:type="pct"/>
            <w:gridSpan w:val="2"/>
            <w:tcBorders>
              <w:top w:val="single" w:sz="4" w:space="0" w:color="auto"/>
              <w:left w:val="nil"/>
              <w:bottom w:val="single" w:sz="4" w:space="0" w:color="000000"/>
              <w:right w:val="nil"/>
            </w:tcBorders>
            <w:shd w:val="clear" w:color="auto" w:fill="auto"/>
            <w:noWrap/>
            <w:vAlign w:val="bottom"/>
            <w:hideMark/>
          </w:tcPr>
          <w:p w14:paraId="633951B0" w14:textId="77777777" w:rsidR="000C0F10" w:rsidRPr="004B6536" w:rsidRDefault="000C0F10" w:rsidP="00405179">
            <w:pPr>
              <w:spacing w:after="0" w:line="240" w:lineRule="auto"/>
              <w:jc w:val="right"/>
              <w:rPr>
                <w:rFonts w:ascii="Arial" w:hAnsi="Arial" w:cs="Arial"/>
                <w:b/>
                <w:bCs/>
                <w:sz w:val="16"/>
                <w:szCs w:val="16"/>
              </w:rPr>
            </w:pPr>
            <w:r w:rsidRPr="004B6536">
              <w:rPr>
                <w:rFonts w:ascii="Arial" w:hAnsi="Arial" w:cs="Arial"/>
                <w:b/>
                <w:bCs/>
                <w:sz w:val="16"/>
                <w:szCs w:val="16"/>
              </w:rPr>
              <w:t> </w:t>
            </w:r>
          </w:p>
        </w:tc>
        <w:tc>
          <w:tcPr>
            <w:tcW w:w="330" w:type="pct"/>
            <w:gridSpan w:val="2"/>
            <w:tcBorders>
              <w:top w:val="single" w:sz="4" w:space="0" w:color="auto"/>
              <w:left w:val="nil"/>
              <w:bottom w:val="single" w:sz="4" w:space="0" w:color="000000"/>
              <w:right w:val="nil"/>
            </w:tcBorders>
            <w:shd w:val="clear" w:color="auto" w:fill="auto"/>
            <w:noWrap/>
            <w:vAlign w:val="bottom"/>
            <w:hideMark/>
          </w:tcPr>
          <w:p w14:paraId="28FFB1B8" w14:textId="77777777" w:rsidR="000C0F10" w:rsidRPr="00A55C83" w:rsidRDefault="000C0F10" w:rsidP="00405179">
            <w:pPr>
              <w:spacing w:after="0" w:line="240" w:lineRule="auto"/>
              <w:jc w:val="right"/>
              <w:rPr>
                <w:rFonts w:ascii="Arial" w:hAnsi="Arial" w:cs="Arial"/>
                <w:sz w:val="16"/>
                <w:szCs w:val="16"/>
              </w:rPr>
            </w:pPr>
            <w:r w:rsidRPr="00A55C83">
              <w:rPr>
                <w:rFonts w:ascii="Arial" w:hAnsi="Arial" w:cs="Arial"/>
                <w:sz w:val="16"/>
                <w:szCs w:val="16"/>
              </w:rPr>
              <w:t>27</w:t>
            </w:r>
          </w:p>
        </w:tc>
        <w:tc>
          <w:tcPr>
            <w:tcW w:w="329" w:type="pct"/>
            <w:tcBorders>
              <w:top w:val="single" w:sz="4" w:space="0" w:color="auto"/>
              <w:left w:val="nil"/>
              <w:bottom w:val="single" w:sz="4" w:space="0" w:color="000000"/>
              <w:right w:val="nil"/>
            </w:tcBorders>
            <w:shd w:val="clear" w:color="auto" w:fill="E1E8EB"/>
            <w:noWrap/>
            <w:vAlign w:val="bottom"/>
            <w:hideMark/>
          </w:tcPr>
          <w:p w14:paraId="74519F15" w14:textId="5A142981" w:rsidR="000C0F10" w:rsidRPr="004B6536" w:rsidRDefault="00814721" w:rsidP="00405179">
            <w:pPr>
              <w:spacing w:after="0" w:line="240" w:lineRule="auto"/>
              <w:jc w:val="right"/>
              <w:rPr>
                <w:rFonts w:ascii="Arial" w:hAnsi="Arial" w:cs="Arial"/>
                <w:b/>
                <w:bCs/>
                <w:sz w:val="16"/>
                <w:szCs w:val="16"/>
              </w:rPr>
            </w:pPr>
            <w:r>
              <w:rPr>
                <w:rFonts w:ascii="Arial" w:hAnsi="Arial" w:cs="Arial"/>
                <w:b/>
                <w:bCs/>
                <w:sz w:val="16"/>
                <w:szCs w:val="16"/>
              </w:rPr>
              <w:t>29</w:t>
            </w:r>
          </w:p>
        </w:tc>
        <w:tc>
          <w:tcPr>
            <w:tcW w:w="98" w:type="pct"/>
            <w:gridSpan w:val="2"/>
            <w:tcBorders>
              <w:top w:val="single" w:sz="4" w:space="0" w:color="auto"/>
              <w:left w:val="nil"/>
              <w:bottom w:val="single" w:sz="4" w:space="0" w:color="000000"/>
              <w:right w:val="nil"/>
            </w:tcBorders>
            <w:shd w:val="clear" w:color="auto" w:fill="auto"/>
            <w:noWrap/>
            <w:vAlign w:val="bottom"/>
            <w:hideMark/>
          </w:tcPr>
          <w:p w14:paraId="7A50CE27" w14:textId="77777777" w:rsidR="000C0F10" w:rsidRPr="004B6536" w:rsidRDefault="000C0F10" w:rsidP="00405179">
            <w:pPr>
              <w:spacing w:after="0" w:line="240" w:lineRule="auto"/>
              <w:jc w:val="right"/>
              <w:rPr>
                <w:rFonts w:ascii="Arial" w:hAnsi="Arial" w:cs="Arial"/>
                <w:b/>
                <w:bCs/>
                <w:sz w:val="16"/>
                <w:szCs w:val="16"/>
              </w:rPr>
            </w:pPr>
            <w:r w:rsidRPr="004B6536">
              <w:rPr>
                <w:rFonts w:ascii="Arial" w:hAnsi="Arial" w:cs="Arial"/>
                <w:b/>
                <w:bCs/>
                <w:sz w:val="16"/>
                <w:szCs w:val="16"/>
              </w:rPr>
              <w:t> </w:t>
            </w:r>
          </w:p>
        </w:tc>
        <w:tc>
          <w:tcPr>
            <w:tcW w:w="334" w:type="pct"/>
            <w:gridSpan w:val="2"/>
            <w:tcBorders>
              <w:top w:val="single" w:sz="4" w:space="0" w:color="auto"/>
              <w:left w:val="nil"/>
              <w:bottom w:val="single" w:sz="4" w:space="0" w:color="000000"/>
              <w:right w:val="nil"/>
            </w:tcBorders>
            <w:shd w:val="clear" w:color="auto" w:fill="auto"/>
            <w:noWrap/>
            <w:vAlign w:val="bottom"/>
            <w:hideMark/>
          </w:tcPr>
          <w:p w14:paraId="0901B32B" w14:textId="77777777" w:rsidR="000C0F10" w:rsidRPr="00A55C83" w:rsidRDefault="000C0F10" w:rsidP="00405179">
            <w:pPr>
              <w:spacing w:after="0" w:line="240" w:lineRule="auto"/>
              <w:jc w:val="right"/>
              <w:rPr>
                <w:rFonts w:ascii="Arial" w:hAnsi="Arial" w:cs="Arial"/>
                <w:sz w:val="16"/>
                <w:szCs w:val="16"/>
              </w:rPr>
            </w:pPr>
            <w:r w:rsidRPr="00A55C83">
              <w:rPr>
                <w:rFonts w:ascii="Arial" w:hAnsi="Arial" w:cs="Arial"/>
                <w:sz w:val="16"/>
                <w:szCs w:val="16"/>
              </w:rPr>
              <w:t>17</w:t>
            </w:r>
          </w:p>
        </w:tc>
        <w:tc>
          <w:tcPr>
            <w:tcW w:w="332" w:type="pct"/>
            <w:gridSpan w:val="2"/>
            <w:tcBorders>
              <w:top w:val="single" w:sz="4" w:space="0" w:color="auto"/>
              <w:left w:val="nil"/>
              <w:bottom w:val="single" w:sz="4" w:space="0" w:color="000000"/>
              <w:right w:val="nil"/>
            </w:tcBorders>
            <w:shd w:val="clear" w:color="auto" w:fill="E1E8EB"/>
            <w:noWrap/>
            <w:vAlign w:val="bottom"/>
            <w:hideMark/>
          </w:tcPr>
          <w:p w14:paraId="21433BFC" w14:textId="11339E05" w:rsidR="000C0F10" w:rsidRPr="004B6536" w:rsidRDefault="00A837A1" w:rsidP="00405179">
            <w:pPr>
              <w:spacing w:after="0" w:line="240" w:lineRule="auto"/>
              <w:jc w:val="right"/>
              <w:rPr>
                <w:rFonts w:ascii="Arial" w:hAnsi="Arial" w:cs="Arial"/>
                <w:b/>
                <w:bCs/>
                <w:sz w:val="16"/>
                <w:szCs w:val="16"/>
              </w:rPr>
            </w:pPr>
            <w:r>
              <w:rPr>
                <w:rFonts w:ascii="Arial" w:hAnsi="Arial" w:cs="Arial"/>
                <w:b/>
                <w:bCs/>
                <w:sz w:val="16"/>
                <w:szCs w:val="16"/>
              </w:rPr>
              <w:t>27</w:t>
            </w:r>
          </w:p>
        </w:tc>
        <w:tc>
          <w:tcPr>
            <w:tcW w:w="98" w:type="pct"/>
            <w:gridSpan w:val="2"/>
            <w:tcBorders>
              <w:top w:val="single" w:sz="4" w:space="0" w:color="auto"/>
              <w:left w:val="nil"/>
              <w:bottom w:val="single" w:sz="4" w:space="0" w:color="auto"/>
              <w:right w:val="nil"/>
            </w:tcBorders>
            <w:shd w:val="clear" w:color="auto" w:fill="auto"/>
            <w:noWrap/>
            <w:vAlign w:val="bottom"/>
            <w:hideMark/>
          </w:tcPr>
          <w:p w14:paraId="2B60F157" w14:textId="77777777" w:rsidR="000C0F10" w:rsidRPr="004B6536" w:rsidRDefault="000C0F10" w:rsidP="00405179">
            <w:pPr>
              <w:spacing w:after="0" w:line="240" w:lineRule="auto"/>
              <w:jc w:val="right"/>
              <w:rPr>
                <w:rFonts w:ascii="Arial" w:hAnsi="Arial" w:cs="Arial"/>
                <w:b/>
                <w:bCs/>
                <w:sz w:val="16"/>
                <w:szCs w:val="16"/>
              </w:rPr>
            </w:pPr>
            <w:r w:rsidRPr="004B6536">
              <w:rPr>
                <w:rFonts w:ascii="Arial" w:hAnsi="Arial" w:cs="Arial"/>
                <w:b/>
                <w:bCs/>
                <w:sz w:val="16"/>
                <w:szCs w:val="16"/>
              </w:rPr>
              <w:t> </w:t>
            </w:r>
          </w:p>
        </w:tc>
        <w:tc>
          <w:tcPr>
            <w:tcW w:w="338" w:type="pct"/>
            <w:gridSpan w:val="3"/>
            <w:tcBorders>
              <w:top w:val="single" w:sz="4" w:space="0" w:color="auto"/>
              <w:left w:val="nil"/>
              <w:bottom w:val="single" w:sz="4" w:space="0" w:color="auto"/>
              <w:right w:val="nil"/>
            </w:tcBorders>
            <w:shd w:val="clear" w:color="auto" w:fill="auto"/>
            <w:noWrap/>
            <w:vAlign w:val="bottom"/>
            <w:hideMark/>
          </w:tcPr>
          <w:p w14:paraId="41175253" w14:textId="77777777" w:rsidR="000C0F10" w:rsidRPr="00A55C83" w:rsidRDefault="000C0F10" w:rsidP="00405179">
            <w:pPr>
              <w:spacing w:after="0" w:line="240" w:lineRule="auto"/>
              <w:jc w:val="right"/>
              <w:rPr>
                <w:rFonts w:ascii="Arial" w:hAnsi="Arial" w:cs="Arial"/>
                <w:sz w:val="16"/>
                <w:szCs w:val="16"/>
              </w:rPr>
            </w:pPr>
            <w:r w:rsidRPr="00A55C83">
              <w:rPr>
                <w:rFonts w:ascii="Arial" w:hAnsi="Arial" w:cs="Arial"/>
                <w:sz w:val="16"/>
                <w:szCs w:val="16"/>
              </w:rPr>
              <w:t>272</w:t>
            </w:r>
          </w:p>
        </w:tc>
        <w:tc>
          <w:tcPr>
            <w:tcW w:w="326" w:type="pct"/>
            <w:gridSpan w:val="2"/>
            <w:tcBorders>
              <w:top w:val="single" w:sz="4" w:space="0" w:color="auto"/>
              <w:left w:val="nil"/>
              <w:bottom w:val="single" w:sz="4" w:space="0" w:color="auto"/>
              <w:right w:val="nil"/>
            </w:tcBorders>
            <w:shd w:val="clear" w:color="auto" w:fill="E1E8EB"/>
            <w:noWrap/>
            <w:vAlign w:val="bottom"/>
            <w:hideMark/>
          </w:tcPr>
          <w:p w14:paraId="36BE0B13" w14:textId="111CB2EA" w:rsidR="000C0F10" w:rsidRPr="004B6536" w:rsidRDefault="00814721" w:rsidP="00405179">
            <w:pPr>
              <w:spacing w:after="0" w:line="240" w:lineRule="auto"/>
              <w:jc w:val="right"/>
              <w:rPr>
                <w:rFonts w:ascii="Arial" w:hAnsi="Arial" w:cs="Arial"/>
                <w:b/>
                <w:bCs/>
                <w:sz w:val="16"/>
                <w:szCs w:val="16"/>
              </w:rPr>
            </w:pPr>
            <w:r>
              <w:rPr>
                <w:rFonts w:ascii="Arial" w:hAnsi="Arial" w:cs="Arial"/>
                <w:b/>
                <w:bCs/>
                <w:sz w:val="16"/>
                <w:szCs w:val="16"/>
              </w:rPr>
              <w:t>287</w:t>
            </w:r>
          </w:p>
        </w:tc>
      </w:tr>
    </w:tbl>
    <w:p w14:paraId="081A9734" w14:textId="77777777" w:rsidR="004635AC" w:rsidRPr="0095370F" w:rsidRDefault="004635AC" w:rsidP="004635AC">
      <w:pPr>
        <w:pStyle w:val="ChartorTableNote"/>
        <w:rPr>
          <w:b/>
          <w:bCs/>
        </w:rPr>
      </w:pPr>
      <w:r w:rsidRPr="0095370F">
        <w:rPr>
          <w:b/>
          <w:bCs/>
        </w:rPr>
        <w:t>Notes for Tables 3.18 and 3.19</w:t>
      </w:r>
    </w:p>
    <w:p w14:paraId="7F274E46" w14:textId="77777777" w:rsidR="004635AC" w:rsidRDefault="004635AC" w:rsidP="004635AC">
      <w:pPr>
        <w:pStyle w:val="ChartandTableFootnoteAlpha"/>
        <w:numPr>
          <w:ilvl w:val="0"/>
          <w:numId w:val="0"/>
        </w:numPr>
      </w:pPr>
      <w:r w:rsidRPr="00BF48CD">
        <w:t xml:space="preserve">Before republishing this data or comparing between years, thoroughly review the methodological and data caveats in Appendix </w:t>
      </w:r>
      <w:r w:rsidRPr="00E47098">
        <w:t>B</w:t>
      </w:r>
      <w:r w:rsidRPr="00BF48CD">
        <w:t xml:space="preserve">. </w:t>
      </w:r>
    </w:p>
    <w:p w14:paraId="21F2CFF6" w14:textId="0F7D52A2" w:rsidR="004635AC" w:rsidRPr="006D6210" w:rsidRDefault="004635AC" w:rsidP="00542DCF">
      <w:pPr>
        <w:pStyle w:val="ChartandTableFootnoteAlpha"/>
        <w:numPr>
          <w:ilvl w:val="4"/>
          <w:numId w:val="1"/>
        </w:numPr>
      </w:pPr>
      <w:r w:rsidRPr="006D6210">
        <w:t xml:space="preserve">Comprises: Land </w:t>
      </w:r>
      <w:r w:rsidR="00A55C83">
        <w:t>ECs</w:t>
      </w:r>
      <w:r w:rsidRPr="006D6210">
        <w:t xml:space="preserve">, </w:t>
      </w:r>
      <w:r w:rsidR="00542DCF">
        <w:t>B</w:t>
      </w:r>
      <w:r w:rsidRPr="006D6210">
        <w:t xml:space="preserve">usiness </w:t>
      </w:r>
      <w:r w:rsidR="00A55C83">
        <w:t>ECs</w:t>
      </w:r>
      <w:r w:rsidRPr="006D6210">
        <w:t>, and tenements and mining, production or exploration entity certificates.</w:t>
      </w:r>
    </w:p>
    <w:p w14:paraId="7B20E602" w14:textId="5D65C237" w:rsidR="004635AC" w:rsidRPr="006D6210" w:rsidRDefault="004635AC" w:rsidP="00542DCF">
      <w:pPr>
        <w:pStyle w:val="ChartandTableFootnoteAlpha"/>
        <w:numPr>
          <w:ilvl w:val="4"/>
          <w:numId w:val="1"/>
        </w:numPr>
      </w:pPr>
      <w:r w:rsidRPr="006D6210">
        <w:t xml:space="preserve">Comprises: </w:t>
      </w:r>
      <w:r w:rsidR="00B63F32">
        <w:t>N</w:t>
      </w:r>
      <w:r w:rsidRPr="006D6210">
        <w:t xml:space="preserve">ew </w:t>
      </w:r>
      <w:r w:rsidR="00B63F32">
        <w:t>D</w:t>
      </w:r>
      <w:r w:rsidRPr="006D6210">
        <w:t xml:space="preserve">welling </w:t>
      </w:r>
      <w:r w:rsidR="00B63F32">
        <w:t xml:space="preserve">ECs </w:t>
      </w:r>
      <w:r w:rsidRPr="006D6210">
        <w:t xml:space="preserve">and </w:t>
      </w:r>
      <w:r w:rsidR="00542DCF">
        <w:t>R</w:t>
      </w:r>
      <w:r w:rsidRPr="006D6210">
        <w:t xml:space="preserve">esidential </w:t>
      </w:r>
      <w:r w:rsidR="00542DCF">
        <w:t>L</w:t>
      </w:r>
      <w:r w:rsidRPr="006D6210">
        <w:t xml:space="preserve">and </w:t>
      </w:r>
      <w:r w:rsidR="00B63F32">
        <w:t xml:space="preserve">ECs. </w:t>
      </w:r>
    </w:p>
    <w:p w14:paraId="3824CC2B" w14:textId="3A8B52F3" w:rsidR="004635AC" w:rsidRPr="006D6210" w:rsidRDefault="004635AC" w:rsidP="004635AC">
      <w:pPr>
        <w:pStyle w:val="ChartorTableNote"/>
        <w:rPr>
          <w:color w:val="auto"/>
          <w:sz w:val="18"/>
          <w:szCs w:val="18"/>
        </w:rPr>
      </w:pPr>
      <w:r w:rsidRPr="006D6210">
        <w:t xml:space="preserve">These tables only include variations relating to </w:t>
      </w:r>
      <w:r w:rsidR="00542DCF">
        <w:t>ECs</w:t>
      </w:r>
      <w:r w:rsidRPr="006D6210">
        <w:t xml:space="preserve"> and no objection notifications, irrespective of if resulting from an application by a foreign person, the Treasurer</w:t>
      </w:r>
      <w:r w:rsidR="00065800">
        <w:t>’</w:t>
      </w:r>
      <w:r w:rsidRPr="006D6210">
        <w:t>s init</w:t>
      </w:r>
      <w:r>
        <w:t>iative, or a compliance action.</w:t>
      </w:r>
    </w:p>
    <w:p w14:paraId="76B967C2" w14:textId="283C797E" w:rsidR="004635AC" w:rsidRPr="006D6210" w:rsidRDefault="004635AC" w:rsidP="004635AC">
      <w:pPr>
        <w:pStyle w:val="ChartorTableNote"/>
        <w:rPr>
          <w:color w:val="auto"/>
          <w:sz w:val="18"/>
          <w:szCs w:val="18"/>
        </w:rPr>
      </w:pPr>
      <w:r w:rsidRPr="006D6210">
        <w:t xml:space="preserve">Variations are not attributed a value as applicable values have been attributed to the </w:t>
      </w:r>
      <w:r w:rsidR="00542DCF">
        <w:t>EC</w:t>
      </w:r>
      <w:r w:rsidRPr="006D6210">
        <w:t xml:space="preserve"> or no objection notification that is subject to the variation.</w:t>
      </w:r>
    </w:p>
    <w:p w14:paraId="41CE6B06" w14:textId="77777777" w:rsidR="004635AC" w:rsidRPr="006D6210" w:rsidRDefault="004635AC" w:rsidP="004635AC">
      <w:pPr>
        <w:pStyle w:val="ChartorTableNote"/>
        <w:rPr>
          <w:color w:val="auto"/>
          <w:sz w:val="18"/>
          <w:szCs w:val="18"/>
        </w:rPr>
      </w:pPr>
      <w:r w:rsidRPr="006D6210">
        <w:t xml:space="preserve">Variations are reported in the financial year in which the variation is considered irrespective of when the original approval was given. </w:t>
      </w:r>
    </w:p>
    <w:p w14:paraId="7BB0C4FC" w14:textId="72C86AE3" w:rsidR="000C0F10" w:rsidRPr="004635AC" w:rsidRDefault="004635AC" w:rsidP="004635AC">
      <w:pPr>
        <w:pStyle w:val="ChartorTableNote"/>
        <w:rPr>
          <w:color w:val="auto"/>
          <w:sz w:val="18"/>
          <w:szCs w:val="18"/>
        </w:rPr>
        <w:sectPr w:rsidR="000C0F10" w:rsidRPr="004635AC" w:rsidSect="006371D9">
          <w:headerReference w:type="default" r:id="rId58"/>
          <w:footerReference w:type="default" r:id="rId59"/>
          <w:headerReference w:type="first" r:id="rId60"/>
          <w:footerReference w:type="first" r:id="rId61"/>
          <w:pgSz w:w="16838" w:h="11906" w:orient="landscape" w:code="9"/>
          <w:pgMar w:top="2098" w:right="2466" w:bottom="2098" w:left="2466" w:header="1899" w:footer="1899" w:gutter="0"/>
          <w:cols w:space="708"/>
          <w:titlePg/>
          <w:docGrid w:linePitch="360"/>
        </w:sectPr>
      </w:pPr>
      <w:r w:rsidRPr="006D6210">
        <w:t>Over time multiple variations could be made to a single approval</w:t>
      </w:r>
    </w:p>
    <w:p w14:paraId="153E5E52" w14:textId="77777777" w:rsidR="006371D9" w:rsidRPr="00CA046B" w:rsidRDefault="006371D9" w:rsidP="006371D9">
      <w:pPr>
        <w:pStyle w:val="Heading2"/>
      </w:pPr>
      <w:bookmarkStart w:id="173" w:name="_Toc63782935"/>
      <w:bookmarkStart w:id="174" w:name="_Toc75244064"/>
      <w:bookmarkStart w:id="175" w:name="_Toc89872889"/>
      <w:bookmarkStart w:id="176" w:name="_Toc89872936"/>
      <w:r w:rsidRPr="00CA046B">
        <w:lastRenderedPageBreak/>
        <w:t>Vacancy fees</w:t>
      </w:r>
      <w:bookmarkEnd w:id="173"/>
      <w:bookmarkEnd w:id="174"/>
      <w:bookmarkEnd w:id="175"/>
      <w:bookmarkEnd w:id="176"/>
    </w:p>
    <w:p w14:paraId="65834E28" w14:textId="7C2CC366" w:rsidR="00A91410" w:rsidRPr="0095761B" w:rsidRDefault="00A91410" w:rsidP="00A91410">
      <w:r w:rsidRPr="0095761B">
        <w:t>In the 2017</w:t>
      </w:r>
      <w:r w:rsidR="00065800">
        <w:noBreakHyphen/>
      </w:r>
      <w:r w:rsidRPr="0095761B">
        <w:t>18 Budget, the Government introduced a vacancy fee for houses left vacant by investors for more than six months in a 12</w:t>
      </w:r>
      <w:r w:rsidR="00647D3E">
        <w:t xml:space="preserve"> </w:t>
      </w:r>
      <w:r w:rsidRPr="0095761B">
        <w:t xml:space="preserve">month period. The fee was designed to encourage investors to make their properties available for rent where they were not occupied as a residence, thereby increasing the number of properties available for Australians to live in. </w:t>
      </w:r>
    </w:p>
    <w:p w14:paraId="795A4166" w14:textId="1C3E4AB3" w:rsidR="00A91410" w:rsidRPr="0095761B" w:rsidRDefault="00BF3F54" w:rsidP="00A91410">
      <w:r>
        <w:t>I</w:t>
      </w:r>
      <w:r w:rsidR="00A91410" w:rsidRPr="0095761B">
        <w:t>nvestors who apply for investment approval or propose to purchase in a development using a New Dwelling E</w:t>
      </w:r>
      <w:r w:rsidR="006170B3">
        <w:t>C</w:t>
      </w:r>
      <w:r w:rsidR="00A91410" w:rsidRPr="0095761B">
        <w:t xml:space="preserve"> after 9 May 2017 are required to lodge an annual vacancy fee return at the end of each 12 month period of ownership (referred to as the vacancy year). </w:t>
      </w:r>
      <w:r>
        <w:t>Investors holding</w:t>
      </w:r>
      <w:r w:rsidR="00A91410" w:rsidRPr="0095761B">
        <w:t xml:space="preserve"> dwellings that are not residentially occupied or made available on the rental market for more than 183 days each year may be liable to pay a vacancy fee. </w:t>
      </w:r>
    </w:p>
    <w:p w14:paraId="168BE356" w14:textId="47941C2D" w:rsidR="00A91410" w:rsidRPr="0095761B" w:rsidRDefault="00A91410" w:rsidP="00A91410">
      <w:r w:rsidRPr="0095761B">
        <w:t xml:space="preserve">If </w:t>
      </w:r>
      <w:r w:rsidR="00BF3F54" w:rsidRPr="0095761B">
        <w:t>a</w:t>
      </w:r>
      <w:r w:rsidR="00BF3F54">
        <w:t>n investor</w:t>
      </w:r>
      <w:r w:rsidRPr="0095761B">
        <w:t xml:space="preserve"> does not lodge a vacancy fee return by the due date, the property may be deemed to be vacant and a vacancy fee liability may be raised regardless of the number of days the dwelling was residentially occupied during the vacancy year. This is an annual lodgement obligation.</w:t>
      </w:r>
    </w:p>
    <w:p w14:paraId="0F9D28B2" w14:textId="78FAE92A" w:rsidR="00A91410" w:rsidRPr="0095761B" w:rsidRDefault="00A91410" w:rsidP="00A91410">
      <w:r w:rsidRPr="0095761B">
        <w:t>As the population of investors liable to the vacancy fee increases, investment was made into the automation and refinement of processes. A proactive and educational approach focuses on helping vacancy fee clients understand their obligations, which is balanced by streamlined administrative process</w:t>
      </w:r>
      <w:r w:rsidR="00BF3F54">
        <w:t>es</w:t>
      </w:r>
      <w:r w:rsidRPr="0095761B">
        <w:t xml:space="preserve"> to deem investors who fail to meet their obligation to lodge an annual return. The </w:t>
      </w:r>
      <w:r w:rsidR="00D76ED2">
        <w:t>2020</w:t>
      </w:r>
      <w:r w:rsidR="00D76ED2">
        <w:noBreakHyphen/>
        <w:t>21</w:t>
      </w:r>
      <w:r w:rsidRPr="0095761B">
        <w:t xml:space="preserve"> figures show the impacts of COVID</w:t>
      </w:r>
      <w:r w:rsidR="00065800">
        <w:noBreakHyphen/>
      </w:r>
      <w:r w:rsidRPr="0095761B">
        <w:t xml:space="preserve">19, with an increase in clients exempt from liability where they </w:t>
      </w:r>
      <w:r>
        <w:t>were un</w:t>
      </w:r>
      <w:r w:rsidRPr="0095761B">
        <w:t xml:space="preserve">able to occupy their property as a result of pandemic travel restrictions. </w:t>
      </w:r>
    </w:p>
    <w:p w14:paraId="56E27CEC" w14:textId="7018ACE4" w:rsidR="00F07785" w:rsidRPr="008F29F0" w:rsidRDefault="00F07785" w:rsidP="008F29F0">
      <w:pPr>
        <w:pStyle w:val="TableMainHeading"/>
      </w:pPr>
      <w:bookmarkStart w:id="177" w:name="_Toc89939954"/>
      <w:r w:rsidRPr="008F29F0">
        <w:t xml:space="preserve">Table </w:t>
      </w:r>
      <w:fldSimple w:instr=" STYLEREF 1 \s ">
        <w:r w:rsidR="0019342F">
          <w:rPr>
            <w:noProof/>
          </w:rPr>
          <w:t>3</w:t>
        </w:r>
      </w:fldSimple>
      <w:r w:rsidR="009812FE" w:rsidRPr="008F29F0">
        <w:t>.</w:t>
      </w:r>
      <w:fldSimple w:instr=" SEQ Table \* ARABIC \s 1 ">
        <w:r w:rsidR="0019342F">
          <w:rPr>
            <w:noProof/>
          </w:rPr>
          <w:t>20</w:t>
        </w:r>
      </w:fldSimple>
      <w:r w:rsidRPr="008F29F0">
        <w:t xml:space="preserve">: Vacancy fee statistics, </w:t>
      </w:r>
      <w:r w:rsidR="00C17F09">
        <w:t>2018</w:t>
      </w:r>
      <w:r w:rsidR="00C17F09">
        <w:noBreakHyphen/>
        <w:t>19</w:t>
      </w:r>
      <w:r w:rsidRPr="008F29F0">
        <w:t xml:space="preserve"> to </w:t>
      </w:r>
      <w:r w:rsidR="00D76ED2" w:rsidRPr="008F29F0">
        <w:t>2020</w:t>
      </w:r>
      <w:r w:rsidR="00D76ED2" w:rsidRPr="008F29F0">
        <w:noBreakHyphen/>
        <w:t>21</w:t>
      </w:r>
      <w:bookmarkEnd w:id="177"/>
    </w:p>
    <w:tbl>
      <w:tblPr>
        <w:tblW w:w="5000" w:type="pct"/>
        <w:tblLook w:val="04A0" w:firstRow="1" w:lastRow="0" w:firstColumn="1" w:lastColumn="0" w:noHBand="0" w:noVBand="1"/>
      </w:tblPr>
      <w:tblGrid>
        <w:gridCol w:w="2672"/>
        <w:gridCol w:w="840"/>
        <w:gridCol w:w="842"/>
        <w:gridCol w:w="840"/>
        <w:gridCol w:w="840"/>
        <w:gridCol w:w="840"/>
        <w:gridCol w:w="836"/>
      </w:tblGrid>
      <w:tr w:rsidR="007F6A40" w:rsidRPr="00DC0FCA" w14:paraId="4D346B75" w14:textId="77777777" w:rsidTr="00405179">
        <w:trPr>
          <w:trHeight w:val="283"/>
        </w:trPr>
        <w:tc>
          <w:tcPr>
            <w:tcW w:w="1732" w:type="pct"/>
            <w:tcBorders>
              <w:top w:val="single" w:sz="8" w:space="0" w:color="auto"/>
              <w:right w:val="nil"/>
            </w:tcBorders>
            <w:shd w:val="clear" w:color="auto" w:fill="auto"/>
            <w:vAlign w:val="center"/>
            <w:hideMark/>
          </w:tcPr>
          <w:p w14:paraId="38B2CF15" w14:textId="77777777" w:rsidR="007F6A40" w:rsidRPr="00DC0FCA" w:rsidRDefault="007F6A40" w:rsidP="00530A42">
            <w:pPr>
              <w:keepNext/>
              <w:keepLines/>
              <w:spacing w:after="0" w:line="240" w:lineRule="auto"/>
              <w:jc w:val="left"/>
              <w:rPr>
                <w:rFonts w:ascii="Arial" w:hAnsi="Arial" w:cs="Arial"/>
                <w:sz w:val="16"/>
                <w:szCs w:val="16"/>
              </w:rPr>
            </w:pPr>
            <w:r w:rsidRPr="00DC0FCA">
              <w:rPr>
                <w:rFonts w:ascii="Arial" w:hAnsi="Arial" w:cs="Arial"/>
                <w:sz w:val="16"/>
                <w:szCs w:val="16"/>
              </w:rPr>
              <w:t> </w:t>
            </w:r>
          </w:p>
        </w:tc>
        <w:tc>
          <w:tcPr>
            <w:tcW w:w="1091" w:type="pct"/>
            <w:gridSpan w:val="2"/>
            <w:tcBorders>
              <w:top w:val="single" w:sz="8" w:space="0" w:color="auto"/>
              <w:left w:val="nil"/>
              <w:right w:val="nil"/>
            </w:tcBorders>
            <w:shd w:val="clear" w:color="auto" w:fill="auto"/>
            <w:vAlign w:val="bottom"/>
            <w:hideMark/>
          </w:tcPr>
          <w:p w14:paraId="49926529" w14:textId="6A1810A7" w:rsidR="007F6A40" w:rsidRPr="00DC0FCA" w:rsidRDefault="00C17F09" w:rsidP="00E00CCE">
            <w:pPr>
              <w:keepNext/>
              <w:keepLines/>
              <w:spacing w:after="0" w:line="240" w:lineRule="auto"/>
              <w:jc w:val="center"/>
              <w:rPr>
                <w:rFonts w:ascii="Arial" w:hAnsi="Arial" w:cs="Arial"/>
                <w:sz w:val="16"/>
                <w:szCs w:val="16"/>
              </w:rPr>
            </w:pPr>
            <w:r>
              <w:rPr>
                <w:rFonts w:ascii="Arial" w:hAnsi="Arial" w:cs="Arial"/>
                <w:sz w:val="16"/>
                <w:szCs w:val="16"/>
              </w:rPr>
              <w:t>2018</w:t>
            </w:r>
            <w:r>
              <w:rPr>
                <w:rFonts w:ascii="Arial" w:hAnsi="Arial" w:cs="Arial"/>
                <w:sz w:val="16"/>
                <w:szCs w:val="16"/>
              </w:rPr>
              <w:noBreakHyphen/>
              <w:t>19</w:t>
            </w:r>
          </w:p>
        </w:tc>
        <w:tc>
          <w:tcPr>
            <w:tcW w:w="1089" w:type="pct"/>
            <w:gridSpan w:val="2"/>
            <w:tcBorders>
              <w:top w:val="single" w:sz="8" w:space="0" w:color="auto"/>
              <w:left w:val="nil"/>
              <w:right w:val="nil"/>
            </w:tcBorders>
            <w:shd w:val="clear" w:color="auto" w:fill="auto"/>
            <w:vAlign w:val="bottom"/>
            <w:hideMark/>
          </w:tcPr>
          <w:p w14:paraId="75FAD454" w14:textId="00041351" w:rsidR="007F6A40" w:rsidRPr="00DC0FCA" w:rsidRDefault="00D76ED2" w:rsidP="00E00CCE">
            <w:pPr>
              <w:keepNext/>
              <w:keepLines/>
              <w:spacing w:after="0" w:line="240" w:lineRule="auto"/>
              <w:jc w:val="center"/>
              <w:rPr>
                <w:rFonts w:ascii="Arial" w:hAnsi="Arial" w:cs="Arial"/>
                <w:sz w:val="16"/>
                <w:szCs w:val="16"/>
              </w:rPr>
            </w:pPr>
            <w:r>
              <w:rPr>
                <w:rFonts w:ascii="Arial" w:hAnsi="Arial" w:cs="Arial"/>
                <w:sz w:val="16"/>
                <w:szCs w:val="16"/>
              </w:rPr>
              <w:t>2019</w:t>
            </w:r>
            <w:r>
              <w:rPr>
                <w:rFonts w:ascii="Arial" w:hAnsi="Arial" w:cs="Arial"/>
                <w:sz w:val="16"/>
                <w:szCs w:val="16"/>
              </w:rPr>
              <w:noBreakHyphen/>
              <w:t>20</w:t>
            </w:r>
          </w:p>
        </w:tc>
        <w:tc>
          <w:tcPr>
            <w:tcW w:w="1088" w:type="pct"/>
            <w:gridSpan w:val="2"/>
            <w:tcBorders>
              <w:top w:val="single" w:sz="8" w:space="0" w:color="auto"/>
              <w:left w:val="nil"/>
            </w:tcBorders>
            <w:shd w:val="clear" w:color="auto" w:fill="E1E8EB"/>
            <w:vAlign w:val="bottom"/>
            <w:hideMark/>
          </w:tcPr>
          <w:p w14:paraId="3AEA6513" w14:textId="3214E776" w:rsidR="007F6A40" w:rsidRPr="00DC0FCA" w:rsidRDefault="00D76ED2" w:rsidP="00E00CCE">
            <w:pPr>
              <w:keepNext/>
              <w:keepLines/>
              <w:spacing w:after="0" w:line="240" w:lineRule="auto"/>
              <w:jc w:val="center"/>
              <w:rPr>
                <w:rFonts w:ascii="Arial" w:hAnsi="Arial" w:cs="Arial"/>
                <w:sz w:val="16"/>
                <w:szCs w:val="16"/>
              </w:rPr>
            </w:pPr>
            <w:r>
              <w:rPr>
                <w:rFonts w:ascii="Arial" w:hAnsi="Arial" w:cs="Arial"/>
                <w:sz w:val="16"/>
                <w:szCs w:val="16"/>
              </w:rPr>
              <w:t>2020</w:t>
            </w:r>
            <w:r>
              <w:rPr>
                <w:rFonts w:ascii="Arial" w:hAnsi="Arial" w:cs="Arial"/>
                <w:sz w:val="16"/>
                <w:szCs w:val="16"/>
              </w:rPr>
              <w:noBreakHyphen/>
              <w:t>21</w:t>
            </w:r>
          </w:p>
        </w:tc>
      </w:tr>
      <w:tr w:rsidR="001D4FA5" w:rsidRPr="00DC0FCA" w14:paraId="213E20D5" w14:textId="77777777" w:rsidTr="00405179">
        <w:trPr>
          <w:trHeight w:val="283"/>
        </w:trPr>
        <w:tc>
          <w:tcPr>
            <w:tcW w:w="1732" w:type="pct"/>
            <w:tcBorders>
              <w:right w:val="nil"/>
            </w:tcBorders>
            <w:shd w:val="clear" w:color="auto" w:fill="auto"/>
            <w:vAlign w:val="center"/>
          </w:tcPr>
          <w:p w14:paraId="34C66023" w14:textId="77777777" w:rsidR="001D4FA5" w:rsidRPr="00DC0FCA" w:rsidRDefault="001D4FA5" w:rsidP="00530A42">
            <w:pPr>
              <w:keepNext/>
              <w:keepLines/>
              <w:spacing w:after="0" w:line="240" w:lineRule="auto"/>
              <w:jc w:val="left"/>
              <w:rPr>
                <w:rFonts w:ascii="Arial" w:hAnsi="Arial" w:cs="Arial"/>
                <w:sz w:val="16"/>
                <w:szCs w:val="16"/>
              </w:rPr>
            </w:pPr>
          </w:p>
        </w:tc>
        <w:tc>
          <w:tcPr>
            <w:tcW w:w="545" w:type="pct"/>
            <w:tcBorders>
              <w:top w:val="nil"/>
              <w:left w:val="nil"/>
              <w:bottom w:val="single" w:sz="4" w:space="0" w:color="auto"/>
              <w:right w:val="nil"/>
            </w:tcBorders>
            <w:shd w:val="clear" w:color="auto" w:fill="auto"/>
            <w:vAlign w:val="center"/>
          </w:tcPr>
          <w:p w14:paraId="3962F21C" w14:textId="77516927" w:rsidR="001D4FA5" w:rsidRPr="00DC0FCA" w:rsidRDefault="00F609A5" w:rsidP="00530A42">
            <w:pPr>
              <w:keepNext/>
              <w:keepLines/>
              <w:spacing w:after="0" w:line="240" w:lineRule="auto"/>
              <w:jc w:val="right"/>
              <w:rPr>
                <w:rFonts w:ascii="Arial" w:hAnsi="Arial" w:cs="Arial"/>
                <w:sz w:val="16"/>
                <w:szCs w:val="16"/>
              </w:rPr>
            </w:pPr>
            <w:r>
              <w:rPr>
                <w:rFonts w:ascii="Arial" w:hAnsi="Arial" w:cs="Arial"/>
                <w:sz w:val="16"/>
                <w:szCs w:val="16"/>
              </w:rPr>
              <w:t>No.</w:t>
            </w:r>
          </w:p>
        </w:tc>
        <w:tc>
          <w:tcPr>
            <w:tcW w:w="546" w:type="pct"/>
            <w:tcBorders>
              <w:top w:val="nil"/>
              <w:left w:val="nil"/>
              <w:bottom w:val="single" w:sz="4" w:space="0" w:color="auto"/>
              <w:right w:val="nil"/>
            </w:tcBorders>
            <w:shd w:val="clear" w:color="auto" w:fill="auto"/>
            <w:vAlign w:val="center"/>
          </w:tcPr>
          <w:p w14:paraId="23EEFC62" w14:textId="277CC521" w:rsidR="001D4FA5" w:rsidRPr="00DC0FCA" w:rsidRDefault="001D4FA5" w:rsidP="00530A42">
            <w:pPr>
              <w:keepNext/>
              <w:keepLines/>
              <w:spacing w:after="0" w:line="240" w:lineRule="auto"/>
              <w:jc w:val="right"/>
              <w:rPr>
                <w:rFonts w:ascii="Arial" w:hAnsi="Arial" w:cs="Arial"/>
                <w:sz w:val="16"/>
                <w:szCs w:val="16"/>
              </w:rPr>
            </w:pPr>
          </w:p>
        </w:tc>
        <w:tc>
          <w:tcPr>
            <w:tcW w:w="545" w:type="pct"/>
            <w:tcBorders>
              <w:top w:val="nil"/>
              <w:left w:val="nil"/>
              <w:bottom w:val="single" w:sz="4" w:space="0" w:color="auto"/>
              <w:right w:val="nil"/>
            </w:tcBorders>
            <w:shd w:val="clear" w:color="auto" w:fill="auto"/>
            <w:vAlign w:val="center"/>
          </w:tcPr>
          <w:p w14:paraId="2254F7C5" w14:textId="16B9584F" w:rsidR="001D4FA5" w:rsidRPr="00DC0FCA" w:rsidRDefault="00F609A5" w:rsidP="00530A42">
            <w:pPr>
              <w:keepNext/>
              <w:keepLines/>
              <w:spacing w:after="0" w:line="240" w:lineRule="auto"/>
              <w:jc w:val="right"/>
              <w:rPr>
                <w:rFonts w:ascii="Arial" w:hAnsi="Arial" w:cs="Arial"/>
                <w:sz w:val="16"/>
                <w:szCs w:val="16"/>
              </w:rPr>
            </w:pPr>
            <w:r>
              <w:rPr>
                <w:rFonts w:ascii="Arial" w:hAnsi="Arial" w:cs="Arial"/>
                <w:sz w:val="16"/>
                <w:szCs w:val="16"/>
              </w:rPr>
              <w:t>No.</w:t>
            </w:r>
          </w:p>
        </w:tc>
        <w:tc>
          <w:tcPr>
            <w:tcW w:w="545" w:type="pct"/>
            <w:tcBorders>
              <w:top w:val="nil"/>
              <w:left w:val="nil"/>
              <w:bottom w:val="single" w:sz="4" w:space="0" w:color="auto"/>
              <w:right w:val="nil"/>
            </w:tcBorders>
            <w:shd w:val="clear" w:color="auto" w:fill="auto"/>
            <w:vAlign w:val="center"/>
          </w:tcPr>
          <w:p w14:paraId="30B214F0" w14:textId="2269D9A4" w:rsidR="001D4FA5" w:rsidRPr="00DC0FCA" w:rsidRDefault="001D4FA5" w:rsidP="00530A42">
            <w:pPr>
              <w:keepNext/>
              <w:keepLines/>
              <w:spacing w:after="0" w:line="240" w:lineRule="auto"/>
              <w:jc w:val="right"/>
              <w:rPr>
                <w:rFonts w:ascii="Arial" w:hAnsi="Arial" w:cs="Arial"/>
                <w:sz w:val="16"/>
                <w:szCs w:val="16"/>
              </w:rPr>
            </w:pPr>
          </w:p>
        </w:tc>
        <w:tc>
          <w:tcPr>
            <w:tcW w:w="545" w:type="pct"/>
            <w:tcBorders>
              <w:top w:val="nil"/>
              <w:left w:val="nil"/>
              <w:bottom w:val="single" w:sz="4" w:space="0" w:color="auto"/>
              <w:right w:val="nil"/>
            </w:tcBorders>
            <w:shd w:val="clear" w:color="auto" w:fill="E1E8EB"/>
            <w:vAlign w:val="center"/>
          </w:tcPr>
          <w:p w14:paraId="3ADA02E5" w14:textId="4E9FAB69" w:rsidR="001D4FA5" w:rsidRPr="00DC0FCA" w:rsidRDefault="00F609A5" w:rsidP="00530A42">
            <w:pPr>
              <w:keepNext/>
              <w:keepLines/>
              <w:spacing w:after="0" w:line="240" w:lineRule="auto"/>
              <w:jc w:val="right"/>
              <w:rPr>
                <w:rFonts w:ascii="Arial" w:hAnsi="Arial" w:cs="Arial"/>
                <w:sz w:val="16"/>
                <w:szCs w:val="16"/>
              </w:rPr>
            </w:pPr>
            <w:r>
              <w:rPr>
                <w:rFonts w:ascii="Arial" w:hAnsi="Arial" w:cs="Arial"/>
                <w:sz w:val="16"/>
                <w:szCs w:val="16"/>
              </w:rPr>
              <w:t>No.</w:t>
            </w:r>
          </w:p>
        </w:tc>
        <w:tc>
          <w:tcPr>
            <w:tcW w:w="543" w:type="pct"/>
            <w:tcBorders>
              <w:top w:val="nil"/>
              <w:left w:val="nil"/>
              <w:bottom w:val="single" w:sz="4" w:space="0" w:color="auto"/>
              <w:right w:val="nil"/>
            </w:tcBorders>
            <w:shd w:val="clear" w:color="auto" w:fill="E1E8EB"/>
            <w:vAlign w:val="center"/>
          </w:tcPr>
          <w:p w14:paraId="58ADDE83" w14:textId="4A654B60" w:rsidR="001D4FA5" w:rsidRPr="00DC0FCA" w:rsidRDefault="001D4FA5" w:rsidP="00530A42">
            <w:pPr>
              <w:keepNext/>
              <w:keepLines/>
              <w:spacing w:after="0" w:line="240" w:lineRule="auto"/>
              <w:jc w:val="right"/>
              <w:rPr>
                <w:rFonts w:ascii="Arial" w:hAnsi="Arial" w:cs="Arial"/>
                <w:sz w:val="16"/>
                <w:szCs w:val="16"/>
              </w:rPr>
            </w:pPr>
          </w:p>
        </w:tc>
      </w:tr>
      <w:tr w:rsidR="007F6A40" w:rsidRPr="00DC0FCA" w14:paraId="2C944418" w14:textId="77777777" w:rsidTr="00405179">
        <w:trPr>
          <w:trHeight w:val="283"/>
        </w:trPr>
        <w:tc>
          <w:tcPr>
            <w:tcW w:w="1732" w:type="pct"/>
            <w:tcBorders>
              <w:right w:val="nil"/>
            </w:tcBorders>
            <w:shd w:val="clear" w:color="auto" w:fill="auto"/>
            <w:vAlign w:val="center"/>
            <w:hideMark/>
          </w:tcPr>
          <w:p w14:paraId="6F0B545F" w14:textId="77777777" w:rsidR="007F6A40" w:rsidRPr="00DC0FCA" w:rsidRDefault="007F6A40" w:rsidP="00530A42">
            <w:pPr>
              <w:keepNext/>
              <w:keepLines/>
              <w:spacing w:after="0" w:line="240" w:lineRule="auto"/>
              <w:jc w:val="left"/>
              <w:rPr>
                <w:rFonts w:ascii="Arial" w:hAnsi="Arial" w:cs="Arial"/>
                <w:sz w:val="16"/>
                <w:szCs w:val="16"/>
              </w:rPr>
            </w:pPr>
            <w:r w:rsidRPr="00DC0FCA">
              <w:rPr>
                <w:rFonts w:ascii="Arial" w:hAnsi="Arial" w:cs="Arial"/>
                <w:sz w:val="16"/>
                <w:szCs w:val="16"/>
              </w:rPr>
              <w:t>Occupied 183 days or more</w:t>
            </w:r>
          </w:p>
        </w:tc>
        <w:tc>
          <w:tcPr>
            <w:tcW w:w="545" w:type="pct"/>
            <w:tcBorders>
              <w:top w:val="single" w:sz="4" w:space="0" w:color="auto"/>
              <w:left w:val="nil"/>
              <w:bottom w:val="nil"/>
              <w:right w:val="nil"/>
            </w:tcBorders>
            <w:shd w:val="clear" w:color="auto" w:fill="auto"/>
            <w:vAlign w:val="center"/>
            <w:hideMark/>
          </w:tcPr>
          <w:p w14:paraId="20B0BDCB"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2,037</w:t>
            </w:r>
          </w:p>
        </w:tc>
        <w:tc>
          <w:tcPr>
            <w:tcW w:w="546" w:type="pct"/>
            <w:tcBorders>
              <w:top w:val="single" w:sz="4" w:space="0" w:color="auto"/>
              <w:left w:val="nil"/>
              <w:bottom w:val="nil"/>
              <w:right w:val="nil"/>
            </w:tcBorders>
            <w:shd w:val="clear" w:color="auto" w:fill="auto"/>
            <w:vAlign w:val="center"/>
            <w:hideMark/>
          </w:tcPr>
          <w:p w14:paraId="376DE332"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90.1%</w:t>
            </w:r>
          </w:p>
        </w:tc>
        <w:tc>
          <w:tcPr>
            <w:tcW w:w="545" w:type="pct"/>
            <w:tcBorders>
              <w:top w:val="single" w:sz="4" w:space="0" w:color="auto"/>
              <w:left w:val="nil"/>
              <w:bottom w:val="nil"/>
              <w:right w:val="nil"/>
            </w:tcBorders>
            <w:shd w:val="clear" w:color="auto" w:fill="auto"/>
            <w:vAlign w:val="center"/>
            <w:hideMark/>
          </w:tcPr>
          <w:p w14:paraId="0DB1D5D3"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5,077</w:t>
            </w:r>
          </w:p>
        </w:tc>
        <w:tc>
          <w:tcPr>
            <w:tcW w:w="545" w:type="pct"/>
            <w:tcBorders>
              <w:top w:val="single" w:sz="4" w:space="0" w:color="auto"/>
              <w:left w:val="nil"/>
              <w:bottom w:val="nil"/>
              <w:right w:val="nil"/>
            </w:tcBorders>
            <w:shd w:val="clear" w:color="auto" w:fill="auto"/>
            <w:vAlign w:val="center"/>
            <w:hideMark/>
          </w:tcPr>
          <w:p w14:paraId="7A64BF43"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91.9%</w:t>
            </w:r>
          </w:p>
        </w:tc>
        <w:tc>
          <w:tcPr>
            <w:tcW w:w="545" w:type="pct"/>
            <w:tcBorders>
              <w:top w:val="single" w:sz="4" w:space="0" w:color="auto"/>
              <w:left w:val="nil"/>
              <w:bottom w:val="nil"/>
              <w:right w:val="nil"/>
            </w:tcBorders>
            <w:shd w:val="clear" w:color="auto" w:fill="E1E8EB"/>
            <w:vAlign w:val="center"/>
            <w:hideMark/>
          </w:tcPr>
          <w:p w14:paraId="060A75B7"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8,066</w:t>
            </w:r>
          </w:p>
        </w:tc>
        <w:tc>
          <w:tcPr>
            <w:tcW w:w="543" w:type="pct"/>
            <w:tcBorders>
              <w:top w:val="single" w:sz="4" w:space="0" w:color="auto"/>
              <w:left w:val="nil"/>
              <w:bottom w:val="nil"/>
              <w:right w:val="nil"/>
            </w:tcBorders>
            <w:shd w:val="clear" w:color="auto" w:fill="E1E8EB"/>
            <w:vAlign w:val="center"/>
            <w:hideMark/>
          </w:tcPr>
          <w:p w14:paraId="5A529112"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79.9%</w:t>
            </w:r>
          </w:p>
        </w:tc>
      </w:tr>
      <w:tr w:rsidR="007F6A40" w:rsidRPr="00DC0FCA" w14:paraId="554A0F84" w14:textId="77777777" w:rsidTr="00405179">
        <w:trPr>
          <w:trHeight w:val="283"/>
        </w:trPr>
        <w:tc>
          <w:tcPr>
            <w:tcW w:w="1732" w:type="pct"/>
            <w:tcBorders>
              <w:top w:val="nil"/>
              <w:right w:val="nil"/>
            </w:tcBorders>
            <w:shd w:val="clear" w:color="auto" w:fill="auto"/>
            <w:vAlign w:val="center"/>
            <w:hideMark/>
          </w:tcPr>
          <w:p w14:paraId="4F051D6A" w14:textId="77777777" w:rsidR="007F6A40" w:rsidRPr="00DC0FCA" w:rsidRDefault="007F6A40" w:rsidP="00530A42">
            <w:pPr>
              <w:keepNext/>
              <w:keepLines/>
              <w:spacing w:after="0" w:line="240" w:lineRule="auto"/>
              <w:jc w:val="left"/>
              <w:rPr>
                <w:rFonts w:ascii="Arial" w:hAnsi="Arial" w:cs="Arial"/>
                <w:sz w:val="16"/>
                <w:szCs w:val="16"/>
              </w:rPr>
            </w:pPr>
            <w:r w:rsidRPr="00DC0FCA">
              <w:rPr>
                <w:rFonts w:ascii="Arial" w:hAnsi="Arial" w:cs="Arial"/>
                <w:sz w:val="16"/>
                <w:szCs w:val="16"/>
              </w:rPr>
              <w:t>Occupied fewer than 183 days</w:t>
            </w:r>
          </w:p>
        </w:tc>
        <w:tc>
          <w:tcPr>
            <w:tcW w:w="545" w:type="pct"/>
            <w:tcBorders>
              <w:top w:val="nil"/>
              <w:left w:val="nil"/>
              <w:bottom w:val="nil"/>
              <w:right w:val="nil"/>
            </w:tcBorders>
            <w:shd w:val="clear" w:color="auto" w:fill="auto"/>
            <w:vAlign w:val="center"/>
            <w:hideMark/>
          </w:tcPr>
          <w:p w14:paraId="12465D67"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118</w:t>
            </w:r>
          </w:p>
        </w:tc>
        <w:tc>
          <w:tcPr>
            <w:tcW w:w="546" w:type="pct"/>
            <w:tcBorders>
              <w:top w:val="nil"/>
              <w:left w:val="nil"/>
              <w:bottom w:val="nil"/>
              <w:right w:val="nil"/>
            </w:tcBorders>
            <w:shd w:val="clear" w:color="auto" w:fill="auto"/>
            <w:vAlign w:val="center"/>
            <w:hideMark/>
          </w:tcPr>
          <w:p w14:paraId="3079EF7E"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5.2%</w:t>
            </w:r>
          </w:p>
        </w:tc>
        <w:tc>
          <w:tcPr>
            <w:tcW w:w="545" w:type="pct"/>
            <w:tcBorders>
              <w:top w:val="nil"/>
              <w:left w:val="nil"/>
              <w:bottom w:val="nil"/>
              <w:right w:val="nil"/>
            </w:tcBorders>
            <w:shd w:val="clear" w:color="auto" w:fill="auto"/>
            <w:vAlign w:val="center"/>
            <w:hideMark/>
          </w:tcPr>
          <w:p w14:paraId="50E57BA8"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231</w:t>
            </w:r>
          </w:p>
        </w:tc>
        <w:tc>
          <w:tcPr>
            <w:tcW w:w="545" w:type="pct"/>
            <w:tcBorders>
              <w:top w:val="nil"/>
              <w:left w:val="nil"/>
              <w:bottom w:val="nil"/>
              <w:right w:val="nil"/>
            </w:tcBorders>
            <w:shd w:val="clear" w:color="auto" w:fill="auto"/>
            <w:vAlign w:val="center"/>
            <w:hideMark/>
          </w:tcPr>
          <w:p w14:paraId="0EC5AF6E"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4.2%</w:t>
            </w:r>
          </w:p>
        </w:tc>
        <w:tc>
          <w:tcPr>
            <w:tcW w:w="545" w:type="pct"/>
            <w:tcBorders>
              <w:top w:val="nil"/>
              <w:left w:val="nil"/>
              <w:bottom w:val="nil"/>
              <w:right w:val="nil"/>
            </w:tcBorders>
            <w:shd w:val="clear" w:color="auto" w:fill="E1E8EB"/>
            <w:vAlign w:val="center"/>
            <w:hideMark/>
          </w:tcPr>
          <w:p w14:paraId="50E7C8CE"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234</w:t>
            </w:r>
          </w:p>
        </w:tc>
        <w:tc>
          <w:tcPr>
            <w:tcW w:w="543" w:type="pct"/>
            <w:tcBorders>
              <w:top w:val="nil"/>
              <w:left w:val="nil"/>
              <w:bottom w:val="nil"/>
              <w:right w:val="nil"/>
            </w:tcBorders>
            <w:shd w:val="clear" w:color="auto" w:fill="E1E8EB"/>
            <w:vAlign w:val="center"/>
            <w:hideMark/>
          </w:tcPr>
          <w:p w14:paraId="670F695D"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2.3%</w:t>
            </w:r>
          </w:p>
        </w:tc>
      </w:tr>
      <w:tr w:rsidR="007F6A40" w:rsidRPr="00DC0FCA" w14:paraId="13416099" w14:textId="77777777" w:rsidTr="00405179">
        <w:trPr>
          <w:trHeight w:val="283"/>
        </w:trPr>
        <w:tc>
          <w:tcPr>
            <w:tcW w:w="1732" w:type="pct"/>
            <w:tcBorders>
              <w:top w:val="nil"/>
              <w:bottom w:val="single" w:sz="8" w:space="0" w:color="auto"/>
              <w:right w:val="nil"/>
            </w:tcBorders>
            <w:shd w:val="clear" w:color="auto" w:fill="auto"/>
            <w:vAlign w:val="center"/>
            <w:hideMark/>
          </w:tcPr>
          <w:p w14:paraId="15422907" w14:textId="77777777" w:rsidR="007F6A40" w:rsidRPr="00DC0FCA" w:rsidRDefault="007F6A40" w:rsidP="00530A42">
            <w:pPr>
              <w:keepNext/>
              <w:keepLines/>
              <w:spacing w:after="0" w:line="240" w:lineRule="auto"/>
              <w:jc w:val="left"/>
              <w:rPr>
                <w:rFonts w:ascii="Arial" w:hAnsi="Arial" w:cs="Arial"/>
                <w:sz w:val="16"/>
                <w:szCs w:val="16"/>
              </w:rPr>
            </w:pPr>
            <w:r w:rsidRPr="00DC0FCA">
              <w:rPr>
                <w:rFonts w:ascii="Arial" w:hAnsi="Arial" w:cs="Arial"/>
                <w:sz w:val="16"/>
                <w:szCs w:val="16"/>
              </w:rPr>
              <w:t>Dwelling exempt</w:t>
            </w:r>
          </w:p>
        </w:tc>
        <w:tc>
          <w:tcPr>
            <w:tcW w:w="545" w:type="pct"/>
            <w:tcBorders>
              <w:top w:val="nil"/>
              <w:left w:val="nil"/>
              <w:bottom w:val="single" w:sz="8" w:space="0" w:color="auto"/>
              <w:right w:val="nil"/>
            </w:tcBorders>
            <w:shd w:val="clear" w:color="auto" w:fill="auto"/>
            <w:vAlign w:val="center"/>
            <w:hideMark/>
          </w:tcPr>
          <w:p w14:paraId="262C9E80"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63</w:t>
            </w:r>
          </w:p>
        </w:tc>
        <w:tc>
          <w:tcPr>
            <w:tcW w:w="546" w:type="pct"/>
            <w:tcBorders>
              <w:top w:val="nil"/>
              <w:left w:val="nil"/>
              <w:bottom w:val="single" w:sz="8" w:space="0" w:color="auto"/>
              <w:right w:val="nil"/>
            </w:tcBorders>
            <w:shd w:val="clear" w:color="auto" w:fill="auto"/>
            <w:vAlign w:val="center"/>
            <w:hideMark/>
          </w:tcPr>
          <w:p w14:paraId="18C96DBE"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2.8%</w:t>
            </w:r>
          </w:p>
        </w:tc>
        <w:tc>
          <w:tcPr>
            <w:tcW w:w="545" w:type="pct"/>
            <w:tcBorders>
              <w:top w:val="nil"/>
              <w:left w:val="nil"/>
              <w:bottom w:val="single" w:sz="8" w:space="0" w:color="auto"/>
              <w:right w:val="nil"/>
            </w:tcBorders>
            <w:shd w:val="clear" w:color="auto" w:fill="auto"/>
            <w:vAlign w:val="center"/>
            <w:hideMark/>
          </w:tcPr>
          <w:p w14:paraId="0283D251"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105</w:t>
            </w:r>
          </w:p>
        </w:tc>
        <w:tc>
          <w:tcPr>
            <w:tcW w:w="545" w:type="pct"/>
            <w:tcBorders>
              <w:top w:val="nil"/>
              <w:left w:val="nil"/>
              <w:bottom w:val="single" w:sz="8" w:space="0" w:color="auto"/>
              <w:right w:val="nil"/>
            </w:tcBorders>
            <w:shd w:val="clear" w:color="auto" w:fill="auto"/>
            <w:vAlign w:val="center"/>
            <w:hideMark/>
          </w:tcPr>
          <w:p w14:paraId="16281B0F"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1.9%</w:t>
            </w:r>
          </w:p>
        </w:tc>
        <w:tc>
          <w:tcPr>
            <w:tcW w:w="545" w:type="pct"/>
            <w:tcBorders>
              <w:top w:val="nil"/>
              <w:left w:val="nil"/>
              <w:bottom w:val="single" w:sz="8" w:space="0" w:color="auto"/>
              <w:right w:val="nil"/>
            </w:tcBorders>
            <w:shd w:val="clear" w:color="auto" w:fill="E1E8EB"/>
            <w:vAlign w:val="center"/>
            <w:hideMark/>
          </w:tcPr>
          <w:p w14:paraId="1BA2D9AF"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579</w:t>
            </w:r>
          </w:p>
        </w:tc>
        <w:tc>
          <w:tcPr>
            <w:tcW w:w="543" w:type="pct"/>
            <w:tcBorders>
              <w:top w:val="nil"/>
              <w:left w:val="nil"/>
              <w:bottom w:val="single" w:sz="8" w:space="0" w:color="auto"/>
              <w:right w:val="nil"/>
            </w:tcBorders>
            <w:shd w:val="clear" w:color="auto" w:fill="E1E8EB"/>
            <w:vAlign w:val="center"/>
            <w:hideMark/>
          </w:tcPr>
          <w:p w14:paraId="5185C0C7"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5.7%</w:t>
            </w:r>
          </w:p>
        </w:tc>
      </w:tr>
      <w:tr w:rsidR="007F6A40" w:rsidRPr="00DC0FCA" w14:paraId="4B5C3917" w14:textId="77777777" w:rsidTr="00405179">
        <w:trPr>
          <w:trHeight w:val="283"/>
        </w:trPr>
        <w:tc>
          <w:tcPr>
            <w:tcW w:w="1732" w:type="pct"/>
            <w:tcBorders>
              <w:top w:val="single" w:sz="8" w:space="0" w:color="auto"/>
              <w:bottom w:val="nil"/>
              <w:right w:val="nil"/>
            </w:tcBorders>
            <w:shd w:val="clear" w:color="auto" w:fill="auto"/>
            <w:vAlign w:val="center"/>
            <w:hideMark/>
          </w:tcPr>
          <w:p w14:paraId="4E2379F0" w14:textId="77777777" w:rsidR="007F6A40" w:rsidRPr="00FD6AF5" w:rsidRDefault="007F6A40" w:rsidP="00530A42">
            <w:pPr>
              <w:keepNext/>
              <w:keepLines/>
              <w:spacing w:after="0" w:line="240" w:lineRule="auto"/>
              <w:jc w:val="left"/>
              <w:rPr>
                <w:rFonts w:ascii="Arial" w:hAnsi="Arial" w:cs="Arial"/>
                <w:i/>
                <w:sz w:val="16"/>
                <w:szCs w:val="16"/>
              </w:rPr>
            </w:pPr>
            <w:r w:rsidRPr="00FD6AF5">
              <w:rPr>
                <w:rFonts w:ascii="Arial" w:hAnsi="Arial" w:cs="Arial"/>
                <w:i/>
                <w:sz w:val="16"/>
                <w:szCs w:val="16"/>
              </w:rPr>
              <w:t>Subtotal declarations</w:t>
            </w:r>
          </w:p>
        </w:tc>
        <w:tc>
          <w:tcPr>
            <w:tcW w:w="545" w:type="pct"/>
            <w:tcBorders>
              <w:top w:val="nil"/>
              <w:left w:val="nil"/>
              <w:bottom w:val="nil"/>
              <w:right w:val="nil"/>
            </w:tcBorders>
            <w:shd w:val="clear" w:color="auto" w:fill="auto"/>
            <w:vAlign w:val="center"/>
            <w:hideMark/>
          </w:tcPr>
          <w:p w14:paraId="4209DA68" w14:textId="77777777" w:rsidR="007F6A40" w:rsidRPr="00FD6AF5" w:rsidRDefault="007F6A40" w:rsidP="00530A42">
            <w:pPr>
              <w:keepNext/>
              <w:keepLines/>
              <w:spacing w:after="0" w:line="240" w:lineRule="auto"/>
              <w:jc w:val="right"/>
              <w:rPr>
                <w:rFonts w:ascii="Arial" w:hAnsi="Arial" w:cs="Arial"/>
                <w:i/>
                <w:sz w:val="16"/>
                <w:szCs w:val="16"/>
              </w:rPr>
            </w:pPr>
            <w:r w:rsidRPr="00FD6AF5">
              <w:rPr>
                <w:rFonts w:ascii="Arial" w:hAnsi="Arial" w:cs="Arial"/>
                <w:i/>
                <w:sz w:val="16"/>
                <w:szCs w:val="16"/>
              </w:rPr>
              <w:t>2,218</w:t>
            </w:r>
          </w:p>
        </w:tc>
        <w:tc>
          <w:tcPr>
            <w:tcW w:w="546" w:type="pct"/>
            <w:tcBorders>
              <w:top w:val="nil"/>
              <w:left w:val="nil"/>
              <w:bottom w:val="nil"/>
              <w:right w:val="nil"/>
            </w:tcBorders>
            <w:shd w:val="clear" w:color="auto" w:fill="auto"/>
            <w:vAlign w:val="center"/>
            <w:hideMark/>
          </w:tcPr>
          <w:p w14:paraId="0F0CA90B" w14:textId="77777777" w:rsidR="007F6A40" w:rsidRPr="00FD6AF5" w:rsidRDefault="007F6A40" w:rsidP="00530A42">
            <w:pPr>
              <w:keepNext/>
              <w:keepLines/>
              <w:spacing w:after="0" w:line="240" w:lineRule="auto"/>
              <w:jc w:val="right"/>
              <w:rPr>
                <w:rFonts w:ascii="Arial" w:hAnsi="Arial" w:cs="Arial"/>
                <w:i/>
                <w:sz w:val="16"/>
                <w:szCs w:val="16"/>
              </w:rPr>
            </w:pPr>
            <w:r w:rsidRPr="00FD6AF5">
              <w:rPr>
                <w:rFonts w:ascii="Arial" w:hAnsi="Arial" w:cs="Arial"/>
                <w:i/>
                <w:sz w:val="16"/>
                <w:szCs w:val="16"/>
              </w:rPr>
              <w:t>98.1%</w:t>
            </w:r>
          </w:p>
        </w:tc>
        <w:tc>
          <w:tcPr>
            <w:tcW w:w="545" w:type="pct"/>
            <w:tcBorders>
              <w:top w:val="nil"/>
              <w:left w:val="nil"/>
              <w:bottom w:val="nil"/>
              <w:right w:val="nil"/>
            </w:tcBorders>
            <w:shd w:val="clear" w:color="auto" w:fill="auto"/>
            <w:vAlign w:val="center"/>
            <w:hideMark/>
          </w:tcPr>
          <w:p w14:paraId="73BDB5A1" w14:textId="77777777" w:rsidR="007F6A40" w:rsidRPr="00FD6AF5" w:rsidRDefault="007F6A40" w:rsidP="00530A42">
            <w:pPr>
              <w:keepNext/>
              <w:keepLines/>
              <w:spacing w:after="0" w:line="240" w:lineRule="auto"/>
              <w:jc w:val="right"/>
              <w:rPr>
                <w:rFonts w:ascii="Arial" w:hAnsi="Arial" w:cs="Arial"/>
                <w:i/>
                <w:sz w:val="16"/>
                <w:szCs w:val="16"/>
              </w:rPr>
            </w:pPr>
            <w:r w:rsidRPr="00FD6AF5">
              <w:rPr>
                <w:rFonts w:ascii="Arial" w:hAnsi="Arial" w:cs="Arial"/>
                <w:i/>
                <w:sz w:val="16"/>
                <w:szCs w:val="16"/>
              </w:rPr>
              <w:t>5,413</w:t>
            </w:r>
          </w:p>
        </w:tc>
        <w:tc>
          <w:tcPr>
            <w:tcW w:w="545" w:type="pct"/>
            <w:tcBorders>
              <w:top w:val="nil"/>
              <w:left w:val="nil"/>
              <w:bottom w:val="nil"/>
              <w:right w:val="nil"/>
            </w:tcBorders>
            <w:shd w:val="clear" w:color="auto" w:fill="auto"/>
            <w:vAlign w:val="center"/>
            <w:hideMark/>
          </w:tcPr>
          <w:p w14:paraId="4FEDC8E4" w14:textId="77777777" w:rsidR="007F6A40" w:rsidRPr="00FD6AF5" w:rsidRDefault="007F6A40" w:rsidP="00530A42">
            <w:pPr>
              <w:keepNext/>
              <w:keepLines/>
              <w:spacing w:after="0" w:line="240" w:lineRule="auto"/>
              <w:jc w:val="right"/>
              <w:rPr>
                <w:rFonts w:ascii="Arial" w:hAnsi="Arial" w:cs="Arial"/>
                <w:i/>
                <w:sz w:val="16"/>
                <w:szCs w:val="16"/>
              </w:rPr>
            </w:pPr>
            <w:r w:rsidRPr="00FD6AF5">
              <w:rPr>
                <w:rFonts w:ascii="Arial" w:hAnsi="Arial" w:cs="Arial"/>
                <w:i/>
                <w:sz w:val="16"/>
                <w:szCs w:val="16"/>
              </w:rPr>
              <w:t>98.0%</w:t>
            </w:r>
          </w:p>
        </w:tc>
        <w:tc>
          <w:tcPr>
            <w:tcW w:w="545" w:type="pct"/>
            <w:tcBorders>
              <w:top w:val="nil"/>
              <w:left w:val="nil"/>
              <w:bottom w:val="nil"/>
              <w:right w:val="nil"/>
            </w:tcBorders>
            <w:shd w:val="clear" w:color="auto" w:fill="E1E8EB"/>
            <w:vAlign w:val="center"/>
            <w:hideMark/>
          </w:tcPr>
          <w:p w14:paraId="70409FC7" w14:textId="77777777" w:rsidR="007F6A40" w:rsidRPr="00FD6AF5" w:rsidRDefault="007F6A40" w:rsidP="00530A42">
            <w:pPr>
              <w:keepNext/>
              <w:keepLines/>
              <w:spacing w:after="0" w:line="240" w:lineRule="auto"/>
              <w:jc w:val="right"/>
              <w:rPr>
                <w:rFonts w:ascii="Arial" w:hAnsi="Arial" w:cs="Arial"/>
                <w:i/>
                <w:sz w:val="16"/>
                <w:szCs w:val="16"/>
              </w:rPr>
            </w:pPr>
            <w:r w:rsidRPr="00FD6AF5">
              <w:rPr>
                <w:rFonts w:ascii="Arial" w:hAnsi="Arial" w:cs="Arial"/>
                <w:i/>
                <w:sz w:val="16"/>
                <w:szCs w:val="16"/>
              </w:rPr>
              <w:t>8,879</w:t>
            </w:r>
          </w:p>
        </w:tc>
        <w:tc>
          <w:tcPr>
            <w:tcW w:w="543" w:type="pct"/>
            <w:tcBorders>
              <w:top w:val="nil"/>
              <w:left w:val="nil"/>
              <w:bottom w:val="nil"/>
              <w:right w:val="nil"/>
            </w:tcBorders>
            <w:shd w:val="clear" w:color="auto" w:fill="E1E8EB"/>
            <w:vAlign w:val="center"/>
            <w:hideMark/>
          </w:tcPr>
          <w:p w14:paraId="7A3E8409" w14:textId="77777777" w:rsidR="007F6A40" w:rsidRPr="00FD6AF5" w:rsidRDefault="007F6A40" w:rsidP="00530A42">
            <w:pPr>
              <w:keepNext/>
              <w:keepLines/>
              <w:spacing w:after="0" w:line="240" w:lineRule="auto"/>
              <w:jc w:val="right"/>
              <w:rPr>
                <w:rFonts w:ascii="Arial" w:hAnsi="Arial" w:cs="Arial"/>
                <w:i/>
                <w:sz w:val="16"/>
                <w:szCs w:val="16"/>
              </w:rPr>
            </w:pPr>
            <w:r w:rsidRPr="00FD6AF5">
              <w:rPr>
                <w:rFonts w:ascii="Arial" w:hAnsi="Arial" w:cs="Arial"/>
                <w:i/>
                <w:sz w:val="16"/>
                <w:szCs w:val="16"/>
              </w:rPr>
              <w:t>88.0%</w:t>
            </w:r>
          </w:p>
        </w:tc>
      </w:tr>
      <w:tr w:rsidR="007F6A40" w:rsidRPr="00DC0FCA" w14:paraId="32E21970" w14:textId="77777777" w:rsidTr="00405179">
        <w:trPr>
          <w:trHeight w:val="283"/>
        </w:trPr>
        <w:tc>
          <w:tcPr>
            <w:tcW w:w="1732" w:type="pct"/>
            <w:tcBorders>
              <w:top w:val="nil"/>
              <w:bottom w:val="nil"/>
              <w:right w:val="nil"/>
            </w:tcBorders>
            <w:shd w:val="clear" w:color="auto" w:fill="auto"/>
            <w:vAlign w:val="center"/>
            <w:hideMark/>
          </w:tcPr>
          <w:p w14:paraId="2C070FE2" w14:textId="77777777" w:rsidR="007F6A40" w:rsidRPr="00DC0FCA" w:rsidRDefault="007F6A40" w:rsidP="00530A42">
            <w:pPr>
              <w:keepNext/>
              <w:keepLines/>
              <w:spacing w:after="0" w:line="240" w:lineRule="auto"/>
              <w:jc w:val="left"/>
              <w:rPr>
                <w:rFonts w:ascii="Arial" w:hAnsi="Arial" w:cs="Arial"/>
                <w:sz w:val="16"/>
                <w:szCs w:val="16"/>
              </w:rPr>
            </w:pPr>
            <w:r w:rsidRPr="00DC0FCA">
              <w:rPr>
                <w:rFonts w:ascii="Arial" w:hAnsi="Arial" w:cs="Arial"/>
                <w:sz w:val="16"/>
                <w:szCs w:val="16"/>
              </w:rPr>
              <w:t>Deemed unoccupied</w:t>
            </w:r>
          </w:p>
        </w:tc>
        <w:tc>
          <w:tcPr>
            <w:tcW w:w="545" w:type="pct"/>
            <w:tcBorders>
              <w:top w:val="nil"/>
              <w:left w:val="nil"/>
              <w:bottom w:val="nil"/>
              <w:right w:val="nil"/>
            </w:tcBorders>
            <w:shd w:val="clear" w:color="auto" w:fill="auto"/>
            <w:vAlign w:val="center"/>
            <w:hideMark/>
          </w:tcPr>
          <w:p w14:paraId="25F9137D"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44</w:t>
            </w:r>
          </w:p>
        </w:tc>
        <w:tc>
          <w:tcPr>
            <w:tcW w:w="546" w:type="pct"/>
            <w:tcBorders>
              <w:top w:val="nil"/>
              <w:left w:val="nil"/>
              <w:bottom w:val="nil"/>
              <w:right w:val="nil"/>
            </w:tcBorders>
            <w:shd w:val="clear" w:color="auto" w:fill="auto"/>
            <w:vAlign w:val="center"/>
            <w:hideMark/>
          </w:tcPr>
          <w:p w14:paraId="5F6D79B3"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1.9%</w:t>
            </w:r>
          </w:p>
        </w:tc>
        <w:tc>
          <w:tcPr>
            <w:tcW w:w="545" w:type="pct"/>
            <w:tcBorders>
              <w:top w:val="nil"/>
              <w:left w:val="nil"/>
              <w:bottom w:val="nil"/>
              <w:right w:val="nil"/>
            </w:tcBorders>
            <w:shd w:val="clear" w:color="auto" w:fill="auto"/>
            <w:vAlign w:val="center"/>
            <w:hideMark/>
          </w:tcPr>
          <w:p w14:paraId="05E2B953"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109</w:t>
            </w:r>
          </w:p>
        </w:tc>
        <w:tc>
          <w:tcPr>
            <w:tcW w:w="545" w:type="pct"/>
            <w:tcBorders>
              <w:top w:val="nil"/>
              <w:left w:val="nil"/>
              <w:bottom w:val="nil"/>
              <w:right w:val="nil"/>
            </w:tcBorders>
            <w:shd w:val="clear" w:color="auto" w:fill="auto"/>
            <w:vAlign w:val="center"/>
            <w:hideMark/>
          </w:tcPr>
          <w:p w14:paraId="65EC4AD7"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2.0%</w:t>
            </w:r>
          </w:p>
        </w:tc>
        <w:tc>
          <w:tcPr>
            <w:tcW w:w="545" w:type="pct"/>
            <w:tcBorders>
              <w:top w:val="nil"/>
              <w:left w:val="nil"/>
              <w:bottom w:val="nil"/>
              <w:right w:val="nil"/>
            </w:tcBorders>
            <w:shd w:val="clear" w:color="auto" w:fill="E1E8EB"/>
            <w:vAlign w:val="center"/>
            <w:hideMark/>
          </w:tcPr>
          <w:p w14:paraId="350001F5"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1214</w:t>
            </w:r>
          </w:p>
        </w:tc>
        <w:tc>
          <w:tcPr>
            <w:tcW w:w="543" w:type="pct"/>
            <w:tcBorders>
              <w:top w:val="nil"/>
              <w:left w:val="nil"/>
              <w:bottom w:val="nil"/>
              <w:right w:val="nil"/>
            </w:tcBorders>
            <w:shd w:val="clear" w:color="auto" w:fill="E1E8EB"/>
            <w:vAlign w:val="center"/>
            <w:hideMark/>
          </w:tcPr>
          <w:p w14:paraId="5C57E467" w14:textId="77777777" w:rsidR="007F6A40" w:rsidRPr="00DC0FCA" w:rsidRDefault="007F6A40" w:rsidP="00530A42">
            <w:pPr>
              <w:keepNext/>
              <w:keepLines/>
              <w:spacing w:after="0" w:line="240" w:lineRule="auto"/>
              <w:jc w:val="right"/>
              <w:rPr>
                <w:rFonts w:ascii="Arial" w:hAnsi="Arial" w:cs="Arial"/>
                <w:sz w:val="16"/>
                <w:szCs w:val="16"/>
              </w:rPr>
            </w:pPr>
            <w:r w:rsidRPr="00DC0FCA">
              <w:rPr>
                <w:rFonts w:ascii="Arial" w:hAnsi="Arial" w:cs="Arial"/>
                <w:sz w:val="16"/>
                <w:szCs w:val="16"/>
              </w:rPr>
              <w:t>12.0%</w:t>
            </w:r>
          </w:p>
        </w:tc>
      </w:tr>
      <w:tr w:rsidR="007F6A40" w:rsidRPr="00DC0FCA" w14:paraId="065F133F" w14:textId="77777777" w:rsidTr="00405179">
        <w:trPr>
          <w:trHeight w:val="283"/>
        </w:trPr>
        <w:tc>
          <w:tcPr>
            <w:tcW w:w="1732" w:type="pct"/>
            <w:tcBorders>
              <w:top w:val="single" w:sz="8" w:space="0" w:color="auto"/>
              <w:bottom w:val="single" w:sz="8" w:space="0" w:color="auto"/>
              <w:right w:val="nil"/>
            </w:tcBorders>
            <w:shd w:val="clear" w:color="auto" w:fill="auto"/>
            <w:vAlign w:val="center"/>
            <w:hideMark/>
          </w:tcPr>
          <w:p w14:paraId="26F6A53F" w14:textId="77777777" w:rsidR="007F6A40" w:rsidRPr="00DC0FCA" w:rsidRDefault="007F6A40" w:rsidP="00530A42">
            <w:pPr>
              <w:keepNext/>
              <w:keepLines/>
              <w:spacing w:after="0" w:line="240" w:lineRule="auto"/>
              <w:jc w:val="left"/>
              <w:rPr>
                <w:rFonts w:ascii="Arial" w:hAnsi="Arial" w:cs="Arial"/>
                <w:b/>
                <w:bCs/>
                <w:sz w:val="16"/>
                <w:szCs w:val="16"/>
              </w:rPr>
            </w:pPr>
            <w:r w:rsidRPr="00DC0FCA">
              <w:rPr>
                <w:rFonts w:ascii="Arial" w:hAnsi="Arial" w:cs="Arial"/>
                <w:b/>
                <w:bCs/>
                <w:sz w:val="16"/>
                <w:szCs w:val="16"/>
              </w:rPr>
              <w:t>Total</w:t>
            </w:r>
          </w:p>
        </w:tc>
        <w:tc>
          <w:tcPr>
            <w:tcW w:w="545" w:type="pct"/>
            <w:tcBorders>
              <w:top w:val="single" w:sz="8" w:space="0" w:color="auto"/>
              <w:left w:val="nil"/>
              <w:bottom w:val="single" w:sz="8" w:space="0" w:color="auto"/>
              <w:right w:val="nil"/>
            </w:tcBorders>
            <w:shd w:val="clear" w:color="auto" w:fill="auto"/>
            <w:vAlign w:val="center"/>
            <w:hideMark/>
          </w:tcPr>
          <w:p w14:paraId="5F2E2745" w14:textId="77777777" w:rsidR="007F6A40" w:rsidRPr="00DC0FCA" w:rsidRDefault="007F6A40" w:rsidP="00530A42">
            <w:pPr>
              <w:keepNext/>
              <w:keepLines/>
              <w:spacing w:after="0" w:line="240" w:lineRule="auto"/>
              <w:jc w:val="right"/>
              <w:rPr>
                <w:rFonts w:ascii="Arial" w:hAnsi="Arial" w:cs="Arial"/>
                <w:b/>
                <w:bCs/>
                <w:sz w:val="16"/>
                <w:szCs w:val="16"/>
              </w:rPr>
            </w:pPr>
            <w:r w:rsidRPr="00DC0FCA">
              <w:rPr>
                <w:rFonts w:ascii="Arial" w:hAnsi="Arial" w:cs="Arial"/>
                <w:b/>
                <w:bCs/>
                <w:sz w:val="16"/>
                <w:szCs w:val="16"/>
              </w:rPr>
              <w:t>2,262</w:t>
            </w:r>
          </w:p>
        </w:tc>
        <w:tc>
          <w:tcPr>
            <w:tcW w:w="546" w:type="pct"/>
            <w:tcBorders>
              <w:top w:val="single" w:sz="8" w:space="0" w:color="auto"/>
              <w:left w:val="nil"/>
              <w:bottom w:val="single" w:sz="8" w:space="0" w:color="auto"/>
              <w:right w:val="nil"/>
            </w:tcBorders>
            <w:shd w:val="clear" w:color="auto" w:fill="auto"/>
            <w:vAlign w:val="center"/>
            <w:hideMark/>
          </w:tcPr>
          <w:p w14:paraId="08A5638D" w14:textId="77777777" w:rsidR="007F6A40" w:rsidRPr="00DC0FCA" w:rsidRDefault="007F6A40" w:rsidP="00530A42">
            <w:pPr>
              <w:keepNext/>
              <w:keepLines/>
              <w:spacing w:after="0" w:line="240" w:lineRule="auto"/>
              <w:jc w:val="right"/>
              <w:rPr>
                <w:rFonts w:ascii="Arial" w:hAnsi="Arial" w:cs="Arial"/>
                <w:b/>
                <w:bCs/>
                <w:sz w:val="16"/>
                <w:szCs w:val="16"/>
              </w:rPr>
            </w:pPr>
            <w:r w:rsidRPr="00DC0FCA">
              <w:rPr>
                <w:rFonts w:ascii="Arial" w:hAnsi="Arial" w:cs="Arial"/>
                <w:b/>
                <w:bCs/>
                <w:sz w:val="16"/>
                <w:szCs w:val="16"/>
              </w:rPr>
              <w:t> </w:t>
            </w:r>
          </w:p>
        </w:tc>
        <w:tc>
          <w:tcPr>
            <w:tcW w:w="545" w:type="pct"/>
            <w:tcBorders>
              <w:top w:val="single" w:sz="8" w:space="0" w:color="auto"/>
              <w:left w:val="nil"/>
              <w:bottom w:val="single" w:sz="8" w:space="0" w:color="auto"/>
              <w:right w:val="nil"/>
            </w:tcBorders>
            <w:shd w:val="clear" w:color="auto" w:fill="auto"/>
            <w:vAlign w:val="center"/>
            <w:hideMark/>
          </w:tcPr>
          <w:p w14:paraId="4BE8D7C3" w14:textId="77777777" w:rsidR="007F6A40" w:rsidRPr="00DC0FCA" w:rsidRDefault="007F6A40" w:rsidP="00530A42">
            <w:pPr>
              <w:keepNext/>
              <w:keepLines/>
              <w:spacing w:after="0" w:line="240" w:lineRule="auto"/>
              <w:jc w:val="right"/>
              <w:rPr>
                <w:rFonts w:ascii="Arial" w:hAnsi="Arial" w:cs="Arial"/>
                <w:b/>
                <w:bCs/>
                <w:sz w:val="16"/>
                <w:szCs w:val="16"/>
              </w:rPr>
            </w:pPr>
            <w:r w:rsidRPr="00DC0FCA">
              <w:rPr>
                <w:rFonts w:ascii="Arial" w:hAnsi="Arial" w:cs="Arial"/>
                <w:b/>
                <w:bCs/>
                <w:sz w:val="16"/>
                <w:szCs w:val="16"/>
              </w:rPr>
              <w:t>5,522</w:t>
            </w:r>
          </w:p>
        </w:tc>
        <w:tc>
          <w:tcPr>
            <w:tcW w:w="545" w:type="pct"/>
            <w:tcBorders>
              <w:top w:val="single" w:sz="8" w:space="0" w:color="auto"/>
              <w:left w:val="nil"/>
              <w:bottom w:val="single" w:sz="8" w:space="0" w:color="auto"/>
              <w:right w:val="nil"/>
            </w:tcBorders>
            <w:shd w:val="clear" w:color="auto" w:fill="auto"/>
            <w:vAlign w:val="center"/>
            <w:hideMark/>
          </w:tcPr>
          <w:p w14:paraId="3EAA2EE1" w14:textId="77777777" w:rsidR="007F6A40" w:rsidRPr="00DC0FCA" w:rsidRDefault="007F6A40" w:rsidP="00530A42">
            <w:pPr>
              <w:keepNext/>
              <w:keepLines/>
              <w:spacing w:after="0" w:line="240" w:lineRule="auto"/>
              <w:jc w:val="right"/>
              <w:rPr>
                <w:rFonts w:ascii="Arial" w:hAnsi="Arial" w:cs="Arial"/>
                <w:b/>
                <w:bCs/>
                <w:sz w:val="16"/>
                <w:szCs w:val="16"/>
              </w:rPr>
            </w:pPr>
            <w:r w:rsidRPr="00DC0FCA">
              <w:rPr>
                <w:rFonts w:ascii="Arial" w:hAnsi="Arial" w:cs="Arial"/>
                <w:b/>
                <w:bCs/>
                <w:sz w:val="16"/>
                <w:szCs w:val="16"/>
              </w:rPr>
              <w:t> </w:t>
            </w:r>
          </w:p>
        </w:tc>
        <w:tc>
          <w:tcPr>
            <w:tcW w:w="545" w:type="pct"/>
            <w:tcBorders>
              <w:top w:val="single" w:sz="8" w:space="0" w:color="auto"/>
              <w:left w:val="nil"/>
              <w:bottom w:val="single" w:sz="8" w:space="0" w:color="auto"/>
              <w:right w:val="nil"/>
            </w:tcBorders>
            <w:shd w:val="clear" w:color="auto" w:fill="E1E8EB"/>
            <w:vAlign w:val="center"/>
            <w:hideMark/>
          </w:tcPr>
          <w:p w14:paraId="21D53BD1" w14:textId="77777777" w:rsidR="007F6A40" w:rsidRPr="00DC0FCA" w:rsidRDefault="007F6A40" w:rsidP="00530A42">
            <w:pPr>
              <w:keepNext/>
              <w:keepLines/>
              <w:spacing w:after="0" w:line="240" w:lineRule="auto"/>
              <w:jc w:val="right"/>
              <w:rPr>
                <w:rFonts w:ascii="Arial" w:hAnsi="Arial" w:cs="Arial"/>
                <w:b/>
                <w:bCs/>
                <w:sz w:val="16"/>
                <w:szCs w:val="16"/>
              </w:rPr>
            </w:pPr>
            <w:r w:rsidRPr="00DC0FCA">
              <w:rPr>
                <w:rFonts w:ascii="Arial" w:hAnsi="Arial" w:cs="Arial"/>
                <w:b/>
                <w:bCs/>
                <w:sz w:val="16"/>
                <w:szCs w:val="16"/>
              </w:rPr>
              <w:t>10,093</w:t>
            </w:r>
          </w:p>
        </w:tc>
        <w:tc>
          <w:tcPr>
            <w:tcW w:w="543" w:type="pct"/>
            <w:tcBorders>
              <w:top w:val="single" w:sz="8" w:space="0" w:color="auto"/>
              <w:left w:val="nil"/>
              <w:bottom w:val="single" w:sz="8" w:space="0" w:color="auto"/>
              <w:right w:val="nil"/>
            </w:tcBorders>
            <w:shd w:val="clear" w:color="auto" w:fill="E1E8EB"/>
            <w:vAlign w:val="center"/>
            <w:hideMark/>
          </w:tcPr>
          <w:p w14:paraId="0C647EBF" w14:textId="77777777" w:rsidR="007F6A40" w:rsidRPr="00DC0FCA" w:rsidRDefault="007F6A40" w:rsidP="00530A42">
            <w:pPr>
              <w:keepNext/>
              <w:keepLines/>
              <w:spacing w:after="0" w:line="240" w:lineRule="auto"/>
              <w:jc w:val="right"/>
              <w:rPr>
                <w:rFonts w:ascii="Arial" w:hAnsi="Arial" w:cs="Arial"/>
                <w:b/>
                <w:bCs/>
                <w:sz w:val="16"/>
                <w:szCs w:val="16"/>
              </w:rPr>
            </w:pPr>
            <w:r w:rsidRPr="00DC0FCA">
              <w:rPr>
                <w:rFonts w:ascii="Arial" w:hAnsi="Arial" w:cs="Arial"/>
                <w:b/>
                <w:bCs/>
                <w:sz w:val="16"/>
                <w:szCs w:val="16"/>
              </w:rPr>
              <w:t> </w:t>
            </w:r>
          </w:p>
        </w:tc>
      </w:tr>
    </w:tbl>
    <w:p w14:paraId="46EBBBAF" w14:textId="52B17E40" w:rsidR="00556675" w:rsidRDefault="00556675" w:rsidP="00556675">
      <w:pPr>
        <w:pStyle w:val="ChartandTableFootnoteAlpha"/>
        <w:numPr>
          <w:ilvl w:val="0"/>
          <w:numId w:val="0"/>
        </w:numPr>
      </w:pPr>
      <w:r w:rsidRPr="00BF48CD">
        <w:t xml:space="preserve">Before republishing this data or comparing between years, thoroughly review the methodological and data caveats in Appendix </w:t>
      </w:r>
      <w:r w:rsidRPr="003A0911">
        <w:t>B</w:t>
      </w:r>
      <w:r w:rsidRPr="00BF48CD">
        <w:t xml:space="preserve">. </w:t>
      </w:r>
    </w:p>
    <w:p w14:paraId="7CDBA30E" w14:textId="77777777" w:rsidR="00556675" w:rsidRPr="00CA046B" w:rsidRDefault="00556675" w:rsidP="008F29F0">
      <w:pPr>
        <w:pStyle w:val="SingleParagraph"/>
      </w:pPr>
    </w:p>
    <w:p w14:paraId="7B1C6CBA" w14:textId="77777777" w:rsidR="00556675" w:rsidRPr="00CA046B" w:rsidRDefault="00556675" w:rsidP="00556675">
      <w:pPr>
        <w:pStyle w:val="Heading2"/>
        <w:rPr>
          <w:b w:val="0"/>
        </w:rPr>
      </w:pPr>
      <w:bookmarkStart w:id="178" w:name="_Toc32247805"/>
      <w:bookmarkStart w:id="179" w:name="_Toc63782936"/>
      <w:bookmarkStart w:id="180" w:name="_Toc75244065"/>
      <w:bookmarkStart w:id="181" w:name="_Toc89872890"/>
      <w:bookmarkStart w:id="182" w:name="_Toc89872937"/>
      <w:r w:rsidRPr="00CA046B">
        <w:t>Foreign investment fee collections</w:t>
      </w:r>
      <w:bookmarkEnd w:id="178"/>
      <w:bookmarkEnd w:id="179"/>
      <w:bookmarkEnd w:id="180"/>
      <w:bookmarkEnd w:id="181"/>
      <w:bookmarkEnd w:id="182"/>
    </w:p>
    <w:p w14:paraId="0C8426CA" w14:textId="223209BF" w:rsidR="00556675" w:rsidRPr="002B2F13" w:rsidRDefault="00556675" w:rsidP="00556675">
      <w:r w:rsidRPr="00CA046B">
        <w:t xml:space="preserve">The ATO </w:t>
      </w:r>
      <w:r w:rsidRPr="002B2F13">
        <w:t xml:space="preserve">administers the vacancy fee and is also responsible for collecting foreign investment </w:t>
      </w:r>
      <w:r w:rsidR="00B73595">
        <w:t>proposal</w:t>
      </w:r>
      <w:r w:rsidRPr="002B2F13">
        <w:t xml:space="preserve"> fees. In 202</w:t>
      </w:r>
      <w:r w:rsidR="0053006F" w:rsidRPr="002B2F13">
        <w:t>1</w:t>
      </w:r>
      <w:r w:rsidRPr="002B2F13">
        <w:t>, the ATO reported in its Annual Report that $</w:t>
      </w:r>
      <w:r w:rsidR="0053006F" w:rsidRPr="002B2F13">
        <w:t>87.9</w:t>
      </w:r>
      <w:r w:rsidRPr="002B2F13">
        <w:t xml:space="preserve"> million in foreign investment fees were collected. </w:t>
      </w:r>
      <w:r w:rsidR="000806DC">
        <w:t>T</w:t>
      </w:r>
      <w:r w:rsidRPr="002B2F13">
        <w:t>his figure includes $</w:t>
      </w:r>
      <w:r w:rsidR="0053006F" w:rsidRPr="002B2F13">
        <w:t>85</w:t>
      </w:r>
      <w:r w:rsidRPr="002B2F13">
        <w:t>.</w:t>
      </w:r>
      <w:r w:rsidR="0053006F" w:rsidRPr="002B2F13">
        <w:t>6</w:t>
      </w:r>
      <w:r w:rsidRPr="002B2F13">
        <w:t xml:space="preserve"> million in </w:t>
      </w:r>
      <w:r w:rsidR="00B73595">
        <w:t>proposal</w:t>
      </w:r>
      <w:r w:rsidRPr="002B2F13">
        <w:t xml:space="preserve"> fees and $</w:t>
      </w:r>
      <w:r w:rsidR="0053006F" w:rsidRPr="002B2F13">
        <w:t>2</w:t>
      </w:r>
      <w:r w:rsidRPr="002B2F13">
        <w:t>.</w:t>
      </w:r>
      <w:r w:rsidR="0053006F" w:rsidRPr="002B2F13">
        <w:t>3</w:t>
      </w:r>
      <w:r w:rsidRPr="002B2F13">
        <w:t> million in vacancy fees</w:t>
      </w:r>
      <w:r w:rsidR="000806DC">
        <w:t xml:space="preserve"> (see Table 3.21)</w:t>
      </w:r>
      <w:r w:rsidRPr="002B2F13">
        <w:t xml:space="preserve">. </w:t>
      </w:r>
    </w:p>
    <w:p w14:paraId="44D0D9BE" w14:textId="56AE8785" w:rsidR="00556675" w:rsidRPr="00CA046B" w:rsidRDefault="00556675" w:rsidP="000806DC">
      <w:pPr>
        <w:pStyle w:val="CommentText"/>
      </w:pPr>
      <w:r w:rsidRPr="002B2F13">
        <w:lastRenderedPageBreak/>
        <w:t xml:space="preserve">In </w:t>
      </w:r>
      <w:r w:rsidR="00D76ED2">
        <w:t>2020</w:t>
      </w:r>
      <w:r w:rsidR="00D76ED2">
        <w:noBreakHyphen/>
        <w:t>21</w:t>
      </w:r>
      <w:r w:rsidRPr="002B2F13">
        <w:t xml:space="preserve">, </w:t>
      </w:r>
      <w:r w:rsidR="00B73595">
        <w:t>proposal</w:t>
      </w:r>
      <w:r w:rsidRPr="002B2F13">
        <w:t xml:space="preserve"> fee collections </w:t>
      </w:r>
      <w:r w:rsidR="000806DC">
        <w:t>saw</w:t>
      </w:r>
      <w:r w:rsidRPr="002B2F13">
        <w:t xml:space="preserve"> a decline </w:t>
      </w:r>
      <w:r w:rsidR="000806DC">
        <w:t xml:space="preserve">from </w:t>
      </w:r>
      <w:r w:rsidR="00D76ED2">
        <w:t>2019</w:t>
      </w:r>
      <w:r w:rsidR="00D76ED2">
        <w:noBreakHyphen/>
        <w:t>20</w:t>
      </w:r>
      <w:r w:rsidR="000806DC">
        <w:t xml:space="preserve"> due to a decrease </w:t>
      </w:r>
      <w:r w:rsidRPr="002B2F13">
        <w:t xml:space="preserve">in </w:t>
      </w:r>
      <w:r w:rsidR="000806DC">
        <w:t xml:space="preserve">the overall number of </w:t>
      </w:r>
      <w:r w:rsidR="00B73595">
        <w:t>proposals</w:t>
      </w:r>
      <w:r w:rsidRPr="002B2F13">
        <w:t xml:space="preserve"> considered</w:t>
      </w:r>
      <w:r w:rsidR="000806DC">
        <w:t xml:space="preserve">. </w:t>
      </w:r>
    </w:p>
    <w:p w14:paraId="74CE142A" w14:textId="1C6C0960" w:rsidR="00F07785" w:rsidRPr="008F29F0" w:rsidRDefault="00F07785" w:rsidP="008F29F0">
      <w:pPr>
        <w:pStyle w:val="TableMainHeading"/>
      </w:pPr>
      <w:bookmarkStart w:id="183" w:name="_Toc89939955"/>
      <w:r w:rsidRPr="008F29F0">
        <w:t xml:space="preserve">Table </w:t>
      </w:r>
      <w:fldSimple w:instr=" STYLEREF 1 \s ">
        <w:r w:rsidR="0019342F">
          <w:rPr>
            <w:noProof/>
          </w:rPr>
          <w:t>3</w:t>
        </w:r>
      </w:fldSimple>
      <w:r w:rsidR="009812FE" w:rsidRPr="008F29F0">
        <w:t>.</w:t>
      </w:r>
      <w:fldSimple w:instr=" SEQ Table \* ARABIC \s 1 ">
        <w:r w:rsidR="0019342F">
          <w:rPr>
            <w:noProof/>
          </w:rPr>
          <w:t>21</w:t>
        </w:r>
      </w:fldSimple>
      <w:r w:rsidRPr="008F29F0">
        <w:t xml:space="preserve">: Foreign investment fee collection, </w:t>
      </w:r>
      <w:r w:rsidR="00DC1928">
        <w:t>2017</w:t>
      </w:r>
      <w:r w:rsidR="00DC1928">
        <w:noBreakHyphen/>
        <w:t>18</w:t>
      </w:r>
      <w:r w:rsidRPr="008F29F0">
        <w:t xml:space="preserve"> to </w:t>
      </w:r>
      <w:r w:rsidR="00D76ED2" w:rsidRPr="008F29F0">
        <w:t>2020</w:t>
      </w:r>
      <w:r w:rsidR="00D76ED2" w:rsidRPr="008F29F0">
        <w:noBreakHyphen/>
        <w:t>21</w:t>
      </w:r>
      <w:bookmarkEnd w:id="183"/>
    </w:p>
    <w:tbl>
      <w:tblPr>
        <w:tblW w:w="4999" w:type="pct"/>
        <w:tblLook w:val="04A0" w:firstRow="1" w:lastRow="0" w:firstColumn="1" w:lastColumn="0" w:noHBand="0" w:noVBand="1"/>
      </w:tblPr>
      <w:tblGrid>
        <w:gridCol w:w="1601"/>
        <w:gridCol w:w="1528"/>
        <w:gridCol w:w="1528"/>
        <w:gridCol w:w="1528"/>
        <w:gridCol w:w="1523"/>
      </w:tblGrid>
      <w:tr w:rsidR="007F6A40" w:rsidRPr="007F6A40" w14:paraId="2243AEFE" w14:textId="77777777" w:rsidTr="00405179">
        <w:trPr>
          <w:trHeight w:val="283"/>
        </w:trPr>
        <w:tc>
          <w:tcPr>
            <w:tcW w:w="1039" w:type="pct"/>
            <w:tcBorders>
              <w:top w:val="single" w:sz="2" w:space="0" w:color="000000" w:themeColor="text1"/>
              <w:left w:val="nil"/>
              <w:right w:val="nil"/>
            </w:tcBorders>
            <w:shd w:val="clear" w:color="000000" w:fill="FFFFFF"/>
            <w:noWrap/>
            <w:vAlign w:val="center"/>
            <w:hideMark/>
          </w:tcPr>
          <w:p w14:paraId="275C6845" w14:textId="77777777" w:rsidR="007F6A40" w:rsidRPr="007F6A40" w:rsidRDefault="007F6A40" w:rsidP="007F6A40">
            <w:pPr>
              <w:keepNext/>
              <w:spacing w:after="0" w:line="240" w:lineRule="auto"/>
              <w:jc w:val="left"/>
              <w:rPr>
                <w:rFonts w:ascii="Calibri" w:hAnsi="Calibri" w:cs="Calibri"/>
                <w:sz w:val="22"/>
                <w:szCs w:val="22"/>
              </w:rPr>
            </w:pPr>
            <w:r w:rsidRPr="007F6A40">
              <w:rPr>
                <w:rFonts w:ascii="Calibri" w:hAnsi="Calibri" w:cs="Calibri"/>
                <w:sz w:val="22"/>
                <w:szCs w:val="22"/>
              </w:rPr>
              <w:t> </w:t>
            </w:r>
          </w:p>
        </w:tc>
        <w:tc>
          <w:tcPr>
            <w:tcW w:w="991" w:type="pct"/>
            <w:tcBorders>
              <w:top w:val="single" w:sz="2" w:space="0" w:color="000000" w:themeColor="text1"/>
              <w:left w:val="nil"/>
              <w:right w:val="nil"/>
            </w:tcBorders>
            <w:shd w:val="clear" w:color="000000" w:fill="FFFFFF"/>
            <w:noWrap/>
            <w:vAlign w:val="center"/>
            <w:hideMark/>
          </w:tcPr>
          <w:p w14:paraId="1F18F0F7" w14:textId="480C3B2A" w:rsidR="007F6A40" w:rsidRPr="007F6A40" w:rsidRDefault="00DC1928" w:rsidP="007F6A40">
            <w:pPr>
              <w:keepNext/>
              <w:spacing w:after="0" w:line="240" w:lineRule="auto"/>
              <w:jc w:val="right"/>
              <w:rPr>
                <w:rFonts w:ascii="Arial" w:hAnsi="Arial" w:cs="Arial"/>
                <w:color w:val="auto"/>
                <w:sz w:val="16"/>
                <w:szCs w:val="16"/>
              </w:rPr>
            </w:pPr>
            <w:r>
              <w:rPr>
                <w:rFonts w:ascii="Arial" w:hAnsi="Arial" w:cs="Arial"/>
                <w:color w:val="auto"/>
                <w:sz w:val="16"/>
                <w:szCs w:val="16"/>
              </w:rPr>
              <w:t>2017</w:t>
            </w:r>
            <w:r>
              <w:rPr>
                <w:rFonts w:ascii="Arial" w:hAnsi="Arial" w:cs="Arial"/>
                <w:color w:val="auto"/>
                <w:sz w:val="16"/>
                <w:szCs w:val="16"/>
              </w:rPr>
              <w:noBreakHyphen/>
              <w:t>18</w:t>
            </w:r>
          </w:p>
        </w:tc>
        <w:tc>
          <w:tcPr>
            <w:tcW w:w="991" w:type="pct"/>
            <w:tcBorders>
              <w:top w:val="single" w:sz="2" w:space="0" w:color="000000" w:themeColor="text1"/>
              <w:left w:val="nil"/>
              <w:right w:val="nil"/>
            </w:tcBorders>
            <w:shd w:val="clear" w:color="000000" w:fill="FFFFFF"/>
            <w:noWrap/>
            <w:vAlign w:val="center"/>
            <w:hideMark/>
          </w:tcPr>
          <w:p w14:paraId="1AE0FBAA" w14:textId="199D6878" w:rsidR="007F6A40" w:rsidRPr="007F6A40" w:rsidRDefault="00C17F09" w:rsidP="007F6A40">
            <w:pPr>
              <w:keepNext/>
              <w:spacing w:after="0" w:line="240" w:lineRule="auto"/>
              <w:jc w:val="right"/>
              <w:rPr>
                <w:rFonts w:ascii="Arial" w:hAnsi="Arial" w:cs="Arial"/>
                <w:color w:val="auto"/>
                <w:sz w:val="16"/>
                <w:szCs w:val="16"/>
              </w:rPr>
            </w:pPr>
            <w:r>
              <w:rPr>
                <w:rFonts w:ascii="Arial" w:hAnsi="Arial" w:cs="Arial"/>
                <w:color w:val="auto"/>
                <w:sz w:val="16"/>
                <w:szCs w:val="16"/>
              </w:rPr>
              <w:t>2018</w:t>
            </w:r>
            <w:r>
              <w:rPr>
                <w:rFonts w:ascii="Arial" w:hAnsi="Arial" w:cs="Arial"/>
                <w:color w:val="auto"/>
                <w:sz w:val="16"/>
                <w:szCs w:val="16"/>
              </w:rPr>
              <w:noBreakHyphen/>
              <w:t>19</w:t>
            </w:r>
          </w:p>
        </w:tc>
        <w:tc>
          <w:tcPr>
            <w:tcW w:w="991" w:type="pct"/>
            <w:tcBorders>
              <w:top w:val="single" w:sz="2" w:space="0" w:color="000000" w:themeColor="text1"/>
              <w:left w:val="nil"/>
              <w:right w:val="nil"/>
            </w:tcBorders>
            <w:shd w:val="clear" w:color="auto" w:fill="auto"/>
            <w:vAlign w:val="center"/>
          </w:tcPr>
          <w:p w14:paraId="44236A9F" w14:textId="76588BF3" w:rsidR="007F6A40" w:rsidRPr="007F6A40" w:rsidRDefault="00D76ED2" w:rsidP="007F6A40">
            <w:pPr>
              <w:keepNext/>
              <w:spacing w:after="0" w:line="240" w:lineRule="auto"/>
              <w:jc w:val="right"/>
              <w:rPr>
                <w:rFonts w:ascii="Arial" w:hAnsi="Arial" w:cs="Arial"/>
                <w:color w:val="auto"/>
                <w:sz w:val="16"/>
                <w:szCs w:val="16"/>
              </w:rPr>
            </w:pPr>
            <w:r>
              <w:rPr>
                <w:rFonts w:ascii="Arial" w:hAnsi="Arial" w:cs="Arial"/>
                <w:color w:val="auto"/>
                <w:sz w:val="16"/>
                <w:szCs w:val="16"/>
              </w:rPr>
              <w:t>2019</w:t>
            </w:r>
            <w:r>
              <w:rPr>
                <w:rFonts w:ascii="Arial" w:hAnsi="Arial" w:cs="Arial"/>
                <w:color w:val="auto"/>
                <w:sz w:val="16"/>
                <w:szCs w:val="16"/>
              </w:rPr>
              <w:noBreakHyphen/>
              <w:t>20</w:t>
            </w:r>
          </w:p>
        </w:tc>
        <w:tc>
          <w:tcPr>
            <w:tcW w:w="988" w:type="pct"/>
            <w:tcBorders>
              <w:top w:val="single" w:sz="2" w:space="0" w:color="000000" w:themeColor="text1"/>
              <w:left w:val="nil"/>
              <w:right w:val="nil"/>
            </w:tcBorders>
            <w:shd w:val="clear" w:color="auto" w:fill="E1E8EB"/>
            <w:noWrap/>
            <w:vAlign w:val="center"/>
            <w:hideMark/>
          </w:tcPr>
          <w:p w14:paraId="1DBE22A4" w14:textId="7146027A" w:rsidR="007F6A40" w:rsidRPr="007F6A40" w:rsidRDefault="00D76ED2" w:rsidP="007F6A40">
            <w:pPr>
              <w:keepNext/>
              <w:spacing w:after="0" w:line="240" w:lineRule="auto"/>
              <w:jc w:val="right"/>
              <w:rPr>
                <w:rFonts w:ascii="Arial" w:hAnsi="Arial" w:cs="Arial"/>
                <w:color w:val="auto"/>
                <w:sz w:val="16"/>
                <w:szCs w:val="16"/>
              </w:rPr>
            </w:pPr>
            <w:r>
              <w:rPr>
                <w:rFonts w:ascii="Arial" w:hAnsi="Arial" w:cs="Arial"/>
                <w:color w:val="auto"/>
                <w:sz w:val="16"/>
                <w:szCs w:val="16"/>
              </w:rPr>
              <w:t>2020</w:t>
            </w:r>
            <w:r>
              <w:rPr>
                <w:rFonts w:ascii="Arial" w:hAnsi="Arial" w:cs="Arial"/>
                <w:color w:val="auto"/>
                <w:sz w:val="16"/>
                <w:szCs w:val="16"/>
              </w:rPr>
              <w:noBreakHyphen/>
              <w:t>21</w:t>
            </w:r>
          </w:p>
        </w:tc>
      </w:tr>
      <w:tr w:rsidR="007F6A40" w:rsidRPr="002A3D45" w14:paraId="38A2BF58" w14:textId="77777777" w:rsidTr="00405179">
        <w:trPr>
          <w:trHeight w:val="283"/>
        </w:trPr>
        <w:tc>
          <w:tcPr>
            <w:tcW w:w="1039" w:type="pct"/>
            <w:tcBorders>
              <w:left w:val="nil"/>
              <w:bottom w:val="single" w:sz="2" w:space="0" w:color="000000" w:themeColor="text1"/>
              <w:right w:val="nil"/>
            </w:tcBorders>
            <w:shd w:val="clear" w:color="000000" w:fill="FFFFFF"/>
            <w:noWrap/>
            <w:vAlign w:val="center"/>
            <w:hideMark/>
          </w:tcPr>
          <w:p w14:paraId="199D0FB5" w14:textId="54807236" w:rsidR="007F6A40" w:rsidRPr="002A3D45" w:rsidRDefault="007F6A40" w:rsidP="007F6A40">
            <w:pPr>
              <w:keepNext/>
              <w:spacing w:after="0" w:line="240" w:lineRule="auto"/>
              <w:jc w:val="left"/>
              <w:rPr>
                <w:rFonts w:ascii="Arial" w:hAnsi="Arial" w:cs="Arial"/>
                <w:color w:val="auto"/>
                <w:sz w:val="16"/>
                <w:szCs w:val="16"/>
              </w:rPr>
            </w:pPr>
            <w:r w:rsidRPr="002A3D45">
              <w:rPr>
                <w:rFonts w:ascii="Arial" w:hAnsi="Arial" w:cs="Arial"/>
                <w:color w:val="auto"/>
                <w:sz w:val="16"/>
                <w:szCs w:val="16"/>
              </w:rPr>
              <w:t xml:space="preserve">Fee </w:t>
            </w:r>
            <w:r w:rsidR="00B73595">
              <w:rPr>
                <w:rFonts w:ascii="Arial" w:hAnsi="Arial" w:cs="Arial"/>
                <w:color w:val="auto"/>
                <w:sz w:val="16"/>
                <w:szCs w:val="16"/>
              </w:rPr>
              <w:t>c</w:t>
            </w:r>
            <w:r w:rsidRPr="002A3D45">
              <w:rPr>
                <w:rFonts w:ascii="Arial" w:hAnsi="Arial" w:cs="Arial"/>
                <w:color w:val="auto"/>
                <w:sz w:val="16"/>
                <w:szCs w:val="16"/>
              </w:rPr>
              <w:t>ollections</w:t>
            </w:r>
          </w:p>
        </w:tc>
        <w:tc>
          <w:tcPr>
            <w:tcW w:w="991" w:type="pct"/>
            <w:tcBorders>
              <w:left w:val="nil"/>
              <w:bottom w:val="single" w:sz="2" w:space="0" w:color="000000" w:themeColor="text1"/>
              <w:right w:val="nil"/>
            </w:tcBorders>
            <w:shd w:val="clear" w:color="000000" w:fill="FFFFFF"/>
            <w:noWrap/>
            <w:vAlign w:val="center"/>
            <w:hideMark/>
          </w:tcPr>
          <w:p w14:paraId="39704688" w14:textId="77777777" w:rsidR="007F6A40" w:rsidRPr="002A3D45" w:rsidRDefault="007F6A40" w:rsidP="007F6A40">
            <w:pPr>
              <w:keepNext/>
              <w:spacing w:after="0" w:line="240" w:lineRule="auto"/>
              <w:jc w:val="right"/>
              <w:rPr>
                <w:rFonts w:ascii="Arial" w:hAnsi="Arial" w:cs="Arial"/>
                <w:color w:val="auto"/>
                <w:sz w:val="16"/>
                <w:szCs w:val="16"/>
              </w:rPr>
            </w:pPr>
            <w:r w:rsidRPr="002A3D45">
              <w:rPr>
                <w:rFonts w:ascii="Arial" w:hAnsi="Arial" w:cs="Arial"/>
                <w:color w:val="auto"/>
                <w:sz w:val="16"/>
                <w:szCs w:val="16"/>
              </w:rPr>
              <w:t>$m</w:t>
            </w:r>
          </w:p>
        </w:tc>
        <w:tc>
          <w:tcPr>
            <w:tcW w:w="991" w:type="pct"/>
            <w:tcBorders>
              <w:left w:val="nil"/>
              <w:bottom w:val="single" w:sz="2" w:space="0" w:color="000000" w:themeColor="text1"/>
              <w:right w:val="nil"/>
            </w:tcBorders>
            <w:shd w:val="clear" w:color="000000" w:fill="FFFFFF"/>
            <w:noWrap/>
            <w:vAlign w:val="center"/>
            <w:hideMark/>
          </w:tcPr>
          <w:p w14:paraId="234E9697" w14:textId="77777777" w:rsidR="007F6A40" w:rsidRPr="002A3D45" w:rsidRDefault="007F6A40" w:rsidP="007F6A40">
            <w:pPr>
              <w:keepNext/>
              <w:spacing w:after="0" w:line="240" w:lineRule="auto"/>
              <w:jc w:val="right"/>
              <w:rPr>
                <w:rFonts w:ascii="Arial" w:hAnsi="Arial" w:cs="Arial"/>
                <w:color w:val="auto"/>
                <w:sz w:val="16"/>
                <w:szCs w:val="16"/>
              </w:rPr>
            </w:pPr>
            <w:r w:rsidRPr="002A3D45">
              <w:rPr>
                <w:rFonts w:ascii="Arial" w:hAnsi="Arial" w:cs="Arial"/>
                <w:color w:val="auto"/>
                <w:sz w:val="16"/>
                <w:szCs w:val="16"/>
              </w:rPr>
              <w:t>$m</w:t>
            </w:r>
          </w:p>
        </w:tc>
        <w:tc>
          <w:tcPr>
            <w:tcW w:w="991" w:type="pct"/>
            <w:tcBorders>
              <w:left w:val="nil"/>
              <w:bottom w:val="single" w:sz="2" w:space="0" w:color="000000" w:themeColor="text1"/>
              <w:right w:val="nil"/>
            </w:tcBorders>
            <w:shd w:val="clear" w:color="auto" w:fill="auto"/>
            <w:vAlign w:val="center"/>
          </w:tcPr>
          <w:p w14:paraId="18F3E7C3" w14:textId="77777777" w:rsidR="007F6A40" w:rsidRPr="002A3D45" w:rsidRDefault="007F6A40" w:rsidP="007F6A40">
            <w:pPr>
              <w:keepNext/>
              <w:spacing w:after="0" w:line="240" w:lineRule="auto"/>
              <w:jc w:val="right"/>
              <w:rPr>
                <w:rFonts w:ascii="Arial" w:hAnsi="Arial" w:cs="Arial"/>
                <w:color w:val="auto"/>
                <w:sz w:val="16"/>
                <w:szCs w:val="16"/>
              </w:rPr>
            </w:pPr>
            <w:r w:rsidRPr="002A3D45">
              <w:rPr>
                <w:rFonts w:ascii="Arial" w:hAnsi="Arial" w:cs="Arial"/>
                <w:color w:val="auto"/>
                <w:sz w:val="16"/>
                <w:szCs w:val="16"/>
              </w:rPr>
              <w:t>$m</w:t>
            </w:r>
          </w:p>
        </w:tc>
        <w:tc>
          <w:tcPr>
            <w:tcW w:w="988" w:type="pct"/>
            <w:tcBorders>
              <w:left w:val="nil"/>
              <w:bottom w:val="single" w:sz="2" w:space="0" w:color="000000" w:themeColor="text1"/>
              <w:right w:val="nil"/>
            </w:tcBorders>
            <w:shd w:val="clear" w:color="auto" w:fill="E1E8EB"/>
            <w:noWrap/>
            <w:vAlign w:val="center"/>
            <w:hideMark/>
          </w:tcPr>
          <w:p w14:paraId="600EF390" w14:textId="77777777" w:rsidR="007F6A40" w:rsidRPr="002A3D45" w:rsidRDefault="007F6A40" w:rsidP="007F6A40">
            <w:pPr>
              <w:keepNext/>
              <w:spacing w:after="0" w:line="240" w:lineRule="auto"/>
              <w:jc w:val="right"/>
              <w:rPr>
                <w:rFonts w:ascii="Arial" w:hAnsi="Arial" w:cs="Arial"/>
                <w:color w:val="auto"/>
                <w:sz w:val="16"/>
                <w:szCs w:val="16"/>
              </w:rPr>
            </w:pPr>
            <w:r w:rsidRPr="002A3D45">
              <w:rPr>
                <w:rFonts w:ascii="Arial" w:hAnsi="Arial" w:cs="Arial"/>
                <w:color w:val="auto"/>
                <w:sz w:val="16"/>
                <w:szCs w:val="16"/>
              </w:rPr>
              <w:t>$m</w:t>
            </w:r>
          </w:p>
        </w:tc>
      </w:tr>
      <w:tr w:rsidR="007F6A40" w:rsidRPr="002A3D45" w14:paraId="7B325DED" w14:textId="77777777" w:rsidTr="00405179">
        <w:trPr>
          <w:trHeight w:val="283"/>
        </w:trPr>
        <w:tc>
          <w:tcPr>
            <w:tcW w:w="1039" w:type="pct"/>
            <w:tcBorders>
              <w:top w:val="single" w:sz="2" w:space="0" w:color="000000" w:themeColor="text1"/>
              <w:left w:val="nil"/>
              <w:right w:val="nil"/>
            </w:tcBorders>
            <w:shd w:val="clear" w:color="000000" w:fill="FFFFFF"/>
            <w:noWrap/>
            <w:vAlign w:val="center"/>
            <w:hideMark/>
          </w:tcPr>
          <w:p w14:paraId="56935940" w14:textId="0110A740" w:rsidR="007F6A40" w:rsidRPr="002A3D45" w:rsidRDefault="00B73595" w:rsidP="007F6A40">
            <w:pPr>
              <w:keepNext/>
              <w:spacing w:after="0" w:line="240" w:lineRule="auto"/>
              <w:jc w:val="left"/>
              <w:rPr>
                <w:rFonts w:ascii="Arial" w:hAnsi="Arial" w:cs="Arial"/>
                <w:color w:val="auto"/>
                <w:sz w:val="16"/>
                <w:szCs w:val="16"/>
              </w:rPr>
            </w:pPr>
            <w:r>
              <w:rPr>
                <w:rFonts w:ascii="Arial" w:hAnsi="Arial" w:cs="Arial"/>
                <w:color w:val="auto"/>
                <w:sz w:val="16"/>
                <w:szCs w:val="16"/>
              </w:rPr>
              <w:t>Proposal</w:t>
            </w:r>
            <w:r w:rsidR="007F6A40" w:rsidRPr="002A3D45">
              <w:rPr>
                <w:rFonts w:ascii="Arial" w:hAnsi="Arial" w:cs="Arial"/>
                <w:color w:val="auto"/>
                <w:sz w:val="16"/>
                <w:szCs w:val="16"/>
              </w:rPr>
              <w:t xml:space="preserve"> </w:t>
            </w:r>
            <w:r>
              <w:rPr>
                <w:rFonts w:ascii="Arial" w:hAnsi="Arial" w:cs="Arial"/>
                <w:color w:val="auto"/>
                <w:sz w:val="16"/>
                <w:szCs w:val="16"/>
              </w:rPr>
              <w:t>f</w:t>
            </w:r>
            <w:r w:rsidR="007F6A40" w:rsidRPr="002A3D45">
              <w:rPr>
                <w:rFonts w:ascii="Arial" w:hAnsi="Arial" w:cs="Arial"/>
                <w:color w:val="auto"/>
                <w:sz w:val="16"/>
                <w:szCs w:val="16"/>
              </w:rPr>
              <w:t>ees</w:t>
            </w:r>
          </w:p>
        </w:tc>
        <w:tc>
          <w:tcPr>
            <w:tcW w:w="991" w:type="pct"/>
            <w:tcBorders>
              <w:top w:val="single" w:sz="2" w:space="0" w:color="000000" w:themeColor="text1"/>
              <w:left w:val="nil"/>
              <w:right w:val="nil"/>
            </w:tcBorders>
            <w:shd w:val="clear" w:color="000000" w:fill="FFFFFF"/>
            <w:noWrap/>
            <w:vAlign w:val="center"/>
            <w:hideMark/>
          </w:tcPr>
          <w:p w14:paraId="6DD3D49F" w14:textId="77777777" w:rsidR="007F6A40" w:rsidRPr="002A3D45" w:rsidRDefault="007F6A40" w:rsidP="007F6A40">
            <w:pPr>
              <w:keepNext/>
              <w:spacing w:after="0" w:line="240" w:lineRule="auto"/>
              <w:jc w:val="right"/>
              <w:rPr>
                <w:rFonts w:ascii="Arial" w:hAnsi="Arial" w:cs="Arial"/>
                <w:color w:val="auto"/>
                <w:sz w:val="16"/>
                <w:szCs w:val="16"/>
              </w:rPr>
            </w:pPr>
            <w:r w:rsidRPr="002A3D45">
              <w:rPr>
                <w:rFonts w:ascii="Arial" w:hAnsi="Arial" w:cs="Arial"/>
                <w:color w:val="auto"/>
                <w:sz w:val="16"/>
                <w:szCs w:val="16"/>
              </w:rPr>
              <w:t>114</w:t>
            </w:r>
          </w:p>
        </w:tc>
        <w:tc>
          <w:tcPr>
            <w:tcW w:w="991" w:type="pct"/>
            <w:tcBorders>
              <w:top w:val="single" w:sz="2" w:space="0" w:color="000000" w:themeColor="text1"/>
              <w:left w:val="nil"/>
              <w:right w:val="nil"/>
            </w:tcBorders>
            <w:shd w:val="clear" w:color="000000" w:fill="FFFFFF"/>
            <w:noWrap/>
            <w:vAlign w:val="center"/>
            <w:hideMark/>
          </w:tcPr>
          <w:p w14:paraId="7290D8EF" w14:textId="77777777" w:rsidR="007F6A40" w:rsidRPr="002A3D45" w:rsidRDefault="007F6A40" w:rsidP="007F6A40">
            <w:pPr>
              <w:keepNext/>
              <w:spacing w:after="0" w:line="240" w:lineRule="auto"/>
              <w:jc w:val="right"/>
              <w:rPr>
                <w:rFonts w:ascii="Arial" w:hAnsi="Arial" w:cs="Arial"/>
                <w:color w:val="auto"/>
                <w:sz w:val="16"/>
                <w:szCs w:val="16"/>
              </w:rPr>
            </w:pPr>
            <w:r w:rsidRPr="002A3D45">
              <w:rPr>
                <w:rFonts w:ascii="Arial" w:hAnsi="Arial" w:cs="Arial"/>
                <w:color w:val="auto"/>
                <w:sz w:val="16"/>
                <w:szCs w:val="16"/>
              </w:rPr>
              <w:t>92.2</w:t>
            </w:r>
          </w:p>
        </w:tc>
        <w:tc>
          <w:tcPr>
            <w:tcW w:w="991" w:type="pct"/>
            <w:tcBorders>
              <w:top w:val="single" w:sz="2" w:space="0" w:color="000000" w:themeColor="text1"/>
              <w:left w:val="nil"/>
              <w:right w:val="nil"/>
            </w:tcBorders>
            <w:shd w:val="clear" w:color="auto" w:fill="auto"/>
            <w:vAlign w:val="center"/>
          </w:tcPr>
          <w:p w14:paraId="39DF4EB9" w14:textId="77777777" w:rsidR="007F6A40" w:rsidRPr="002A3D45" w:rsidRDefault="007F6A40" w:rsidP="007F6A40">
            <w:pPr>
              <w:keepNext/>
              <w:spacing w:after="0" w:line="240" w:lineRule="auto"/>
              <w:jc w:val="right"/>
              <w:rPr>
                <w:rFonts w:ascii="Arial" w:hAnsi="Arial" w:cs="Arial"/>
                <w:color w:val="auto"/>
                <w:sz w:val="16"/>
                <w:szCs w:val="16"/>
              </w:rPr>
            </w:pPr>
            <w:r w:rsidRPr="002A3D45">
              <w:rPr>
                <w:rFonts w:ascii="Arial" w:hAnsi="Arial" w:cs="Arial"/>
                <w:color w:val="auto"/>
                <w:sz w:val="16"/>
                <w:szCs w:val="16"/>
              </w:rPr>
              <w:t>90.3</w:t>
            </w:r>
          </w:p>
        </w:tc>
        <w:tc>
          <w:tcPr>
            <w:tcW w:w="988" w:type="pct"/>
            <w:tcBorders>
              <w:top w:val="single" w:sz="2" w:space="0" w:color="000000" w:themeColor="text1"/>
              <w:left w:val="nil"/>
              <w:right w:val="nil"/>
            </w:tcBorders>
            <w:shd w:val="clear" w:color="auto" w:fill="E1E8EB"/>
            <w:noWrap/>
            <w:vAlign w:val="center"/>
            <w:hideMark/>
          </w:tcPr>
          <w:p w14:paraId="46DBD976" w14:textId="77777777" w:rsidR="007F6A40" w:rsidRPr="002A3D45" w:rsidRDefault="007F6A40" w:rsidP="007F6A40">
            <w:pPr>
              <w:keepNext/>
              <w:spacing w:after="0" w:line="240" w:lineRule="auto"/>
              <w:jc w:val="right"/>
              <w:rPr>
                <w:rFonts w:ascii="Arial" w:hAnsi="Arial" w:cs="Arial"/>
                <w:color w:val="auto"/>
                <w:sz w:val="16"/>
                <w:szCs w:val="16"/>
              </w:rPr>
            </w:pPr>
            <w:r w:rsidRPr="002A3D45">
              <w:rPr>
                <w:rFonts w:ascii="Arial" w:hAnsi="Arial" w:cs="Arial"/>
                <w:color w:val="auto"/>
                <w:sz w:val="16"/>
                <w:szCs w:val="16"/>
              </w:rPr>
              <w:t>85.6</w:t>
            </w:r>
          </w:p>
        </w:tc>
      </w:tr>
      <w:tr w:rsidR="007F6A40" w:rsidRPr="002A3D45" w14:paraId="02C956C2" w14:textId="77777777" w:rsidTr="00405179">
        <w:trPr>
          <w:trHeight w:val="283"/>
        </w:trPr>
        <w:tc>
          <w:tcPr>
            <w:tcW w:w="1039" w:type="pct"/>
            <w:tcBorders>
              <w:left w:val="nil"/>
              <w:right w:val="nil"/>
            </w:tcBorders>
            <w:shd w:val="clear" w:color="000000" w:fill="FFFFFF"/>
            <w:noWrap/>
            <w:vAlign w:val="center"/>
            <w:hideMark/>
          </w:tcPr>
          <w:p w14:paraId="564A5A09" w14:textId="4B5AF6A9" w:rsidR="007F6A40" w:rsidRPr="002A3D45" w:rsidRDefault="007F6A40" w:rsidP="007F6A40">
            <w:pPr>
              <w:keepNext/>
              <w:spacing w:after="0" w:line="240" w:lineRule="auto"/>
              <w:jc w:val="left"/>
              <w:rPr>
                <w:rFonts w:ascii="Arial" w:hAnsi="Arial" w:cs="Arial"/>
                <w:color w:val="auto"/>
                <w:sz w:val="16"/>
                <w:szCs w:val="16"/>
              </w:rPr>
            </w:pPr>
            <w:r w:rsidRPr="002A3D45">
              <w:rPr>
                <w:rFonts w:ascii="Arial" w:hAnsi="Arial" w:cs="Arial"/>
                <w:color w:val="auto"/>
                <w:sz w:val="16"/>
                <w:szCs w:val="16"/>
              </w:rPr>
              <w:t xml:space="preserve">Vacancy </w:t>
            </w:r>
            <w:r w:rsidR="00B73595">
              <w:rPr>
                <w:rFonts w:ascii="Arial" w:hAnsi="Arial" w:cs="Arial"/>
                <w:color w:val="auto"/>
                <w:sz w:val="16"/>
                <w:szCs w:val="16"/>
              </w:rPr>
              <w:t>f</w:t>
            </w:r>
            <w:r w:rsidRPr="002A3D45">
              <w:rPr>
                <w:rFonts w:ascii="Arial" w:hAnsi="Arial" w:cs="Arial"/>
                <w:color w:val="auto"/>
                <w:sz w:val="16"/>
                <w:szCs w:val="16"/>
              </w:rPr>
              <w:t>ees</w:t>
            </w:r>
          </w:p>
        </w:tc>
        <w:tc>
          <w:tcPr>
            <w:tcW w:w="991" w:type="pct"/>
            <w:tcBorders>
              <w:left w:val="nil"/>
              <w:bottom w:val="single" w:sz="2" w:space="0" w:color="000000" w:themeColor="text1"/>
              <w:right w:val="nil"/>
            </w:tcBorders>
            <w:shd w:val="clear" w:color="000000" w:fill="FFFFFF"/>
            <w:noWrap/>
            <w:vAlign w:val="center"/>
            <w:hideMark/>
          </w:tcPr>
          <w:p w14:paraId="7D6CFEBB" w14:textId="595B0001" w:rsidR="007F6A40" w:rsidRPr="002A3D45" w:rsidRDefault="007F6A40" w:rsidP="007F6A40">
            <w:pPr>
              <w:keepNext/>
              <w:spacing w:after="0" w:line="240" w:lineRule="auto"/>
              <w:jc w:val="right"/>
              <w:rPr>
                <w:rFonts w:ascii="Arial" w:hAnsi="Arial" w:cs="Arial"/>
                <w:color w:val="auto"/>
                <w:sz w:val="16"/>
                <w:szCs w:val="16"/>
              </w:rPr>
            </w:pPr>
          </w:p>
        </w:tc>
        <w:tc>
          <w:tcPr>
            <w:tcW w:w="991" w:type="pct"/>
            <w:tcBorders>
              <w:left w:val="nil"/>
              <w:bottom w:val="single" w:sz="2" w:space="0" w:color="000000" w:themeColor="text1"/>
              <w:right w:val="nil"/>
            </w:tcBorders>
            <w:shd w:val="clear" w:color="000000" w:fill="FFFFFF"/>
            <w:noWrap/>
            <w:vAlign w:val="center"/>
            <w:hideMark/>
          </w:tcPr>
          <w:p w14:paraId="5975489D" w14:textId="77777777" w:rsidR="007F6A40" w:rsidRPr="002A3D45" w:rsidRDefault="007F6A40" w:rsidP="007F6A40">
            <w:pPr>
              <w:keepNext/>
              <w:spacing w:after="0" w:line="240" w:lineRule="auto"/>
              <w:jc w:val="right"/>
              <w:rPr>
                <w:rFonts w:ascii="Arial" w:hAnsi="Arial" w:cs="Arial"/>
                <w:color w:val="auto"/>
                <w:sz w:val="16"/>
                <w:szCs w:val="16"/>
              </w:rPr>
            </w:pPr>
            <w:r w:rsidRPr="002A3D45">
              <w:rPr>
                <w:rFonts w:ascii="Arial" w:hAnsi="Arial" w:cs="Arial"/>
                <w:color w:val="auto"/>
                <w:sz w:val="16"/>
                <w:szCs w:val="16"/>
              </w:rPr>
              <w:t>1.8</w:t>
            </w:r>
          </w:p>
        </w:tc>
        <w:tc>
          <w:tcPr>
            <w:tcW w:w="991" w:type="pct"/>
            <w:tcBorders>
              <w:left w:val="nil"/>
              <w:bottom w:val="single" w:sz="2" w:space="0" w:color="000000" w:themeColor="text1"/>
              <w:right w:val="nil"/>
            </w:tcBorders>
            <w:shd w:val="clear" w:color="auto" w:fill="auto"/>
            <w:vAlign w:val="center"/>
          </w:tcPr>
          <w:p w14:paraId="036F9278" w14:textId="77777777" w:rsidR="007F6A40" w:rsidRPr="002A3D45" w:rsidRDefault="007F6A40" w:rsidP="007F6A40">
            <w:pPr>
              <w:keepNext/>
              <w:spacing w:after="0" w:line="240" w:lineRule="auto"/>
              <w:jc w:val="right"/>
              <w:rPr>
                <w:rFonts w:ascii="Arial" w:hAnsi="Arial" w:cs="Arial"/>
                <w:color w:val="auto"/>
                <w:sz w:val="16"/>
                <w:szCs w:val="16"/>
              </w:rPr>
            </w:pPr>
            <w:r w:rsidRPr="002A3D45">
              <w:rPr>
                <w:rFonts w:ascii="Arial" w:hAnsi="Arial" w:cs="Arial"/>
                <w:color w:val="auto"/>
                <w:sz w:val="16"/>
                <w:szCs w:val="16"/>
              </w:rPr>
              <w:t>3.7</w:t>
            </w:r>
          </w:p>
        </w:tc>
        <w:tc>
          <w:tcPr>
            <w:tcW w:w="988" w:type="pct"/>
            <w:tcBorders>
              <w:left w:val="nil"/>
              <w:bottom w:val="single" w:sz="2" w:space="0" w:color="000000" w:themeColor="text1"/>
              <w:right w:val="nil"/>
            </w:tcBorders>
            <w:shd w:val="clear" w:color="auto" w:fill="E1E8EB"/>
            <w:noWrap/>
            <w:vAlign w:val="center"/>
            <w:hideMark/>
          </w:tcPr>
          <w:p w14:paraId="6A52BA7E" w14:textId="77777777" w:rsidR="007F6A40" w:rsidRPr="002A3D45" w:rsidRDefault="007F6A40" w:rsidP="007F6A40">
            <w:pPr>
              <w:keepNext/>
              <w:spacing w:after="0" w:line="240" w:lineRule="auto"/>
              <w:jc w:val="right"/>
              <w:rPr>
                <w:rFonts w:ascii="Arial" w:hAnsi="Arial" w:cs="Arial"/>
                <w:color w:val="auto"/>
                <w:sz w:val="16"/>
                <w:szCs w:val="16"/>
              </w:rPr>
            </w:pPr>
            <w:r w:rsidRPr="002A3D45">
              <w:rPr>
                <w:rFonts w:ascii="Arial" w:hAnsi="Arial" w:cs="Arial"/>
                <w:color w:val="auto"/>
                <w:sz w:val="16"/>
                <w:szCs w:val="16"/>
              </w:rPr>
              <w:t>2.3</w:t>
            </w:r>
          </w:p>
        </w:tc>
      </w:tr>
      <w:tr w:rsidR="007F6A40" w:rsidRPr="007F6A40" w14:paraId="6F69768C" w14:textId="77777777" w:rsidTr="00405179">
        <w:trPr>
          <w:trHeight w:val="283"/>
        </w:trPr>
        <w:tc>
          <w:tcPr>
            <w:tcW w:w="1039" w:type="pct"/>
            <w:tcBorders>
              <w:left w:val="nil"/>
              <w:bottom w:val="single" w:sz="4" w:space="0" w:color="auto"/>
              <w:right w:val="nil"/>
            </w:tcBorders>
            <w:shd w:val="clear" w:color="000000" w:fill="FFFFFF"/>
            <w:noWrap/>
            <w:vAlign w:val="center"/>
            <w:hideMark/>
          </w:tcPr>
          <w:p w14:paraId="011201EF" w14:textId="77777777" w:rsidR="007F6A40" w:rsidRPr="002A3D45" w:rsidRDefault="007F6A40" w:rsidP="007F6A40">
            <w:pPr>
              <w:keepNext/>
              <w:spacing w:after="0" w:line="240" w:lineRule="auto"/>
              <w:jc w:val="left"/>
              <w:rPr>
                <w:rFonts w:ascii="Calibri" w:hAnsi="Calibri" w:cs="Calibri"/>
                <w:sz w:val="22"/>
                <w:szCs w:val="22"/>
              </w:rPr>
            </w:pPr>
            <w:r w:rsidRPr="002A3D45">
              <w:rPr>
                <w:rFonts w:ascii="Arial" w:hAnsi="Arial" w:cs="Arial"/>
                <w:b/>
                <w:bCs/>
                <w:color w:val="auto"/>
                <w:sz w:val="16"/>
                <w:szCs w:val="16"/>
              </w:rPr>
              <w:t>Total</w:t>
            </w:r>
          </w:p>
        </w:tc>
        <w:tc>
          <w:tcPr>
            <w:tcW w:w="991" w:type="pct"/>
            <w:tcBorders>
              <w:top w:val="single" w:sz="2" w:space="0" w:color="000000" w:themeColor="text1"/>
              <w:left w:val="nil"/>
              <w:bottom w:val="single" w:sz="4" w:space="0" w:color="auto"/>
              <w:right w:val="nil"/>
            </w:tcBorders>
            <w:shd w:val="clear" w:color="000000" w:fill="FFFFFF"/>
            <w:noWrap/>
            <w:vAlign w:val="center"/>
            <w:hideMark/>
          </w:tcPr>
          <w:p w14:paraId="2AE0DCCF" w14:textId="77777777" w:rsidR="007F6A40" w:rsidRPr="00E461C5" w:rsidRDefault="007F6A40" w:rsidP="007F6A40">
            <w:pPr>
              <w:keepNext/>
              <w:spacing w:after="0" w:line="240" w:lineRule="auto"/>
              <w:jc w:val="right"/>
              <w:rPr>
                <w:rFonts w:ascii="Arial" w:hAnsi="Arial" w:cs="Arial"/>
                <w:b/>
                <w:color w:val="auto"/>
                <w:sz w:val="16"/>
                <w:szCs w:val="16"/>
              </w:rPr>
            </w:pPr>
            <w:r w:rsidRPr="00E461C5">
              <w:rPr>
                <w:rFonts w:ascii="Arial" w:hAnsi="Arial" w:cs="Arial"/>
                <w:b/>
                <w:color w:val="auto"/>
                <w:sz w:val="16"/>
                <w:szCs w:val="16"/>
              </w:rPr>
              <w:t>114</w:t>
            </w:r>
          </w:p>
        </w:tc>
        <w:tc>
          <w:tcPr>
            <w:tcW w:w="991" w:type="pct"/>
            <w:tcBorders>
              <w:top w:val="single" w:sz="2" w:space="0" w:color="000000" w:themeColor="text1"/>
              <w:left w:val="nil"/>
              <w:bottom w:val="single" w:sz="4" w:space="0" w:color="auto"/>
              <w:right w:val="nil"/>
            </w:tcBorders>
            <w:shd w:val="clear" w:color="000000" w:fill="FFFFFF"/>
            <w:noWrap/>
            <w:vAlign w:val="center"/>
            <w:hideMark/>
          </w:tcPr>
          <w:p w14:paraId="0F83B768" w14:textId="77777777" w:rsidR="007F6A40" w:rsidRPr="00E461C5" w:rsidRDefault="007F6A40" w:rsidP="007F6A40">
            <w:pPr>
              <w:keepNext/>
              <w:spacing w:after="0" w:line="240" w:lineRule="auto"/>
              <w:jc w:val="right"/>
              <w:rPr>
                <w:rFonts w:ascii="Arial" w:hAnsi="Arial" w:cs="Arial"/>
                <w:b/>
                <w:color w:val="auto"/>
                <w:sz w:val="16"/>
                <w:szCs w:val="16"/>
              </w:rPr>
            </w:pPr>
            <w:r w:rsidRPr="00E461C5">
              <w:rPr>
                <w:rFonts w:ascii="Arial" w:hAnsi="Arial" w:cs="Arial"/>
                <w:b/>
                <w:color w:val="auto"/>
                <w:sz w:val="16"/>
                <w:szCs w:val="16"/>
              </w:rPr>
              <w:t>94</w:t>
            </w:r>
          </w:p>
        </w:tc>
        <w:tc>
          <w:tcPr>
            <w:tcW w:w="991" w:type="pct"/>
            <w:tcBorders>
              <w:top w:val="single" w:sz="2" w:space="0" w:color="000000" w:themeColor="text1"/>
              <w:left w:val="nil"/>
              <w:bottom w:val="single" w:sz="4" w:space="0" w:color="auto"/>
              <w:right w:val="nil"/>
            </w:tcBorders>
            <w:shd w:val="clear" w:color="auto" w:fill="auto"/>
            <w:vAlign w:val="center"/>
          </w:tcPr>
          <w:p w14:paraId="4B1FB8AE" w14:textId="77777777" w:rsidR="007F6A40" w:rsidRPr="00E461C5" w:rsidRDefault="007F6A40" w:rsidP="007F6A40">
            <w:pPr>
              <w:keepNext/>
              <w:spacing w:after="0" w:line="240" w:lineRule="auto"/>
              <w:jc w:val="right"/>
              <w:rPr>
                <w:rFonts w:ascii="Arial" w:hAnsi="Arial" w:cs="Arial"/>
                <w:b/>
                <w:color w:val="auto"/>
                <w:sz w:val="16"/>
                <w:szCs w:val="16"/>
              </w:rPr>
            </w:pPr>
            <w:r w:rsidRPr="00E461C5">
              <w:rPr>
                <w:rFonts w:ascii="Arial" w:hAnsi="Arial" w:cs="Arial"/>
                <w:b/>
                <w:color w:val="auto"/>
                <w:sz w:val="16"/>
                <w:szCs w:val="16"/>
              </w:rPr>
              <w:t>94</w:t>
            </w:r>
          </w:p>
        </w:tc>
        <w:tc>
          <w:tcPr>
            <w:tcW w:w="988" w:type="pct"/>
            <w:tcBorders>
              <w:top w:val="single" w:sz="2" w:space="0" w:color="000000" w:themeColor="text1"/>
              <w:left w:val="nil"/>
              <w:bottom w:val="single" w:sz="4" w:space="0" w:color="auto"/>
              <w:right w:val="nil"/>
            </w:tcBorders>
            <w:shd w:val="clear" w:color="auto" w:fill="E1E8EB"/>
            <w:noWrap/>
            <w:vAlign w:val="center"/>
            <w:hideMark/>
          </w:tcPr>
          <w:p w14:paraId="1AFCCDA2" w14:textId="77777777" w:rsidR="007F6A40" w:rsidRPr="00E461C5" w:rsidRDefault="007F6A40" w:rsidP="007F6A40">
            <w:pPr>
              <w:keepNext/>
              <w:spacing w:after="0" w:line="240" w:lineRule="auto"/>
              <w:jc w:val="right"/>
              <w:rPr>
                <w:rFonts w:ascii="Arial" w:hAnsi="Arial" w:cs="Arial"/>
                <w:b/>
                <w:color w:val="auto"/>
                <w:sz w:val="16"/>
                <w:szCs w:val="16"/>
              </w:rPr>
            </w:pPr>
            <w:r w:rsidRPr="00E461C5">
              <w:rPr>
                <w:rFonts w:ascii="Arial" w:hAnsi="Arial" w:cs="Arial"/>
                <w:b/>
                <w:color w:val="auto"/>
                <w:sz w:val="16"/>
                <w:szCs w:val="16"/>
              </w:rPr>
              <w:t>87.9</w:t>
            </w:r>
          </w:p>
        </w:tc>
      </w:tr>
    </w:tbl>
    <w:p w14:paraId="3D6158B0" w14:textId="0A73D512" w:rsidR="00A91410" w:rsidRPr="0093280F" w:rsidRDefault="004B0E4B" w:rsidP="0093280F">
      <w:pPr>
        <w:pStyle w:val="ChartandTableFootnoteAlpha"/>
        <w:numPr>
          <w:ilvl w:val="0"/>
          <w:numId w:val="0"/>
        </w:numPr>
      </w:pPr>
      <w:r w:rsidRPr="00BF48CD">
        <w:t xml:space="preserve">Before republishing this data or comparing between years, thoroughly review the methodological and data caveats in </w:t>
      </w:r>
      <w:r w:rsidRPr="003A0911">
        <w:t>Appendix B.</w:t>
      </w:r>
      <w:r w:rsidRPr="00BF48CD">
        <w:t xml:space="preserve"> </w:t>
      </w:r>
    </w:p>
    <w:p w14:paraId="4061B44D" w14:textId="77777777" w:rsidR="00A91410" w:rsidRDefault="00A91410" w:rsidP="004B0E4B">
      <w:pPr>
        <w:pStyle w:val="ChartandTableFootnoteAlpha"/>
        <w:numPr>
          <w:ilvl w:val="0"/>
          <w:numId w:val="0"/>
        </w:numPr>
      </w:pPr>
    </w:p>
    <w:p w14:paraId="3E7BFC69" w14:textId="019E3E6D" w:rsidR="009542CF" w:rsidRDefault="009542CF" w:rsidP="009542CF"/>
    <w:p w14:paraId="6BADF271" w14:textId="0B3AC267" w:rsidR="00A55288" w:rsidRDefault="00A55288" w:rsidP="00A55288"/>
    <w:p w14:paraId="26BE45AD" w14:textId="77777777" w:rsidR="00CB7A07" w:rsidRDefault="00CB7A07">
      <w:pPr>
        <w:spacing w:after="0" w:line="240" w:lineRule="auto"/>
        <w:jc w:val="left"/>
        <w:rPr>
          <w:rFonts w:ascii="Calibri" w:hAnsi="Calibri" w:cs="Arial"/>
          <w:b/>
          <w:bCs/>
          <w:caps/>
          <w:color w:val="auto"/>
          <w:kern w:val="32"/>
          <w:sz w:val="32"/>
          <w:szCs w:val="48"/>
        </w:rPr>
        <w:sectPr w:rsidR="00CB7A07" w:rsidSect="00B538CB">
          <w:headerReference w:type="default" r:id="rId62"/>
          <w:footerReference w:type="default" r:id="rId63"/>
          <w:headerReference w:type="first" r:id="rId64"/>
          <w:footerReference w:type="first" r:id="rId65"/>
          <w:pgSz w:w="11906" w:h="16838" w:code="9"/>
          <w:pgMar w:top="2466" w:right="2098" w:bottom="2466" w:left="2098" w:header="1899" w:footer="1899" w:gutter="0"/>
          <w:cols w:space="708"/>
          <w:titlePg/>
          <w:docGrid w:linePitch="360"/>
        </w:sectPr>
      </w:pPr>
      <w:bookmarkStart w:id="184" w:name="_Toc63782937"/>
      <w:bookmarkStart w:id="185" w:name="_Toc75244066"/>
    </w:p>
    <w:p w14:paraId="2CEFA660" w14:textId="21A9627D" w:rsidR="00A55288" w:rsidRPr="00D60D30" w:rsidRDefault="00A55288" w:rsidP="00A55288">
      <w:pPr>
        <w:pStyle w:val="Heading1"/>
      </w:pPr>
      <w:bookmarkStart w:id="186" w:name="_Toc89872891"/>
      <w:bookmarkStart w:id="187" w:name="_Toc89872938"/>
      <w:r w:rsidRPr="00D60D30">
        <w:lastRenderedPageBreak/>
        <w:t>Compliance</w:t>
      </w:r>
      <w:bookmarkEnd w:id="184"/>
      <w:bookmarkEnd w:id="185"/>
      <w:bookmarkEnd w:id="186"/>
      <w:bookmarkEnd w:id="187"/>
    </w:p>
    <w:p w14:paraId="663A1C60" w14:textId="35667A09" w:rsidR="00474BF6" w:rsidRPr="008017BF" w:rsidRDefault="00474BF6" w:rsidP="00474BF6">
      <w:pPr>
        <w:spacing w:after="360"/>
      </w:pPr>
      <w:r w:rsidRPr="008017BF">
        <w:t>This chapter discusses the Treasury</w:t>
      </w:r>
      <w:r w:rsidR="00065800">
        <w:t>’</w:t>
      </w:r>
      <w:r>
        <w:t>s</w:t>
      </w:r>
      <w:r w:rsidRPr="008017BF">
        <w:t xml:space="preserve"> and the ATO</w:t>
      </w:r>
      <w:r w:rsidR="00065800">
        <w:t>’</w:t>
      </w:r>
      <w:r w:rsidRPr="008017BF">
        <w:t>s approach to ensure investors comply with their obligations under the Act</w:t>
      </w:r>
      <w:r w:rsidRPr="008017BF" w:rsidDel="00D25D55">
        <w:t xml:space="preserve"> </w:t>
      </w:r>
      <w:r w:rsidRPr="008017BF">
        <w:t xml:space="preserve">and provides an overview of compliance activities in </w:t>
      </w:r>
      <w:r w:rsidR="00D76ED2">
        <w:t>2020</w:t>
      </w:r>
      <w:r w:rsidR="00D76ED2">
        <w:noBreakHyphen/>
        <w:t>21</w:t>
      </w:r>
      <w:r w:rsidRPr="008017BF">
        <w:t xml:space="preserve">. </w:t>
      </w:r>
    </w:p>
    <w:p w14:paraId="5E5F6DF5" w14:textId="77777777" w:rsidR="00474BF6" w:rsidRPr="004503F1" w:rsidRDefault="00474BF6" w:rsidP="001E24AA">
      <w:pPr>
        <w:pStyle w:val="Heading2"/>
      </w:pPr>
      <w:bookmarkStart w:id="188" w:name="_Toc63782938"/>
      <w:bookmarkStart w:id="189" w:name="_Toc75244067"/>
      <w:bookmarkStart w:id="190" w:name="_Toc80368796"/>
      <w:bookmarkStart w:id="191" w:name="_Toc89872892"/>
      <w:bookmarkStart w:id="192" w:name="_Toc89872939"/>
      <w:bookmarkStart w:id="193" w:name="_Toc31296910"/>
      <w:bookmarkStart w:id="194" w:name="_Toc31636028"/>
      <w:bookmarkStart w:id="195" w:name="_Toc31642797"/>
      <w:bookmarkStart w:id="196" w:name="_Toc32247807"/>
      <w:r w:rsidRPr="004503F1">
        <w:t>Compliance approach</w:t>
      </w:r>
      <w:bookmarkEnd w:id="188"/>
      <w:bookmarkEnd w:id="189"/>
      <w:bookmarkEnd w:id="190"/>
      <w:bookmarkEnd w:id="191"/>
      <w:bookmarkEnd w:id="192"/>
    </w:p>
    <w:p w14:paraId="0E0A4891" w14:textId="3527489F" w:rsidR="00474BF6" w:rsidRPr="004503F1" w:rsidRDefault="00474BF6" w:rsidP="00474BF6">
      <w:pPr>
        <w:rPr>
          <w:color w:val="auto"/>
        </w:rPr>
      </w:pPr>
      <w:r w:rsidRPr="004503F1">
        <w:rPr>
          <w:color w:val="auto"/>
        </w:rPr>
        <w:t xml:space="preserve">Maintaining strong compliance with foreign investment legislation is a priority for the Australian Government to ensure that </w:t>
      </w:r>
      <w:r w:rsidR="00004EE5">
        <w:rPr>
          <w:color w:val="auto"/>
        </w:rPr>
        <w:t xml:space="preserve">proposed investment </w:t>
      </w:r>
      <w:r w:rsidRPr="004503F1">
        <w:rPr>
          <w:color w:val="auto"/>
        </w:rPr>
        <w:t xml:space="preserve">is not contrary to the national interest (or national security, as the case requires). </w:t>
      </w:r>
    </w:p>
    <w:p w14:paraId="3B8EA01E" w14:textId="42C47034" w:rsidR="00474BF6" w:rsidRPr="004503F1" w:rsidRDefault="00474BF6" w:rsidP="00474BF6">
      <w:pPr>
        <w:rPr>
          <w:color w:val="auto"/>
        </w:rPr>
      </w:pPr>
      <w:r w:rsidRPr="004503F1">
        <w:rPr>
          <w:color w:val="auto"/>
        </w:rPr>
        <w:t>The Treasury and the ATO are responsible for compliance and enforcement activities for proposals in their respective areas of screening responsibility. For the Treasury, this includes business, agricultural and commercial land foreign investment proposals, and for the ATO, this includes residential real estate and the vacancy fee, and some commercial land proposals</w:t>
      </w:r>
      <w:r w:rsidR="00065800">
        <w:rPr>
          <w:color w:val="auto"/>
        </w:rPr>
        <w:t xml:space="preserve">. </w:t>
      </w:r>
      <w:r w:rsidRPr="004503F1">
        <w:rPr>
          <w:color w:val="auto"/>
        </w:rPr>
        <w:t>Both agencies adopt a risk</w:t>
      </w:r>
      <w:r w:rsidR="003E7C79">
        <w:rPr>
          <w:color w:val="auto"/>
        </w:rPr>
        <w:t>–</w:t>
      </w:r>
      <w:r w:rsidRPr="004503F1">
        <w:rPr>
          <w:color w:val="auto"/>
        </w:rPr>
        <w:t>based approach to compliance, focusing efforts on areas of greatest risk to the national interest. They aim to provide assurance that investors are complying with their obligations and to detect and address non</w:t>
      </w:r>
      <w:r w:rsidR="003E7C79">
        <w:rPr>
          <w:color w:val="auto"/>
        </w:rPr>
        <w:t>–</w:t>
      </w:r>
      <w:r w:rsidRPr="004503F1">
        <w:rPr>
          <w:color w:val="auto"/>
        </w:rPr>
        <w:t xml:space="preserve">compliance, while encouraging and supporting investors to do the right thing. </w:t>
      </w:r>
    </w:p>
    <w:p w14:paraId="69A176A3" w14:textId="77777777" w:rsidR="00474BF6" w:rsidRPr="004503F1" w:rsidRDefault="00474BF6" w:rsidP="00474BF6">
      <w:pPr>
        <w:rPr>
          <w:color w:val="auto"/>
        </w:rPr>
      </w:pPr>
      <w:r w:rsidRPr="004503F1">
        <w:rPr>
          <w:color w:val="auto"/>
        </w:rPr>
        <w:t xml:space="preserve">Foreign investment compliance activities are also supported by specialist advice from other agencies as required. These include the Department of Home Affairs, Department of Defence, Department of Health, Department of Foreign Affairs and Trade, </w:t>
      </w:r>
      <w:r w:rsidRPr="004503F1">
        <w:rPr>
          <w:rFonts w:cs="Arial"/>
          <w:color w:val="auto"/>
          <w:shd w:val="clear" w:color="auto" w:fill="FFFFFF"/>
        </w:rPr>
        <w:t>Australian Transaction Reports and Analysis Centre</w:t>
      </w:r>
      <w:r w:rsidRPr="004503F1">
        <w:rPr>
          <w:color w:val="auto"/>
        </w:rPr>
        <w:t xml:space="preserve"> (AUSTRAC) and Australian Federal Police. </w:t>
      </w:r>
    </w:p>
    <w:p w14:paraId="72513FF3" w14:textId="575E7D1B" w:rsidR="00474BF6" w:rsidRPr="004503F1" w:rsidRDefault="00474BF6" w:rsidP="001E24AA">
      <w:pPr>
        <w:pStyle w:val="Heading2"/>
      </w:pPr>
      <w:bookmarkStart w:id="197" w:name="_Toc63782939"/>
      <w:bookmarkStart w:id="198" w:name="_Toc75244068"/>
      <w:bookmarkStart w:id="199" w:name="_Toc80368797"/>
      <w:bookmarkStart w:id="200" w:name="_Toc89872893"/>
      <w:bookmarkStart w:id="201" w:name="_Toc89872940"/>
      <w:r w:rsidRPr="004503F1">
        <w:t>Treasury</w:t>
      </w:r>
      <w:r w:rsidR="00065800">
        <w:t>’</w:t>
      </w:r>
      <w:r w:rsidRPr="004503F1">
        <w:t>s compliance activities</w:t>
      </w:r>
      <w:bookmarkEnd w:id="197"/>
      <w:bookmarkEnd w:id="198"/>
      <w:bookmarkEnd w:id="199"/>
      <w:bookmarkEnd w:id="200"/>
      <w:bookmarkEnd w:id="201"/>
    </w:p>
    <w:p w14:paraId="320F4D55" w14:textId="55CA884F" w:rsidR="00474BF6" w:rsidRPr="004503F1" w:rsidRDefault="00474BF6" w:rsidP="00474BF6">
      <w:pPr>
        <w:rPr>
          <w:color w:val="auto"/>
        </w:rPr>
      </w:pPr>
      <w:r w:rsidRPr="004503F1">
        <w:rPr>
          <w:color w:val="auto"/>
        </w:rPr>
        <w:t>Legislative reforms that took effect on 1</w:t>
      </w:r>
      <w:r w:rsidR="002440F7">
        <w:rPr>
          <w:color w:val="auto"/>
        </w:rPr>
        <w:t> </w:t>
      </w:r>
      <w:r w:rsidRPr="004503F1">
        <w:rPr>
          <w:color w:val="auto"/>
        </w:rPr>
        <w:t>January</w:t>
      </w:r>
      <w:r w:rsidR="002440F7">
        <w:rPr>
          <w:color w:val="auto"/>
        </w:rPr>
        <w:t> </w:t>
      </w:r>
      <w:r w:rsidRPr="004503F1">
        <w:rPr>
          <w:color w:val="auto"/>
        </w:rPr>
        <w:t>2021 introduced new compliance and enforcement powers for the Treasury, accompanied by increased</w:t>
      </w:r>
      <w:r w:rsidR="00D16AC3">
        <w:rPr>
          <w:color w:val="auto"/>
        </w:rPr>
        <w:t xml:space="preserve"> </w:t>
      </w:r>
      <w:r w:rsidRPr="004503F1">
        <w:rPr>
          <w:color w:val="auto"/>
        </w:rPr>
        <w:t>investor reporting obligations. These changes, together with additional resourcing and capability, strengthened the Treasury</w:t>
      </w:r>
      <w:r w:rsidR="00065800">
        <w:rPr>
          <w:color w:val="auto"/>
        </w:rPr>
        <w:t>’</w:t>
      </w:r>
      <w:r w:rsidRPr="004503F1">
        <w:rPr>
          <w:color w:val="auto"/>
        </w:rPr>
        <w:t>s ability to prevent, identify and respond to instances of non</w:t>
      </w:r>
      <w:r w:rsidR="003E7C79">
        <w:rPr>
          <w:color w:val="auto"/>
        </w:rPr>
        <w:t>–</w:t>
      </w:r>
      <w:r w:rsidRPr="004503F1">
        <w:rPr>
          <w:color w:val="auto"/>
        </w:rPr>
        <w:t>compliance with Australia</w:t>
      </w:r>
      <w:r w:rsidR="00065800">
        <w:rPr>
          <w:color w:val="auto"/>
        </w:rPr>
        <w:t>’</w:t>
      </w:r>
      <w:r w:rsidRPr="004503F1">
        <w:rPr>
          <w:color w:val="auto"/>
        </w:rPr>
        <w:t xml:space="preserve">s foreign investment laws. The Treasury has undertaken, and continues to progress, a significant program of work to operationalise its new powers. </w:t>
      </w:r>
    </w:p>
    <w:p w14:paraId="101679B1" w14:textId="769DC3B3" w:rsidR="00474BF6" w:rsidRPr="004503F1" w:rsidRDefault="00474BF6" w:rsidP="00474BF6">
      <w:pPr>
        <w:rPr>
          <w:color w:val="auto"/>
        </w:rPr>
      </w:pPr>
      <w:r w:rsidRPr="004503F1">
        <w:rPr>
          <w:color w:val="auto"/>
        </w:rPr>
        <w:t>In the reporting period, the Treasury</w:t>
      </w:r>
      <w:r w:rsidR="00065800">
        <w:rPr>
          <w:color w:val="auto"/>
        </w:rPr>
        <w:t>’</w:t>
      </w:r>
      <w:r w:rsidRPr="004503F1">
        <w:rPr>
          <w:color w:val="auto"/>
        </w:rPr>
        <w:t>s compliance activities were framed according to the Foreign Investment Compliance Framework, updated in December</w:t>
      </w:r>
      <w:r w:rsidR="002440F7">
        <w:rPr>
          <w:color w:val="auto"/>
        </w:rPr>
        <w:t> </w:t>
      </w:r>
      <w:r w:rsidRPr="004503F1">
        <w:rPr>
          <w:color w:val="auto"/>
        </w:rPr>
        <w:t>2020. Broadly, this covers education, compliance assurance, enforcement, and market intelligence. Compliance activities undertaken in the reporting period are outlined below.</w:t>
      </w:r>
    </w:p>
    <w:p w14:paraId="49473D8A" w14:textId="77777777" w:rsidR="00474BF6" w:rsidRPr="004503F1" w:rsidRDefault="00474BF6" w:rsidP="002F4C81">
      <w:pPr>
        <w:pStyle w:val="Heading4"/>
      </w:pPr>
      <w:r w:rsidRPr="004503F1">
        <w:t>Education</w:t>
      </w:r>
    </w:p>
    <w:p w14:paraId="11E9AE95" w14:textId="78F6B3B6" w:rsidR="00474BF6" w:rsidRPr="00BD5BA3" w:rsidRDefault="00022858" w:rsidP="00474BF6">
      <w:r>
        <w:t>The Treasury aims to provide transparency on its approach to foreign investment compliance and enforcement activities, draw attention to offences and civil penalty provisions, and outline the powers that may be exercised.</w:t>
      </w:r>
      <w:r w:rsidRPr="00B53A8B">
        <w:t xml:space="preserve"> </w:t>
      </w:r>
      <w:r w:rsidR="00474BF6">
        <w:t>The Treasury</w:t>
      </w:r>
      <w:r w:rsidR="00065800">
        <w:t>’</w:t>
      </w:r>
      <w:r w:rsidR="00474BF6">
        <w:t xml:space="preserve">s education activities are designed to provide investors and their representatives with information </w:t>
      </w:r>
      <w:r w:rsidR="00474BF6" w:rsidRPr="00B93BD5">
        <w:t>that supports them</w:t>
      </w:r>
      <w:r w:rsidR="00474BF6">
        <w:t xml:space="preserve"> to meet their obligations under the </w:t>
      </w:r>
      <w:r w:rsidR="00722654">
        <w:t>Act</w:t>
      </w:r>
      <w:r w:rsidR="00474BF6">
        <w:t xml:space="preserve"> and encourages engagement on compliance</w:t>
      </w:r>
      <w:r w:rsidR="003E7C79">
        <w:t>–</w:t>
      </w:r>
      <w:r w:rsidR="00474BF6">
        <w:t>related matters</w:t>
      </w:r>
      <w:r>
        <w:t xml:space="preserve">. </w:t>
      </w:r>
      <w:r w:rsidR="00474BF6" w:rsidRPr="00B93BD5">
        <w:lastRenderedPageBreak/>
        <w:t xml:space="preserve">Education activities include planned engagement forums on specific issues or </w:t>
      </w:r>
      <w:r w:rsidR="00474BF6">
        <w:t xml:space="preserve">engagement </w:t>
      </w:r>
      <w:r w:rsidR="00474BF6" w:rsidRPr="00B93BD5">
        <w:t xml:space="preserve">as a result of intelligence or compliance assurance activities. </w:t>
      </w:r>
    </w:p>
    <w:p w14:paraId="4CDB556E" w14:textId="3C8F792C" w:rsidR="00474BF6" w:rsidRDefault="00474BF6" w:rsidP="00474BF6">
      <w:pPr>
        <w:rPr>
          <w:highlight w:val="yellow"/>
        </w:rPr>
      </w:pPr>
      <w:r>
        <w:t xml:space="preserve">The </w:t>
      </w:r>
      <w:r w:rsidR="00FF06F0">
        <w:t>Board</w:t>
      </w:r>
      <w:r w:rsidR="00065800">
        <w:t>’</w:t>
      </w:r>
      <w:r w:rsidR="00FF06F0">
        <w:t>s</w:t>
      </w:r>
      <w:r>
        <w:t xml:space="preserve"> website provides information about the Treasury</w:t>
      </w:r>
      <w:r w:rsidR="00065800">
        <w:t>’</w:t>
      </w:r>
      <w:r>
        <w:t>s approach to compliance,</w:t>
      </w:r>
      <w:r w:rsidRPr="00B93BD5">
        <w:t xml:space="preserve"> </w:t>
      </w:r>
      <w:r>
        <w:t>acts as</w:t>
      </w:r>
      <w:r w:rsidRPr="00B93BD5">
        <w:t xml:space="preserve"> a mechanism for reporting breaches of foreign investment rules</w:t>
      </w:r>
      <w:r>
        <w:t xml:space="preserve"> and provides </w:t>
      </w:r>
      <w:r w:rsidRPr="00B93BD5">
        <w:t xml:space="preserve">Guidance Notes to help investors and other stakeholders understand their obligations under the </w:t>
      </w:r>
      <w:r w:rsidR="00722654">
        <w:t>Act</w:t>
      </w:r>
      <w:r w:rsidRPr="00B93BD5">
        <w:t>.</w:t>
      </w:r>
    </w:p>
    <w:p w14:paraId="15694BDC" w14:textId="6F5A4872" w:rsidR="00474BF6" w:rsidRPr="004503F1" w:rsidRDefault="00474BF6" w:rsidP="00474BF6">
      <w:pPr>
        <w:rPr>
          <w:color w:val="auto"/>
        </w:rPr>
      </w:pPr>
      <w:r>
        <w:t>Where there has been inadvertent or self</w:t>
      </w:r>
      <w:r w:rsidR="003E7C79">
        <w:t>–</w:t>
      </w:r>
      <w:r>
        <w:t>reported non</w:t>
      </w:r>
      <w:r w:rsidR="003E7C79">
        <w:t>–</w:t>
      </w:r>
      <w:r>
        <w:t>compliance, or where the non</w:t>
      </w:r>
      <w:r w:rsidR="00065800">
        <w:noBreakHyphen/>
      </w:r>
      <w:r>
        <w:t>compliance is not considered serious, the Treasury aims to provide advice and guidance to the investor to correct the errors that led to non</w:t>
      </w:r>
      <w:r w:rsidR="003E7C79">
        <w:t>–</w:t>
      </w:r>
      <w:r>
        <w:t xml:space="preserve">compliance and address any systemic problems </w:t>
      </w:r>
      <w:r w:rsidRPr="004503F1">
        <w:rPr>
          <w:color w:val="auto"/>
        </w:rPr>
        <w:t>that may lead to future non</w:t>
      </w:r>
      <w:r w:rsidR="003E7C79">
        <w:rPr>
          <w:color w:val="auto"/>
        </w:rPr>
        <w:t>–</w:t>
      </w:r>
      <w:r w:rsidRPr="004503F1">
        <w:rPr>
          <w:color w:val="auto"/>
        </w:rPr>
        <w:t>compliance.</w:t>
      </w:r>
    </w:p>
    <w:p w14:paraId="038FE3CF" w14:textId="77777777" w:rsidR="00474BF6" w:rsidRPr="004503F1" w:rsidRDefault="00474BF6" w:rsidP="002F4C81">
      <w:pPr>
        <w:pStyle w:val="Heading4"/>
      </w:pPr>
      <w:bookmarkStart w:id="202" w:name="_Toc80368798"/>
      <w:bookmarkStart w:id="203" w:name="_Toc87014332"/>
      <w:r w:rsidRPr="004503F1">
        <w:t>Compliance assurance</w:t>
      </w:r>
      <w:bookmarkEnd w:id="202"/>
      <w:bookmarkEnd w:id="203"/>
      <w:r w:rsidRPr="004503F1">
        <w:t xml:space="preserve"> </w:t>
      </w:r>
    </w:p>
    <w:p w14:paraId="4223281B" w14:textId="315E5027" w:rsidR="00474BF6" w:rsidRPr="004503F1" w:rsidRDefault="00474BF6" w:rsidP="00474BF6">
      <w:pPr>
        <w:rPr>
          <w:color w:val="auto"/>
        </w:rPr>
      </w:pPr>
      <w:r w:rsidRPr="004503F1">
        <w:rPr>
          <w:color w:val="auto"/>
        </w:rPr>
        <w:t xml:space="preserve">Compliance assurance activities provide increased assurance that investors understand and are meeting the requirements of any conditions to which their no objection notification or </w:t>
      </w:r>
      <w:r w:rsidR="00A7684A">
        <w:rPr>
          <w:color w:val="auto"/>
        </w:rPr>
        <w:t xml:space="preserve">EC </w:t>
      </w:r>
      <w:r w:rsidRPr="004503F1">
        <w:rPr>
          <w:color w:val="auto"/>
        </w:rPr>
        <w:t xml:space="preserve">are subject. </w:t>
      </w:r>
    </w:p>
    <w:p w14:paraId="59C67E95" w14:textId="77777777" w:rsidR="00474BF6" w:rsidRPr="004503F1" w:rsidRDefault="00474BF6" w:rsidP="00474BF6">
      <w:pPr>
        <w:rPr>
          <w:color w:val="auto"/>
        </w:rPr>
      </w:pPr>
      <w:r w:rsidRPr="004503F1">
        <w:rPr>
          <w:color w:val="auto"/>
        </w:rPr>
        <w:t>In undertaking compliance assurance activities, the Treasury focuses on higher risk investors/investments, including assessing the compliance of investors/investments identified through intelligence activities.</w:t>
      </w:r>
    </w:p>
    <w:p w14:paraId="2EF2EDC0" w14:textId="10AD847B" w:rsidR="00474BF6" w:rsidRPr="004503F1" w:rsidRDefault="00004EE5" w:rsidP="00091F38">
      <w:r>
        <w:t xml:space="preserve">The </w:t>
      </w:r>
      <w:r w:rsidR="00474BF6" w:rsidRPr="004503F1">
        <w:t>Treasury</w:t>
      </w:r>
      <w:r w:rsidR="00065800">
        <w:t>’</w:t>
      </w:r>
      <w:r w:rsidR="00474BF6" w:rsidRPr="004503F1">
        <w:t>s compliance assurance activities involve a combination of scheduled, proactive, responsive and reactive activities, including:</w:t>
      </w:r>
    </w:p>
    <w:p w14:paraId="3897AD80" w14:textId="35C82FC6" w:rsidR="00474BF6" w:rsidRPr="004503F1" w:rsidRDefault="00474BF6" w:rsidP="00091F38">
      <w:pPr>
        <w:pStyle w:val="Bullet"/>
      </w:pPr>
      <w:r w:rsidRPr="004503F1">
        <w:t>investor audits (regulator led and condition</w:t>
      </w:r>
      <w:r w:rsidR="00065800">
        <w:noBreakHyphen/>
      </w:r>
      <w:r w:rsidRPr="004503F1">
        <w:t>mandated independent audits)</w:t>
      </w:r>
    </w:p>
    <w:p w14:paraId="2DE7DDAB" w14:textId="31E2DD5E" w:rsidR="00474BF6" w:rsidRPr="004503F1" w:rsidRDefault="00474BF6" w:rsidP="00091F38">
      <w:pPr>
        <w:pStyle w:val="Bullet"/>
      </w:pPr>
      <w:r w:rsidRPr="004503F1">
        <w:t xml:space="preserve">monitoring compliance with obligations imposed by legislation and conditions </w:t>
      </w:r>
    </w:p>
    <w:p w14:paraId="332FBE9E" w14:textId="77777777" w:rsidR="00474BF6" w:rsidRPr="004503F1" w:rsidRDefault="00474BF6" w:rsidP="00091F38">
      <w:pPr>
        <w:pStyle w:val="Bullet"/>
      </w:pPr>
      <w:r w:rsidRPr="004503F1">
        <w:t xml:space="preserve">follow up of matters identified through intelligence. </w:t>
      </w:r>
    </w:p>
    <w:p w14:paraId="49B0708A" w14:textId="77777777" w:rsidR="00474BF6" w:rsidRPr="004503F1" w:rsidRDefault="00474BF6" w:rsidP="002F4C81">
      <w:pPr>
        <w:pStyle w:val="Heading4"/>
      </w:pPr>
      <w:r w:rsidRPr="004503F1">
        <w:t>Audit program</w:t>
      </w:r>
    </w:p>
    <w:p w14:paraId="38B94F88" w14:textId="4144A9E8" w:rsidR="00B555C1" w:rsidRDefault="00474BF6" w:rsidP="00474BF6">
      <w:r w:rsidRPr="004503F1">
        <w:rPr>
          <w:color w:val="auto"/>
        </w:rPr>
        <w:t>The Treasury</w:t>
      </w:r>
      <w:r w:rsidR="00065800">
        <w:rPr>
          <w:color w:val="auto"/>
        </w:rPr>
        <w:t>’</w:t>
      </w:r>
      <w:r w:rsidRPr="004503F1">
        <w:rPr>
          <w:color w:val="auto"/>
        </w:rPr>
        <w:t xml:space="preserve">s foreign </w:t>
      </w:r>
      <w:r>
        <w:t>investment audit program is split across two streams of activity: regulator audits and condition</w:t>
      </w:r>
      <w:r w:rsidR="00065800">
        <w:noBreakHyphen/>
      </w:r>
      <w:r>
        <w:t>mandated independent audits</w:t>
      </w:r>
      <w:r w:rsidR="00065800">
        <w:t xml:space="preserve">. </w:t>
      </w:r>
    </w:p>
    <w:p w14:paraId="6AB4A5B6" w14:textId="6F6209C2" w:rsidR="009812FE" w:rsidRPr="00091F38" w:rsidRDefault="009812FE" w:rsidP="00091F38">
      <w:pPr>
        <w:pStyle w:val="TableMainHeading"/>
      </w:pPr>
      <w:bookmarkStart w:id="204" w:name="_Toc89939956"/>
      <w:r w:rsidRPr="00091F38">
        <w:t xml:space="preserve">Table </w:t>
      </w:r>
      <w:fldSimple w:instr=" STYLEREF 1 \s ">
        <w:r w:rsidR="0019342F">
          <w:rPr>
            <w:noProof/>
          </w:rPr>
          <w:t>4</w:t>
        </w:r>
      </w:fldSimple>
      <w:r w:rsidRPr="00091F38">
        <w:t>.</w:t>
      </w:r>
      <w:fldSimple w:instr=" SEQ Table \* ARABIC \s 1 ">
        <w:r w:rsidR="0019342F">
          <w:rPr>
            <w:noProof/>
          </w:rPr>
          <w:t>1</w:t>
        </w:r>
      </w:fldSimple>
      <w:r w:rsidRPr="00091F38">
        <w:t xml:space="preserve">: Audits completed, </w:t>
      </w:r>
      <w:r w:rsidR="00D76ED2" w:rsidRPr="00091F38">
        <w:t>2019</w:t>
      </w:r>
      <w:r w:rsidR="00D76ED2" w:rsidRPr="00091F38">
        <w:noBreakHyphen/>
        <w:t>20</w:t>
      </w:r>
      <w:r w:rsidRPr="00091F38">
        <w:t xml:space="preserve"> to </w:t>
      </w:r>
      <w:r w:rsidR="00D76ED2" w:rsidRPr="00091F38">
        <w:t>2020</w:t>
      </w:r>
      <w:r w:rsidR="00D76ED2" w:rsidRPr="00091F38">
        <w:noBreakHyphen/>
        <w:t>21</w:t>
      </w:r>
      <w:bookmarkEnd w:id="20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1018"/>
        <w:gridCol w:w="1510"/>
        <w:gridCol w:w="1510"/>
        <w:gridCol w:w="1508"/>
      </w:tblGrid>
      <w:tr w:rsidR="00474BF6" w14:paraId="68FF694F" w14:textId="77777777" w:rsidTr="00091F38">
        <w:trPr>
          <w:trHeight w:val="291"/>
        </w:trPr>
        <w:tc>
          <w:tcPr>
            <w:tcW w:w="1403" w:type="pct"/>
            <w:tcBorders>
              <w:top w:val="single" w:sz="4" w:space="0" w:color="auto"/>
            </w:tcBorders>
          </w:tcPr>
          <w:p w14:paraId="1FE40EA6" w14:textId="77777777" w:rsidR="00474BF6" w:rsidRPr="00F8696D" w:rsidRDefault="00474BF6" w:rsidP="00E461C5">
            <w:pPr>
              <w:keepNext/>
              <w:spacing w:after="0"/>
              <w:rPr>
                <w:b/>
                <w:bCs/>
              </w:rPr>
            </w:pPr>
          </w:p>
        </w:tc>
        <w:tc>
          <w:tcPr>
            <w:tcW w:w="1639" w:type="pct"/>
            <w:gridSpan w:val="2"/>
            <w:tcBorders>
              <w:top w:val="single" w:sz="4" w:space="0" w:color="auto"/>
              <w:bottom w:val="single" w:sz="4" w:space="0" w:color="auto"/>
            </w:tcBorders>
            <w:vAlign w:val="bottom"/>
          </w:tcPr>
          <w:p w14:paraId="0B12A823" w14:textId="19BA4110" w:rsidR="00474BF6" w:rsidRPr="004837F5" w:rsidRDefault="00D76ED2" w:rsidP="00E461C5">
            <w:pPr>
              <w:keepNext/>
              <w:spacing w:after="0"/>
              <w:jc w:val="center"/>
              <w:rPr>
                <w:rFonts w:ascii="Arial" w:hAnsi="Arial" w:cs="Arial"/>
                <w:sz w:val="16"/>
                <w:szCs w:val="16"/>
              </w:rPr>
            </w:pPr>
            <w:r>
              <w:rPr>
                <w:rFonts w:ascii="Arial" w:hAnsi="Arial" w:cs="Arial"/>
                <w:sz w:val="16"/>
                <w:szCs w:val="16"/>
              </w:rPr>
              <w:t>2019</w:t>
            </w:r>
            <w:r>
              <w:rPr>
                <w:rFonts w:ascii="Arial" w:hAnsi="Arial" w:cs="Arial"/>
                <w:sz w:val="16"/>
                <w:szCs w:val="16"/>
              </w:rPr>
              <w:noBreakHyphen/>
              <w:t>20</w:t>
            </w:r>
          </w:p>
        </w:tc>
        <w:tc>
          <w:tcPr>
            <w:tcW w:w="1957" w:type="pct"/>
            <w:gridSpan w:val="2"/>
            <w:tcBorders>
              <w:top w:val="single" w:sz="4" w:space="0" w:color="auto"/>
              <w:bottom w:val="single" w:sz="4" w:space="0" w:color="auto"/>
            </w:tcBorders>
            <w:shd w:val="clear" w:color="auto" w:fill="E1E8EB"/>
            <w:vAlign w:val="bottom"/>
          </w:tcPr>
          <w:p w14:paraId="65C8F22C" w14:textId="46A7CAF4" w:rsidR="00474BF6" w:rsidRPr="004837F5" w:rsidRDefault="00D76ED2" w:rsidP="00E461C5">
            <w:pPr>
              <w:keepNext/>
              <w:spacing w:after="0"/>
              <w:jc w:val="center"/>
              <w:rPr>
                <w:rFonts w:ascii="Arial" w:hAnsi="Arial" w:cs="Arial"/>
                <w:sz w:val="16"/>
                <w:szCs w:val="16"/>
              </w:rPr>
            </w:pPr>
            <w:r>
              <w:rPr>
                <w:rFonts w:ascii="Arial" w:hAnsi="Arial" w:cs="Arial"/>
                <w:sz w:val="16"/>
                <w:szCs w:val="16"/>
              </w:rPr>
              <w:t>2020</w:t>
            </w:r>
            <w:r>
              <w:rPr>
                <w:rFonts w:ascii="Arial" w:hAnsi="Arial" w:cs="Arial"/>
                <w:sz w:val="16"/>
                <w:szCs w:val="16"/>
              </w:rPr>
              <w:noBreakHyphen/>
              <w:t>21</w:t>
            </w:r>
          </w:p>
        </w:tc>
      </w:tr>
      <w:tr w:rsidR="004837F5" w14:paraId="6412073B" w14:textId="77777777" w:rsidTr="00091F38">
        <w:trPr>
          <w:trHeight w:val="318"/>
        </w:trPr>
        <w:tc>
          <w:tcPr>
            <w:tcW w:w="1403" w:type="pct"/>
            <w:tcBorders>
              <w:bottom w:val="single" w:sz="4" w:space="0" w:color="auto"/>
            </w:tcBorders>
            <w:vAlign w:val="bottom"/>
          </w:tcPr>
          <w:p w14:paraId="577A9084" w14:textId="41894A52" w:rsidR="004837F5" w:rsidRPr="004837F5" w:rsidRDefault="004837F5" w:rsidP="00E461C5">
            <w:pPr>
              <w:keepNext/>
              <w:spacing w:after="0"/>
              <w:jc w:val="left"/>
              <w:rPr>
                <w:rFonts w:ascii="Arial" w:hAnsi="Arial" w:cs="Arial"/>
                <w:sz w:val="16"/>
                <w:szCs w:val="16"/>
              </w:rPr>
            </w:pPr>
            <w:r w:rsidRPr="004837F5">
              <w:rPr>
                <w:rFonts w:ascii="Arial" w:hAnsi="Arial" w:cs="Arial"/>
                <w:sz w:val="16"/>
                <w:szCs w:val="16"/>
              </w:rPr>
              <w:t>Activity</w:t>
            </w:r>
          </w:p>
        </w:tc>
        <w:tc>
          <w:tcPr>
            <w:tcW w:w="660" w:type="pct"/>
            <w:tcBorders>
              <w:bottom w:val="single" w:sz="4" w:space="0" w:color="auto"/>
            </w:tcBorders>
            <w:vAlign w:val="bottom"/>
          </w:tcPr>
          <w:p w14:paraId="14070EA4" w14:textId="2CE60B86" w:rsidR="004837F5" w:rsidRPr="004837F5" w:rsidRDefault="004837F5" w:rsidP="008E481C">
            <w:pPr>
              <w:keepNext/>
              <w:spacing w:after="0"/>
              <w:jc w:val="right"/>
              <w:rPr>
                <w:rFonts w:ascii="Arial" w:hAnsi="Arial" w:cs="Arial"/>
                <w:sz w:val="16"/>
                <w:szCs w:val="16"/>
              </w:rPr>
            </w:pPr>
            <w:r w:rsidRPr="004837F5">
              <w:rPr>
                <w:rFonts w:ascii="Arial" w:hAnsi="Arial" w:cs="Arial"/>
                <w:sz w:val="16"/>
                <w:szCs w:val="16"/>
              </w:rPr>
              <w:t>Audits completed*</w:t>
            </w:r>
          </w:p>
        </w:tc>
        <w:tc>
          <w:tcPr>
            <w:tcW w:w="979" w:type="pct"/>
            <w:tcBorders>
              <w:bottom w:val="single" w:sz="4" w:space="0" w:color="auto"/>
            </w:tcBorders>
            <w:vAlign w:val="bottom"/>
          </w:tcPr>
          <w:p w14:paraId="6DC978A0" w14:textId="5153FFF4" w:rsidR="004837F5" w:rsidRPr="004837F5" w:rsidRDefault="004837F5" w:rsidP="008E481C">
            <w:pPr>
              <w:keepNext/>
              <w:spacing w:after="0"/>
              <w:jc w:val="right"/>
              <w:rPr>
                <w:rFonts w:ascii="Arial" w:hAnsi="Arial" w:cs="Arial"/>
                <w:sz w:val="16"/>
                <w:szCs w:val="16"/>
              </w:rPr>
            </w:pPr>
            <w:r w:rsidRPr="004837F5">
              <w:rPr>
                <w:rFonts w:ascii="Arial" w:hAnsi="Arial" w:cs="Arial"/>
                <w:sz w:val="16"/>
                <w:szCs w:val="16"/>
              </w:rPr>
              <w:t>Audits identifying non</w:t>
            </w:r>
            <w:r w:rsidR="003E7C79">
              <w:rPr>
                <w:rFonts w:ascii="Arial" w:hAnsi="Arial" w:cs="Arial"/>
                <w:sz w:val="16"/>
                <w:szCs w:val="16"/>
              </w:rPr>
              <w:t>–</w:t>
            </w:r>
            <w:r w:rsidRPr="004837F5">
              <w:rPr>
                <w:rFonts w:ascii="Arial" w:hAnsi="Arial" w:cs="Arial"/>
                <w:sz w:val="16"/>
                <w:szCs w:val="16"/>
              </w:rPr>
              <w:t>compliance*</w:t>
            </w:r>
          </w:p>
        </w:tc>
        <w:tc>
          <w:tcPr>
            <w:tcW w:w="979" w:type="pct"/>
            <w:tcBorders>
              <w:bottom w:val="single" w:sz="4" w:space="0" w:color="auto"/>
            </w:tcBorders>
            <w:shd w:val="clear" w:color="auto" w:fill="E1E8EB"/>
            <w:vAlign w:val="bottom"/>
          </w:tcPr>
          <w:p w14:paraId="6525842A" w14:textId="49F9C7F9" w:rsidR="004837F5" w:rsidRPr="004837F5" w:rsidRDefault="001814B9" w:rsidP="008E481C">
            <w:pPr>
              <w:keepNext/>
              <w:spacing w:after="0"/>
              <w:jc w:val="right"/>
              <w:rPr>
                <w:rFonts w:ascii="Arial" w:hAnsi="Arial" w:cs="Arial"/>
                <w:sz w:val="16"/>
                <w:szCs w:val="16"/>
              </w:rPr>
            </w:pPr>
            <w:r w:rsidRPr="004837F5">
              <w:rPr>
                <w:rFonts w:ascii="Arial" w:hAnsi="Arial" w:cs="Arial"/>
                <w:sz w:val="16"/>
                <w:szCs w:val="16"/>
              </w:rPr>
              <w:t>Audits completed*</w:t>
            </w:r>
          </w:p>
        </w:tc>
        <w:tc>
          <w:tcPr>
            <w:tcW w:w="978" w:type="pct"/>
            <w:tcBorders>
              <w:bottom w:val="single" w:sz="4" w:space="0" w:color="auto"/>
            </w:tcBorders>
            <w:shd w:val="clear" w:color="auto" w:fill="E1E8EB"/>
            <w:vAlign w:val="bottom"/>
          </w:tcPr>
          <w:p w14:paraId="6B4C2AC7" w14:textId="72412B20" w:rsidR="004837F5" w:rsidRPr="004837F5" w:rsidRDefault="001814B9" w:rsidP="008E481C">
            <w:pPr>
              <w:keepNext/>
              <w:spacing w:after="0"/>
              <w:jc w:val="right"/>
              <w:rPr>
                <w:rFonts w:ascii="Arial" w:hAnsi="Arial" w:cs="Arial"/>
                <w:sz w:val="16"/>
                <w:szCs w:val="16"/>
              </w:rPr>
            </w:pPr>
            <w:r w:rsidRPr="004837F5">
              <w:rPr>
                <w:rFonts w:ascii="Arial" w:hAnsi="Arial" w:cs="Arial"/>
                <w:sz w:val="16"/>
                <w:szCs w:val="16"/>
              </w:rPr>
              <w:t>Audits identifying non</w:t>
            </w:r>
            <w:r w:rsidR="003E7C79">
              <w:rPr>
                <w:rFonts w:ascii="Arial" w:hAnsi="Arial" w:cs="Arial"/>
                <w:sz w:val="16"/>
                <w:szCs w:val="16"/>
              </w:rPr>
              <w:t>–</w:t>
            </w:r>
            <w:r w:rsidRPr="004837F5">
              <w:rPr>
                <w:rFonts w:ascii="Arial" w:hAnsi="Arial" w:cs="Arial"/>
                <w:sz w:val="16"/>
                <w:szCs w:val="16"/>
              </w:rPr>
              <w:t>compliance*</w:t>
            </w:r>
          </w:p>
        </w:tc>
      </w:tr>
      <w:tr w:rsidR="00474BF6" w14:paraId="339846E1" w14:textId="77777777" w:rsidTr="00091F38">
        <w:trPr>
          <w:trHeight w:val="20"/>
        </w:trPr>
        <w:tc>
          <w:tcPr>
            <w:tcW w:w="1403" w:type="pct"/>
            <w:tcBorders>
              <w:top w:val="single" w:sz="4" w:space="0" w:color="auto"/>
            </w:tcBorders>
          </w:tcPr>
          <w:p w14:paraId="3FC428B1" w14:textId="7F6F684E" w:rsidR="00474BF6" w:rsidRPr="004837F5" w:rsidRDefault="00474BF6" w:rsidP="00E461C5">
            <w:pPr>
              <w:spacing w:after="0"/>
              <w:rPr>
                <w:rFonts w:ascii="Arial" w:hAnsi="Arial" w:cs="Arial"/>
                <w:sz w:val="16"/>
                <w:szCs w:val="16"/>
              </w:rPr>
            </w:pPr>
            <w:r w:rsidRPr="004837F5">
              <w:rPr>
                <w:rFonts w:ascii="Arial" w:hAnsi="Arial" w:cs="Arial"/>
                <w:sz w:val="16"/>
                <w:szCs w:val="16"/>
              </w:rPr>
              <w:t>Regulator Audit</w:t>
            </w:r>
          </w:p>
        </w:tc>
        <w:tc>
          <w:tcPr>
            <w:tcW w:w="660" w:type="pct"/>
            <w:tcBorders>
              <w:top w:val="single" w:sz="4" w:space="0" w:color="auto"/>
            </w:tcBorders>
            <w:vAlign w:val="bottom"/>
          </w:tcPr>
          <w:p w14:paraId="6359D362" w14:textId="02B69E06" w:rsidR="00474BF6" w:rsidRPr="004837F5" w:rsidRDefault="00A31616" w:rsidP="008E481C">
            <w:pPr>
              <w:spacing w:after="0" w:line="240" w:lineRule="auto"/>
              <w:jc w:val="right"/>
              <w:rPr>
                <w:rFonts w:ascii="Arial" w:hAnsi="Arial" w:cs="Arial"/>
                <w:sz w:val="16"/>
                <w:szCs w:val="16"/>
              </w:rPr>
            </w:pPr>
            <w:r>
              <w:rPr>
                <w:rFonts w:ascii="Arial" w:hAnsi="Arial" w:cs="Arial"/>
                <w:sz w:val="16"/>
                <w:szCs w:val="16"/>
              </w:rPr>
              <w:t>19</w:t>
            </w:r>
          </w:p>
        </w:tc>
        <w:tc>
          <w:tcPr>
            <w:tcW w:w="979" w:type="pct"/>
            <w:tcBorders>
              <w:top w:val="single" w:sz="4" w:space="0" w:color="auto"/>
            </w:tcBorders>
            <w:vAlign w:val="bottom"/>
          </w:tcPr>
          <w:p w14:paraId="080F4294" w14:textId="77777777" w:rsidR="00474BF6" w:rsidRPr="004837F5" w:rsidRDefault="00474BF6" w:rsidP="008E481C">
            <w:pPr>
              <w:spacing w:after="0" w:line="240" w:lineRule="auto"/>
              <w:jc w:val="right"/>
              <w:rPr>
                <w:rFonts w:ascii="Arial" w:hAnsi="Arial" w:cs="Arial"/>
                <w:sz w:val="16"/>
                <w:szCs w:val="16"/>
              </w:rPr>
            </w:pPr>
            <w:r w:rsidRPr="004837F5">
              <w:rPr>
                <w:rFonts w:ascii="Arial" w:hAnsi="Arial" w:cs="Arial"/>
                <w:sz w:val="16"/>
                <w:szCs w:val="16"/>
              </w:rPr>
              <w:t>4</w:t>
            </w:r>
          </w:p>
        </w:tc>
        <w:tc>
          <w:tcPr>
            <w:tcW w:w="979" w:type="pct"/>
            <w:tcBorders>
              <w:top w:val="single" w:sz="4" w:space="0" w:color="auto"/>
            </w:tcBorders>
            <w:shd w:val="clear" w:color="auto" w:fill="E1E8EB"/>
            <w:vAlign w:val="bottom"/>
          </w:tcPr>
          <w:p w14:paraId="4C79D16D" w14:textId="77777777" w:rsidR="00474BF6" w:rsidRPr="004837F5" w:rsidRDefault="00474BF6" w:rsidP="008E481C">
            <w:pPr>
              <w:spacing w:after="0" w:line="240" w:lineRule="auto"/>
              <w:jc w:val="right"/>
              <w:rPr>
                <w:rFonts w:ascii="Arial" w:hAnsi="Arial" w:cs="Arial"/>
                <w:sz w:val="16"/>
                <w:szCs w:val="16"/>
              </w:rPr>
            </w:pPr>
            <w:r w:rsidRPr="004837F5">
              <w:rPr>
                <w:rFonts w:ascii="Arial" w:hAnsi="Arial" w:cs="Arial"/>
                <w:sz w:val="16"/>
                <w:szCs w:val="16"/>
              </w:rPr>
              <w:t>7</w:t>
            </w:r>
          </w:p>
        </w:tc>
        <w:tc>
          <w:tcPr>
            <w:tcW w:w="978" w:type="pct"/>
            <w:tcBorders>
              <w:top w:val="single" w:sz="4" w:space="0" w:color="auto"/>
            </w:tcBorders>
            <w:shd w:val="clear" w:color="auto" w:fill="E1E8EB"/>
            <w:vAlign w:val="bottom"/>
          </w:tcPr>
          <w:p w14:paraId="78641C22" w14:textId="77777777" w:rsidR="00474BF6" w:rsidRPr="004837F5" w:rsidRDefault="00474BF6" w:rsidP="008E481C">
            <w:pPr>
              <w:spacing w:after="0" w:line="240" w:lineRule="auto"/>
              <w:jc w:val="right"/>
              <w:rPr>
                <w:rFonts w:ascii="Arial" w:hAnsi="Arial" w:cs="Arial"/>
                <w:sz w:val="16"/>
                <w:szCs w:val="16"/>
              </w:rPr>
            </w:pPr>
            <w:r w:rsidRPr="004837F5">
              <w:rPr>
                <w:rFonts w:ascii="Arial" w:hAnsi="Arial" w:cs="Arial"/>
                <w:sz w:val="16"/>
                <w:szCs w:val="16"/>
              </w:rPr>
              <w:t>2</w:t>
            </w:r>
          </w:p>
        </w:tc>
      </w:tr>
      <w:tr w:rsidR="00474BF6" w14:paraId="3213851F" w14:textId="77777777" w:rsidTr="00091F38">
        <w:trPr>
          <w:trHeight w:val="20"/>
        </w:trPr>
        <w:tc>
          <w:tcPr>
            <w:tcW w:w="1403" w:type="pct"/>
            <w:tcBorders>
              <w:bottom w:val="single" w:sz="4" w:space="0" w:color="auto"/>
            </w:tcBorders>
          </w:tcPr>
          <w:p w14:paraId="73E3E965" w14:textId="77777777" w:rsidR="00474BF6" w:rsidRPr="004837F5" w:rsidRDefault="00474BF6" w:rsidP="00E461C5">
            <w:pPr>
              <w:spacing w:after="0"/>
              <w:rPr>
                <w:rFonts w:ascii="Arial" w:hAnsi="Arial" w:cs="Arial"/>
                <w:sz w:val="16"/>
                <w:szCs w:val="16"/>
              </w:rPr>
            </w:pPr>
            <w:r w:rsidRPr="004837F5">
              <w:rPr>
                <w:rFonts w:ascii="Arial" w:hAnsi="Arial" w:cs="Arial"/>
                <w:sz w:val="16"/>
                <w:szCs w:val="16"/>
              </w:rPr>
              <w:t>Independent Audit</w:t>
            </w:r>
          </w:p>
        </w:tc>
        <w:tc>
          <w:tcPr>
            <w:tcW w:w="660" w:type="pct"/>
            <w:tcBorders>
              <w:bottom w:val="single" w:sz="4" w:space="0" w:color="auto"/>
            </w:tcBorders>
            <w:vAlign w:val="bottom"/>
          </w:tcPr>
          <w:p w14:paraId="097DC8B9" w14:textId="24F412EC" w:rsidR="00474BF6" w:rsidRPr="004837F5" w:rsidRDefault="00474BF6" w:rsidP="008E481C">
            <w:pPr>
              <w:spacing w:after="0" w:line="240" w:lineRule="auto"/>
              <w:jc w:val="right"/>
              <w:rPr>
                <w:rFonts w:ascii="Arial" w:hAnsi="Arial" w:cs="Arial"/>
                <w:sz w:val="16"/>
                <w:szCs w:val="16"/>
              </w:rPr>
            </w:pPr>
            <w:r w:rsidRPr="004837F5">
              <w:rPr>
                <w:rFonts w:ascii="Arial" w:hAnsi="Arial" w:cs="Arial"/>
                <w:sz w:val="16"/>
                <w:szCs w:val="16"/>
              </w:rPr>
              <w:t>5</w:t>
            </w:r>
          </w:p>
        </w:tc>
        <w:tc>
          <w:tcPr>
            <w:tcW w:w="979" w:type="pct"/>
            <w:tcBorders>
              <w:bottom w:val="single" w:sz="4" w:space="0" w:color="auto"/>
            </w:tcBorders>
            <w:vAlign w:val="bottom"/>
          </w:tcPr>
          <w:p w14:paraId="398A0C97" w14:textId="77777777" w:rsidR="00474BF6" w:rsidRPr="004837F5" w:rsidRDefault="00474BF6" w:rsidP="008E481C">
            <w:pPr>
              <w:spacing w:after="0" w:line="240" w:lineRule="auto"/>
              <w:jc w:val="right"/>
              <w:rPr>
                <w:rFonts w:ascii="Arial" w:hAnsi="Arial" w:cs="Arial"/>
                <w:sz w:val="16"/>
                <w:szCs w:val="16"/>
              </w:rPr>
            </w:pPr>
            <w:r w:rsidRPr="004837F5">
              <w:rPr>
                <w:rFonts w:ascii="Arial" w:hAnsi="Arial" w:cs="Arial"/>
                <w:sz w:val="16"/>
                <w:szCs w:val="16"/>
              </w:rPr>
              <w:t>4</w:t>
            </w:r>
          </w:p>
        </w:tc>
        <w:tc>
          <w:tcPr>
            <w:tcW w:w="979" w:type="pct"/>
            <w:tcBorders>
              <w:bottom w:val="single" w:sz="4" w:space="0" w:color="auto"/>
            </w:tcBorders>
            <w:shd w:val="clear" w:color="auto" w:fill="E1E8EB"/>
            <w:vAlign w:val="bottom"/>
          </w:tcPr>
          <w:p w14:paraId="0011DD38" w14:textId="4286B669" w:rsidR="00474BF6" w:rsidRPr="004837F5" w:rsidRDefault="00474BF6" w:rsidP="008E481C">
            <w:pPr>
              <w:spacing w:after="0" w:line="240" w:lineRule="auto"/>
              <w:jc w:val="right"/>
              <w:rPr>
                <w:rFonts w:ascii="Arial" w:hAnsi="Arial" w:cs="Arial"/>
                <w:sz w:val="16"/>
                <w:szCs w:val="16"/>
              </w:rPr>
            </w:pPr>
            <w:r w:rsidRPr="004837F5">
              <w:rPr>
                <w:rFonts w:ascii="Arial" w:hAnsi="Arial" w:cs="Arial"/>
                <w:sz w:val="16"/>
                <w:szCs w:val="16"/>
              </w:rPr>
              <w:t>11</w:t>
            </w:r>
          </w:p>
        </w:tc>
        <w:tc>
          <w:tcPr>
            <w:tcW w:w="978" w:type="pct"/>
            <w:tcBorders>
              <w:bottom w:val="single" w:sz="4" w:space="0" w:color="auto"/>
            </w:tcBorders>
            <w:shd w:val="clear" w:color="auto" w:fill="E1E8EB"/>
            <w:vAlign w:val="bottom"/>
          </w:tcPr>
          <w:p w14:paraId="48605116" w14:textId="77777777" w:rsidR="00474BF6" w:rsidRPr="004837F5" w:rsidRDefault="00474BF6" w:rsidP="008E481C">
            <w:pPr>
              <w:spacing w:after="0" w:line="240" w:lineRule="auto"/>
              <w:jc w:val="right"/>
              <w:rPr>
                <w:rFonts w:ascii="Arial" w:hAnsi="Arial" w:cs="Arial"/>
                <w:sz w:val="16"/>
                <w:szCs w:val="16"/>
              </w:rPr>
            </w:pPr>
            <w:r w:rsidRPr="004837F5">
              <w:rPr>
                <w:rFonts w:ascii="Arial" w:hAnsi="Arial" w:cs="Arial"/>
                <w:sz w:val="16"/>
                <w:szCs w:val="16"/>
              </w:rPr>
              <w:t>6</w:t>
            </w:r>
          </w:p>
        </w:tc>
      </w:tr>
    </w:tbl>
    <w:p w14:paraId="24B46B48" w14:textId="0FAADC8F" w:rsidR="004B1D8E" w:rsidRPr="0084246E" w:rsidRDefault="004B1D8E" w:rsidP="004B1D8E">
      <w:pPr>
        <w:pStyle w:val="ChartorTableNote"/>
        <w:rPr>
          <w:rFonts w:asciiTheme="minorHAnsi" w:hAnsiTheme="minorHAnsi" w:cstheme="minorHAnsi"/>
        </w:rPr>
      </w:pPr>
      <w:r w:rsidRPr="0084246E">
        <w:rPr>
          <w:rFonts w:asciiTheme="minorHAnsi" w:hAnsiTheme="minorHAnsi" w:cstheme="minorHAnsi"/>
        </w:rPr>
        <w:t xml:space="preserve">Before republishing this data or comparing between years, thoroughly review the methodological and data caveats in Appendix </w:t>
      </w:r>
      <w:r w:rsidR="0084246E" w:rsidRPr="0084246E">
        <w:rPr>
          <w:rFonts w:asciiTheme="minorHAnsi" w:hAnsiTheme="minorHAnsi" w:cstheme="minorHAnsi"/>
        </w:rPr>
        <w:t>B</w:t>
      </w:r>
      <w:r w:rsidRPr="0084246E">
        <w:rPr>
          <w:rFonts w:asciiTheme="minorHAnsi" w:hAnsiTheme="minorHAnsi" w:cstheme="minorHAnsi"/>
        </w:rPr>
        <w:t xml:space="preserve">. </w:t>
      </w:r>
    </w:p>
    <w:p w14:paraId="3884785B" w14:textId="77777777" w:rsidR="004B1D8E" w:rsidRPr="00BE298A" w:rsidRDefault="004B1D8E" w:rsidP="004B1D8E">
      <w:pPr>
        <w:pStyle w:val="ChartorTableNote"/>
        <w:rPr>
          <w:rFonts w:asciiTheme="minorHAnsi" w:hAnsiTheme="minorHAnsi" w:cstheme="minorHAnsi"/>
        </w:rPr>
      </w:pPr>
      <w:r w:rsidRPr="0084246E">
        <w:rPr>
          <w:rFonts w:asciiTheme="minorHAnsi" w:hAnsiTheme="minorHAnsi" w:cstheme="minorHAnsi"/>
        </w:rPr>
        <w:t>*No objection notifications or exemption certificates audited.</w:t>
      </w:r>
      <w:r>
        <w:rPr>
          <w:rFonts w:asciiTheme="minorHAnsi" w:hAnsiTheme="minorHAnsi" w:cstheme="minorHAnsi"/>
        </w:rPr>
        <w:t xml:space="preserve"> </w:t>
      </w:r>
    </w:p>
    <w:p w14:paraId="275674C2" w14:textId="308F0BF9" w:rsidR="00474BF6" w:rsidRDefault="00474BF6" w:rsidP="00C96FB5"/>
    <w:p w14:paraId="465C00FD" w14:textId="2FA56E5F" w:rsidR="002F4C81" w:rsidRDefault="00474BF6" w:rsidP="002F4C81">
      <w:pPr>
        <w:pStyle w:val="Heading4"/>
      </w:pPr>
      <w:r w:rsidRPr="004B1D8E">
        <w:lastRenderedPageBreak/>
        <w:t>Regulator audits</w:t>
      </w:r>
    </w:p>
    <w:p w14:paraId="3AC9F20C" w14:textId="32751C34" w:rsidR="00474BF6" w:rsidRPr="004B1D8E" w:rsidRDefault="00474BF6" w:rsidP="00091F38">
      <w:r w:rsidRPr="004B1D8E">
        <w:t>Regulator audits are Treasury</w:t>
      </w:r>
      <w:r w:rsidR="00065800">
        <w:noBreakHyphen/>
      </w:r>
      <w:r w:rsidRPr="004B1D8E">
        <w:t>led assurance assessments. In deciding which transactions should be the subject of a regulator audit, the following may be considered:</w:t>
      </w:r>
    </w:p>
    <w:p w14:paraId="70577958" w14:textId="1B47320C" w:rsidR="00474BF6" w:rsidRPr="004B1D8E" w:rsidRDefault="00474BF6" w:rsidP="00091F38">
      <w:pPr>
        <w:pStyle w:val="Bullet"/>
      </w:pPr>
      <w:r w:rsidRPr="004B1D8E">
        <w:t>whether conditions were imposed on an investment proposal and the nature of those conditions</w:t>
      </w:r>
    </w:p>
    <w:p w14:paraId="66D70DA4" w14:textId="62E11CF5" w:rsidR="00474BF6" w:rsidRPr="004B1D8E" w:rsidRDefault="00474BF6" w:rsidP="00091F38">
      <w:pPr>
        <w:pStyle w:val="Bullet"/>
      </w:pPr>
      <w:r w:rsidRPr="004B1D8E">
        <w:t>the sensitivity of the investment</w:t>
      </w:r>
    </w:p>
    <w:p w14:paraId="63334356" w14:textId="1557C304" w:rsidR="00474BF6" w:rsidRPr="004B1D8E" w:rsidRDefault="00474BF6" w:rsidP="00091F38">
      <w:pPr>
        <w:pStyle w:val="Bullet"/>
      </w:pPr>
      <w:r w:rsidRPr="004B1D8E">
        <w:t>previous audit history</w:t>
      </w:r>
    </w:p>
    <w:p w14:paraId="40AB36A0" w14:textId="7120DF28" w:rsidR="00474BF6" w:rsidRPr="004B1D8E" w:rsidRDefault="00474BF6" w:rsidP="00091F38">
      <w:pPr>
        <w:pStyle w:val="Bullet"/>
      </w:pPr>
      <w:r w:rsidRPr="004B1D8E">
        <w:t>intelligence referrals</w:t>
      </w:r>
    </w:p>
    <w:p w14:paraId="035B5FB0" w14:textId="3B667EDD" w:rsidR="00474BF6" w:rsidRDefault="00474BF6" w:rsidP="00474BF6">
      <w:pPr>
        <w:rPr>
          <w:color w:val="auto"/>
        </w:rPr>
      </w:pPr>
      <w:r w:rsidRPr="004B1D8E">
        <w:rPr>
          <w:color w:val="auto"/>
        </w:rPr>
        <w:t xml:space="preserve">The Treasury completed seven regulator audits in the reporting period, with two in progress as </w:t>
      </w:r>
      <w:proofErr w:type="gramStart"/>
      <w:r w:rsidRPr="004B1D8E">
        <w:rPr>
          <w:color w:val="auto"/>
        </w:rPr>
        <w:t>at</w:t>
      </w:r>
      <w:proofErr w:type="gramEnd"/>
      <w:r w:rsidRPr="004B1D8E">
        <w:rPr>
          <w:color w:val="auto"/>
        </w:rPr>
        <w:t xml:space="preserve"> 30 June 2021. </w:t>
      </w:r>
    </w:p>
    <w:p w14:paraId="2831A593" w14:textId="3D8327BD" w:rsidR="00A31616" w:rsidRDefault="00A31616" w:rsidP="00091F38">
      <w:r w:rsidRPr="001800C6">
        <w:t>The downward trend in regulator audit numbers was driven by difficulties associated with recruiting and on</w:t>
      </w:r>
      <w:r w:rsidR="003E7C79">
        <w:t>–</w:t>
      </w:r>
      <w:r w:rsidRPr="001800C6">
        <w:t>b</w:t>
      </w:r>
      <w:r w:rsidR="00807E6A">
        <w:t>o</w:t>
      </w:r>
      <w:r w:rsidRPr="001800C6">
        <w:t xml:space="preserve">arding staff during </w:t>
      </w:r>
      <w:r w:rsidR="00776645">
        <w:t>COVID-19</w:t>
      </w:r>
      <w:r w:rsidRPr="001800C6">
        <w:t>, the diversion of available resources towards managing and maturing the growing condition</w:t>
      </w:r>
      <w:r w:rsidR="003E7C79">
        <w:t>–</w:t>
      </w:r>
      <w:r w:rsidRPr="001800C6">
        <w:t>mandated independent audit program, a change in the delivery model of regulator audits to an in</w:t>
      </w:r>
      <w:r w:rsidR="003E7C79">
        <w:t>–</w:t>
      </w:r>
      <w:r w:rsidRPr="001800C6">
        <w:t>house program (previously outsourced under contract which concluded in expectation of an earlier increase in Treasury staff), and the ongoing capability</w:t>
      </w:r>
      <w:r w:rsidR="004944D1">
        <w:t xml:space="preserve"> </w:t>
      </w:r>
      <w:r w:rsidRPr="001800C6">
        <w:t>building of Treasury audit staff.</w:t>
      </w:r>
    </w:p>
    <w:p w14:paraId="63839DC1" w14:textId="4E92F02A" w:rsidR="002F4C81" w:rsidRDefault="00474BF6" w:rsidP="00091F38">
      <w:pPr>
        <w:pStyle w:val="Heading4"/>
      </w:pPr>
      <w:r w:rsidRPr="004B1D8E">
        <w:t>Condition</w:t>
      </w:r>
      <w:r w:rsidR="003E7C79">
        <w:t>–</w:t>
      </w:r>
      <w:r w:rsidRPr="004B1D8E">
        <w:t xml:space="preserve">mandated </w:t>
      </w:r>
      <w:r w:rsidRPr="00091F38">
        <w:t>independent</w:t>
      </w:r>
      <w:r w:rsidRPr="004B1D8E">
        <w:t xml:space="preserve"> audits</w:t>
      </w:r>
    </w:p>
    <w:p w14:paraId="637281F5" w14:textId="6F750D91" w:rsidR="00474BF6" w:rsidRDefault="00474BF6" w:rsidP="004B1D8E">
      <w:pPr>
        <w:jc w:val="left"/>
      </w:pPr>
      <w:r w:rsidRPr="004A3225">
        <w:t>Condition</w:t>
      </w:r>
      <w:r w:rsidR="003E7C79">
        <w:t>–</w:t>
      </w:r>
      <w:r w:rsidRPr="004A3225">
        <w:t xml:space="preserve">mandated independent audits </w:t>
      </w:r>
      <w:r>
        <w:t>are periodic audits required as a condition on a no objection notification or</w:t>
      </w:r>
      <w:r w:rsidR="00E25874">
        <w:t xml:space="preserve"> EC</w:t>
      </w:r>
      <w:r>
        <w:t>. A condition mandating an independent audit is imposed where the investment is particularly high risk or high value, or otherwise sensitive, and a greater degree of compliance oversight is deemed necessary</w:t>
      </w:r>
      <w:r w:rsidRPr="006A12E5">
        <w:t>.</w:t>
      </w:r>
      <w:r w:rsidRPr="002B2141">
        <w:t xml:space="preserve"> The report is prepared by an independent audit firm</w:t>
      </w:r>
      <w:r>
        <w:t xml:space="preserve"> approved by the Treasury</w:t>
      </w:r>
      <w:r w:rsidRPr="002B2141">
        <w:t xml:space="preserve">, </w:t>
      </w:r>
      <w:r>
        <w:t xml:space="preserve">is </w:t>
      </w:r>
      <w:r w:rsidRPr="002B2141">
        <w:t>based on the financial year cycle</w:t>
      </w:r>
      <w:r>
        <w:t>,</w:t>
      </w:r>
      <w:r w:rsidRPr="002B2141">
        <w:t xml:space="preserve"> and is conducted to </w:t>
      </w:r>
      <w:r>
        <w:t>a</w:t>
      </w:r>
      <w:r w:rsidRPr="002B2141">
        <w:t xml:space="preserve"> relevant Australian standard</w:t>
      </w:r>
      <w:r>
        <w:t xml:space="preserve"> and Treasury</w:t>
      </w:r>
      <w:r w:rsidR="003E7C79">
        <w:t>–</w:t>
      </w:r>
      <w:r>
        <w:t>approved assurance level</w:t>
      </w:r>
      <w:r w:rsidRPr="002B2141">
        <w:t>.</w:t>
      </w:r>
    </w:p>
    <w:p w14:paraId="29D75CA8" w14:textId="11DBE0D1" w:rsidR="0083345E" w:rsidRDefault="00474BF6" w:rsidP="0083345E">
      <w:pPr>
        <w:spacing w:after="0"/>
      </w:pPr>
      <w:r>
        <w:t>During the reporting period, 11 independent audits were completed. On 30</w:t>
      </w:r>
      <w:r w:rsidR="002440F7">
        <w:t> </w:t>
      </w:r>
      <w:r>
        <w:t>June</w:t>
      </w:r>
      <w:r w:rsidR="002440F7">
        <w:t> </w:t>
      </w:r>
      <w:r>
        <w:t>2021, an additional 13 audits were in the final stages of completion and 14 were in progress, which represents a significant increase in the Treasury</w:t>
      </w:r>
      <w:r w:rsidR="00065800">
        <w:t>’</w:t>
      </w:r>
      <w:r>
        <w:t>s audit coverage.</w:t>
      </w:r>
    </w:p>
    <w:p w14:paraId="78ECC8B4" w14:textId="78FECD4F" w:rsidR="0083345E" w:rsidRPr="0083345E" w:rsidRDefault="00474BF6" w:rsidP="0083345E">
      <w:pPr>
        <w:pStyle w:val="Heading4"/>
        <w:rPr>
          <w:rFonts w:eastAsiaTheme="minorHAnsi"/>
          <w:lang w:eastAsia="en-US"/>
        </w:rPr>
      </w:pPr>
      <w:bookmarkStart w:id="205" w:name="_Toc87014333"/>
      <w:bookmarkStart w:id="206" w:name="_Toc89851718"/>
      <w:bookmarkStart w:id="207" w:name="_Toc89872894"/>
      <w:bookmarkStart w:id="208" w:name="_Toc89872941"/>
      <w:r w:rsidRPr="00A91410">
        <w:rPr>
          <w:rFonts w:eastAsiaTheme="minorHAnsi"/>
          <w:lang w:eastAsia="en-US"/>
        </w:rPr>
        <w:t>Reviews</w:t>
      </w:r>
      <w:bookmarkEnd w:id="205"/>
      <w:bookmarkEnd w:id="206"/>
      <w:bookmarkEnd w:id="207"/>
      <w:bookmarkEnd w:id="208"/>
    </w:p>
    <w:p w14:paraId="39E97451" w14:textId="19EED2F4" w:rsidR="00474BF6" w:rsidRDefault="00474BF6" w:rsidP="00474BF6">
      <w:r>
        <w:t>Reviews by the Treasury of potential non</w:t>
      </w:r>
      <w:r w:rsidR="003E7C79">
        <w:t>–</w:t>
      </w:r>
      <w:r>
        <w:t xml:space="preserve">compliance </w:t>
      </w:r>
      <w:proofErr w:type="gramStart"/>
      <w:r>
        <w:t>are</w:t>
      </w:r>
      <w:proofErr w:type="gramEnd"/>
      <w:r>
        <w:t xml:space="preserve"> often triggered by information received from members of the public regarding suspected breaches of the Act by investors. Investor notifications are also reviewed when they indicate non</w:t>
      </w:r>
      <w:r w:rsidR="003E7C79">
        <w:t>–</w:t>
      </w:r>
      <w:r>
        <w:t>compliance with the</w:t>
      </w:r>
      <w:r w:rsidR="00C96FB5">
        <w:t> </w:t>
      </w:r>
      <w:r>
        <w:t xml:space="preserve">Act. </w:t>
      </w:r>
    </w:p>
    <w:p w14:paraId="4C201580" w14:textId="520BEFDD" w:rsidR="00474BF6" w:rsidRDefault="004B1D8E" w:rsidP="00091F38">
      <w:r>
        <w:t>During the reporting period, a total of 91 instances of potential non</w:t>
      </w:r>
      <w:r w:rsidR="003E7C79">
        <w:t>–</w:t>
      </w:r>
      <w:r>
        <w:t xml:space="preserve">compliance </w:t>
      </w:r>
      <w:proofErr w:type="gramStart"/>
      <w:r>
        <w:t>were</w:t>
      </w:r>
      <w:proofErr w:type="gramEnd"/>
      <w:r>
        <w:t xml:space="preserve"> reported or identified with assessments being finalised for 74 of the instances</w:t>
      </w:r>
      <w:r w:rsidR="00065800">
        <w:t xml:space="preserve">. </w:t>
      </w:r>
      <w:r>
        <w:t xml:space="preserve">Contraventions of the Act </w:t>
      </w:r>
      <w:r>
        <w:lastRenderedPageBreak/>
        <w:t>were identified in 51 of the instances. Compliance action was taken by the Treasury in</w:t>
      </w:r>
      <w:r w:rsidR="003E7C79">
        <w:t>–</w:t>
      </w:r>
      <w:r>
        <w:t xml:space="preserve">line with the </w:t>
      </w:r>
      <w:r w:rsidR="00E25874">
        <w:t xml:space="preserve">Foreign Investment </w:t>
      </w:r>
      <w:r>
        <w:t>Compliance Framework,</w:t>
      </w:r>
      <w:r w:rsidR="00474BF6">
        <w:t xml:space="preserve"> and included:</w:t>
      </w:r>
    </w:p>
    <w:p w14:paraId="05E5B3AF" w14:textId="151E00EA" w:rsidR="00474BF6" w:rsidRDefault="00474BF6" w:rsidP="00091F38">
      <w:pPr>
        <w:pStyle w:val="Bullet"/>
      </w:pPr>
      <w:r>
        <w:t xml:space="preserve">warning letters sent to the investor </w:t>
      </w:r>
    </w:p>
    <w:p w14:paraId="582AEE6E" w14:textId="3B15BC64" w:rsidR="00474BF6" w:rsidRDefault="00474BF6" w:rsidP="00091F38">
      <w:pPr>
        <w:pStyle w:val="Bullet"/>
      </w:pPr>
      <w:r>
        <w:t>investors remediating by submitting a notification for assessment</w:t>
      </w:r>
      <w:r w:rsidR="00E25874">
        <w:t>,</w:t>
      </w:r>
      <w:r>
        <w:t xml:space="preserve"> and/or</w:t>
      </w:r>
    </w:p>
    <w:p w14:paraId="394F3F88" w14:textId="4A6683A6" w:rsidR="00972DA3" w:rsidRDefault="00474BF6" w:rsidP="00091F38">
      <w:pPr>
        <w:pStyle w:val="Bullet"/>
      </w:pPr>
      <w:r>
        <w:t>increased monitoring and surveillance.</w:t>
      </w:r>
    </w:p>
    <w:p w14:paraId="11894045" w14:textId="583DD8E0" w:rsidR="009812FE" w:rsidRPr="00091F38" w:rsidRDefault="009812FE" w:rsidP="00091F38">
      <w:pPr>
        <w:pStyle w:val="TableMainHeading"/>
      </w:pPr>
      <w:bookmarkStart w:id="209" w:name="_Toc89939957"/>
      <w:r w:rsidRPr="00091F38">
        <w:t xml:space="preserve">Table </w:t>
      </w:r>
      <w:fldSimple w:instr=" STYLEREF 1 \s ">
        <w:r w:rsidR="0019342F">
          <w:rPr>
            <w:noProof/>
          </w:rPr>
          <w:t>4</w:t>
        </w:r>
      </w:fldSimple>
      <w:r w:rsidRPr="00091F38">
        <w:t>.</w:t>
      </w:r>
      <w:fldSimple w:instr=" SEQ Table \* ARABIC \s 1 ">
        <w:r w:rsidR="0019342F">
          <w:rPr>
            <w:noProof/>
          </w:rPr>
          <w:t>2</w:t>
        </w:r>
      </w:fldSimple>
      <w:r w:rsidRPr="00091F38">
        <w:t>: Assessment of potential non</w:t>
      </w:r>
      <w:r w:rsidR="003E7C79" w:rsidRPr="00091F38">
        <w:t>–</w:t>
      </w:r>
      <w:r w:rsidRPr="00091F38">
        <w:t xml:space="preserve">compliance, </w:t>
      </w:r>
      <w:r w:rsidR="00D76ED2" w:rsidRPr="00091F38">
        <w:t>2020</w:t>
      </w:r>
      <w:r w:rsidR="00D76ED2" w:rsidRPr="00091F38">
        <w:noBreakHyphen/>
        <w:t>21</w:t>
      </w:r>
      <w:bookmarkEnd w:id="209"/>
    </w:p>
    <w:tbl>
      <w:tblPr>
        <w:tblW w:w="5000" w:type="pct"/>
        <w:tblCellMar>
          <w:left w:w="0" w:type="dxa"/>
          <w:right w:w="0" w:type="dxa"/>
        </w:tblCellMar>
        <w:tblLook w:val="04A0" w:firstRow="1" w:lastRow="0" w:firstColumn="1" w:lastColumn="0" w:noHBand="0" w:noVBand="1"/>
      </w:tblPr>
      <w:tblGrid>
        <w:gridCol w:w="1582"/>
        <w:gridCol w:w="1493"/>
        <w:gridCol w:w="1349"/>
        <w:gridCol w:w="1919"/>
        <w:gridCol w:w="1367"/>
      </w:tblGrid>
      <w:tr w:rsidR="00474BF6" w:rsidRPr="00AF640D" w14:paraId="6932BA7D" w14:textId="77777777" w:rsidTr="00CA5106">
        <w:trPr>
          <w:trHeight w:val="345"/>
        </w:trPr>
        <w:tc>
          <w:tcPr>
            <w:tcW w:w="1026" w:type="pct"/>
            <w:tcBorders>
              <w:top w:val="single" w:sz="4" w:space="0" w:color="auto"/>
              <w:bottom w:val="single" w:sz="4" w:space="0" w:color="auto"/>
            </w:tcBorders>
            <w:shd w:val="clear" w:color="auto" w:fill="auto"/>
            <w:noWrap/>
            <w:tcMar>
              <w:top w:w="0" w:type="dxa"/>
              <w:left w:w="108" w:type="dxa"/>
              <w:bottom w:w="0" w:type="dxa"/>
              <w:right w:w="108" w:type="dxa"/>
            </w:tcMar>
            <w:vAlign w:val="bottom"/>
            <w:hideMark/>
          </w:tcPr>
          <w:p w14:paraId="4DCDBE48" w14:textId="77777777" w:rsidR="00474BF6" w:rsidRPr="00972DA3" w:rsidRDefault="00474BF6" w:rsidP="00972DA3">
            <w:pPr>
              <w:spacing w:after="0"/>
              <w:rPr>
                <w:rFonts w:ascii="Arial" w:hAnsi="Arial" w:cs="Arial"/>
                <w:sz w:val="16"/>
                <w:szCs w:val="16"/>
              </w:rPr>
            </w:pPr>
            <w:r w:rsidRPr="00972DA3">
              <w:rPr>
                <w:rFonts w:ascii="Arial" w:hAnsi="Arial" w:cs="Arial"/>
                <w:sz w:val="16"/>
                <w:szCs w:val="16"/>
              </w:rPr>
              <w:t xml:space="preserve">Information source </w:t>
            </w:r>
          </w:p>
        </w:tc>
        <w:tc>
          <w:tcPr>
            <w:tcW w:w="968" w:type="pct"/>
            <w:tcBorders>
              <w:top w:val="single" w:sz="4" w:space="0" w:color="auto"/>
              <w:bottom w:val="single" w:sz="4" w:space="0" w:color="auto"/>
            </w:tcBorders>
            <w:shd w:val="clear" w:color="auto" w:fill="auto"/>
            <w:noWrap/>
            <w:tcMar>
              <w:top w:w="0" w:type="dxa"/>
              <w:left w:w="108" w:type="dxa"/>
              <w:bottom w:w="0" w:type="dxa"/>
              <w:right w:w="108" w:type="dxa"/>
            </w:tcMar>
            <w:vAlign w:val="bottom"/>
            <w:hideMark/>
          </w:tcPr>
          <w:p w14:paraId="6909A8A6" w14:textId="77777777" w:rsidR="00474BF6" w:rsidRPr="00972DA3" w:rsidRDefault="00474BF6" w:rsidP="00972DA3">
            <w:pPr>
              <w:spacing w:after="0"/>
              <w:jc w:val="right"/>
              <w:rPr>
                <w:rFonts w:ascii="Arial" w:hAnsi="Arial" w:cs="Arial"/>
                <w:sz w:val="16"/>
                <w:szCs w:val="16"/>
              </w:rPr>
            </w:pPr>
            <w:r w:rsidRPr="00972DA3">
              <w:rPr>
                <w:rFonts w:ascii="Arial" w:hAnsi="Arial" w:cs="Arial"/>
                <w:sz w:val="16"/>
                <w:szCs w:val="16"/>
              </w:rPr>
              <w:t>No contravention identified</w:t>
            </w:r>
          </w:p>
        </w:tc>
        <w:tc>
          <w:tcPr>
            <w:tcW w:w="875" w:type="pct"/>
            <w:tcBorders>
              <w:top w:val="single" w:sz="4" w:space="0" w:color="auto"/>
              <w:bottom w:val="single" w:sz="4" w:space="0" w:color="auto"/>
            </w:tcBorders>
            <w:shd w:val="clear" w:color="auto" w:fill="auto"/>
            <w:noWrap/>
            <w:tcMar>
              <w:top w:w="0" w:type="dxa"/>
              <w:left w:w="108" w:type="dxa"/>
              <w:bottom w:w="0" w:type="dxa"/>
              <w:right w:w="108" w:type="dxa"/>
            </w:tcMar>
            <w:vAlign w:val="bottom"/>
            <w:hideMark/>
          </w:tcPr>
          <w:p w14:paraId="3297C6A4" w14:textId="77777777" w:rsidR="00474BF6" w:rsidRPr="00972DA3" w:rsidRDefault="00474BF6" w:rsidP="00972DA3">
            <w:pPr>
              <w:spacing w:after="0"/>
              <w:jc w:val="right"/>
              <w:rPr>
                <w:rFonts w:ascii="Arial" w:hAnsi="Arial" w:cs="Arial"/>
                <w:sz w:val="16"/>
                <w:szCs w:val="16"/>
              </w:rPr>
            </w:pPr>
            <w:r w:rsidRPr="00972DA3">
              <w:rPr>
                <w:rFonts w:ascii="Arial" w:hAnsi="Arial" w:cs="Arial"/>
                <w:sz w:val="16"/>
                <w:szCs w:val="16"/>
              </w:rPr>
              <w:t>Contravention identified</w:t>
            </w:r>
          </w:p>
        </w:tc>
        <w:tc>
          <w:tcPr>
            <w:tcW w:w="1244" w:type="pct"/>
            <w:tcBorders>
              <w:top w:val="single" w:sz="4" w:space="0" w:color="auto"/>
              <w:bottom w:val="single" w:sz="4" w:space="0" w:color="auto"/>
            </w:tcBorders>
            <w:shd w:val="clear" w:color="auto" w:fill="auto"/>
            <w:noWrap/>
            <w:tcMar>
              <w:top w:w="0" w:type="dxa"/>
              <w:left w:w="108" w:type="dxa"/>
              <w:bottom w:w="0" w:type="dxa"/>
              <w:right w:w="108" w:type="dxa"/>
            </w:tcMar>
            <w:vAlign w:val="bottom"/>
            <w:hideMark/>
          </w:tcPr>
          <w:p w14:paraId="03AC4F5C" w14:textId="77777777" w:rsidR="00474BF6" w:rsidRPr="00972DA3" w:rsidRDefault="00474BF6" w:rsidP="00972DA3">
            <w:pPr>
              <w:spacing w:after="0"/>
              <w:jc w:val="right"/>
              <w:rPr>
                <w:rFonts w:ascii="Arial" w:hAnsi="Arial" w:cs="Arial"/>
                <w:sz w:val="16"/>
                <w:szCs w:val="16"/>
              </w:rPr>
            </w:pPr>
            <w:r w:rsidRPr="00972DA3">
              <w:rPr>
                <w:rFonts w:ascii="Arial" w:hAnsi="Arial" w:cs="Arial"/>
                <w:sz w:val="16"/>
                <w:szCs w:val="16"/>
              </w:rPr>
              <w:t xml:space="preserve">Under assessment </w:t>
            </w:r>
            <w:proofErr w:type="gramStart"/>
            <w:r w:rsidRPr="00972DA3">
              <w:rPr>
                <w:rFonts w:ascii="Arial" w:hAnsi="Arial" w:cs="Arial"/>
                <w:sz w:val="16"/>
                <w:szCs w:val="16"/>
              </w:rPr>
              <w:t>at</w:t>
            </w:r>
            <w:proofErr w:type="gramEnd"/>
            <w:r w:rsidRPr="00972DA3">
              <w:rPr>
                <w:rFonts w:ascii="Arial" w:hAnsi="Arial" w:cs="Arial"/>
                <w:sz w:val="16"/>
                <w:szCs w:val="16"/>
              </w:rPr>
              <w:t xml:space="preserve"> 30 June 2021</w:t>
            </w:r>
          </w:p>
        </w:tc>
        <w:tc>
          <w:tcPr>
            <w:tcW w:w="887" w:type="pct"/>
            <w:tcBorders>
              <w:top w:val="single" w:sz="4" w:space="0" w:color="auto"/>
              <w:bottom w:val="single" w:sz="4" w:space="0" w:color="auto"/>
            </w:tcBorders>
            <w:shd w:val="clear" w:color="auto" w:fill="E1E8EB"/>
            <w:noWrap/>
            <w:tcMar>
              <w:top w:w="0" w:type="dxa"/>
              <w:left w:w="108" w:type="dxa"/>
              <w:bottom w:w="0" w:type="dxa"/>
              <w:right w:w="108" w:type="dxa"/>
            </w:tcMar>
            <w:vAlign w:val="bottom"/>
            <w:hideMark/>
          </w:tcPr>
          <w:p w14:paraId="046D1E5E" w14:textId="4DAFDFC6" w:rsidR="00474BF6" w:rsidRPr="00972DA3" w:rsidRDefault="00474BF6" w:rsidP="00972DA3">
            <w:pPr>
              <w:spacing w:after="0"/>
              <w:jc w:val="right"/>
              <w:rPr>
                <w:rFonts w:ascii="Arial" w:hAnsi="Arial" w:cs="Arial"/>
                <w:b/>
                <w:sz w:val="16"/>
                <w:szCs w:val="16"/>
              </w:rPr>
            </w:pPr>
            <w:r w:rsidRPr="00972DA3">
              <w:rPr>
                <w:rFonts w:ascii="Arial" w:hAnsi="Arial" w:cs="Arial"/>
                <w:b/>
                <w:sz w:val="16"/>
                <w:szCs w:val="16"/>
              </w:rPr>
              <w:t xml:space="preserve">Total received </w:t>
            </w:r>
            <w:r w:rsidR="00D76ED2">
              <w:rPr>
                <w:rFonts w:ascii="Arial" w:hAnsi="Arial" w:cs="Arial"/>
                <w:b/>
                <w:sz w:val="16"/>
                <w:szCs w:val="16"/>
              </w:rPr>
              <w:t>2020</w:t>
            </w:r>
            <w:r w:rsidR="00D76ED2">
              <w:rPr>
                <w:rFonts w:ascii="Arial" w:hAnsi="Arial" w:cs="Arial"/>
                <w:b/>
                <w:sz w:val="16"/>
                <w:szCs w:val="16"/>
              </w:rPr>
              <w:noBreakHyphen/>
              <w:t>21</w:t>
            </w:r>
          </w:p>
        </w:tc>
      </w:tr>
      <w:tr w:rsidR="004B1D8E" w:rsidRPr="00AF640D" w14:paraId="039F6F29" w14:textId="77777777" w:rsidTr="00CA5106">
        <w:trPr>
          <w:trHeight w:val="345"/>
        </w:trPr>
        <w:tc>
          <w:tcPr>
            <w:tcW w:w="1026" w:type="pct"/>
            <w:tcBorders>
              <w:top w:val="single" w:sz="4" w:space="0" w:color="auto"/>
            </w:tcBorders>
            <w:shd w:val="clear" w:color="auto" w:fill="auto"/>
            <w:noWrap/>
            <w:tcMar>
              <w:top w:w="0" w:type="dxa"/>
              <w:left w:w="108" w:type="dxa"/>
              <w:bottom w:w="0" w:type="dxa"/>
              <w:right w:w="108" w:type="dxa"/>
            </w:tcMar>
            <w:vAlign w:val="bottom"/>
            <w:hideMark/>
          </w:tcPr>
          <w:p w14:paraId="5A292C0B" w14:textId="77777777" w:rsidR="004B1D8E" w:rsidRPr="00972DA3" w:rsidRDefault="004B1D8E" w:rsidP="00972DA3">
            <w:pPr>
              <w:spacing w:after="0"/>
              <w:jc w:val="left"/>
              <w:rPr>
                <w:rFonts w:ascii="Arial" w:hAnsi="Arial" w:cs="Arial"/>
                <w:sz w:val="16"/>
                <w:szCs w:val="16"/>
              </w:rPr>
            </w:pPr>
            <w:r w:rsidRPr="00972DA3">
              <w:rPr>
                <w:rFonts w:ascii="Arial" w:hAnsi="Arial" w:cs="Arial"/>
                <w:sz w:val="16"/>
                <w:szCs w:val="16"/>
              </w:rPr>
              <w:t>Report from the public*</w:t>
            </w:r>
          </w:p>
        </w:tc>
        <w:tc>
          <w:tcPr>
            <w:tcW w:w="968" w:type="pct"/>
            <w:tcBorders>
              <w:top w:val="single" w:sz="4" w:space="0" w:color="auto"/>
            </w:tcBorders>
            <w:noWrap/>
            <w:tcMar>
              <w:top w:w="0" w:type="dxa"/>
              <w:left w:w="108" w:type="dxa"/>
              <w:bottom w:w="0" w:type="dxa"/>
              <w:right w:w="108" w:type="dxa"/>
            </w:tcMar>
            <w:vAlign w:val="bottom"/>
            <w:hideMark/>
          </w:tcPr>
          <w:p w14:paraId="788B8BA4" w14:textId="19F91531" w:rsidR="004B1D8E" w:rsidRPr="00972DA3" w:rsidRDefault="004B1D8E" w:rsidP="00972DA3">
            <w:pPr>
              <w:spacing w:after="0"/>
              <w:jc w:val="right"/>
              <w:rPr>
                <w:rFonts w:ascii="Arial" w:hAnsi="Arial" w:cs="Arial"/>
                <w:sz w:val="16"/>
                <w:szCs w:val="16"/>
              </w:rPr>
            </w:pPr>
            <w:r w:rsidRPr="00972DA3">
              <w:rPr>
                <w:rFonts w:ascii="Arial" w:hAnsi="Arial" w:cs="Arial"/>
                <w:sz w:val="16"/>
                <w:szCs w:val="16"/>
              </w:rPr>
              <w:t>21</w:t>
            </w:r>
          </w:p>
        </w:tc>
        <w:tc>
          <w:tcPr>
            <w:tcW w:w="875" w:type="pct"/>
            <w:tcBorders>
              <w:top w:val="single" w:sz="4" w:space="0" w:color="auto"/>
            </w:tcBorders>
            <w:noWrap/>
            <w:tcMar>
              <w:top w:w="0" w:type="dxa"/>
              <w:left w:w="108" w:type="dxa"/>
              <w:bottom w:w="0" w:type="dxa"/>
              <w:right w:w="108" w:type="dxa"/>
            </w:tcMar>
            <w:vAlign w:val="bottom"/>
            <w:hideMark/>
          </w:tcPr>
          <w:p w14:paraId="1C791721" w14:textId="70D509FB" w:rsidR="004B1D8E" w:rsidRPr="00972DA3" w:rsidRDefault="004B1D8E" w:rsidP="00972DA3">
            <w:pPr>
              <w:spacing w:after="0"/>
              <w:jc w:val="right"/>
              <w:rPr>
                <w:rFonts w:ascii="Arial" w:hAnsi="Arial" w:cs="Arial"/>
                <w:sz w:val="16"/>
                <w:szCs w:val="16"/>
              </w:rPr>
            </w:pPr>
            <w:r w:rsidRPr="00972DA3">
              <w:rPr>
                <w:rFonts w:ascii="Arial" w:hAnsi="Arial" w:cs="Arial"/>
                <w:sz w:val="16"/>
                <w:szCs w:val="16"/>
              </w:rPr>
              <w:t>45 </w:t>
            </w:r>
          </w:p>
        </w:tc>
        <w:tc>
          <w:tcPr>
            <w:tcW w:w="1244" w:type="pct"/>
            <w:tcBorders>
              <w:top w:val="single" w:sz="4" w:space="0" w:color="auto"/>
            </w:tcBorders>
            <w:noWrap/>
            <w:tcMar>
              <w:top w:w="0" w:type="dxa"/>
              <w:left w:w="108" w:type="dxa"/>
              <w:bottom w:w="0" w:type="dxa"/>
              <w:right w:w="108" w:type="dxa"/>
            </w:tcMar>
            <w:vAlign w:val="bottom"/>
            <w:hideMark/>
          </w:tcPr>
          <w:p w14:paraId="6C790CE6" w14:textId="37ECDA4B" w:rsidR="004B1D8E" w:rsidRPr="00972DA3" w:rsidRDefault="004B1D8E" w:rsidP="00972DA3">
            <w:pPr>
              <w:spacing w:after="0"/>
              <w:jc w:val="right"/>
              <w:rPr>
                <w:rFonts w:ascii="Arial" w:hAnsi="Arial" w:cs="Arial"/>
                <w:sz w:val="16"/>
                <w:szCs w:val="16"/>
              </w:rPr>
            </w:pPr>
            <w:r w:rsidRPr="00972DA3">
              <w:rPr>
                <w:rFonts w:ascii="Arial" w:hAnsi="Arial" w:cs="Arial"/>
                <w:sz w:val="16"/>
                <w:szCs w:val="16"/>
              </w:rPr>
              <w:t>9</w:t>
            </w:r>
          </w:p>
        </w:tc>
        <w:tc>
          <w:tcPr>
            <w:tcW w:w="887" w:type="pct"/>
            <w:tcBorders>
              <w:top w:val="single" w:sz="4" w:space="0" w:color="auto"/>
            </w:tcBorders>
            <w:shd w:val="clear" w:color="auto" w:fill="E1E8EB"/>
            <w:noWrap/>
            <w:tcMar>
              <w:top w:w="0" w:type="dxa"/>
              <w:left w:w="108" w:type="dxa"/>
              <w:bottom w:w="0" w:type="dxa"/>
              <w:right w:w="108" w:type="dxa"/>
            </w:tcMar>
            <w:vAlign w:val="bottom"/>
            <w:hideMark/>
          </w:tcPr>
          <w:p w14:paraId="7AF0D16E" w14:textId="147F4FAF" w:rsidR="004B1D8E" w:rsidRPr="00972DA3" w:rsidRDefault="004B1D8E" w:rsidP="00972DA3">
            <w:pPr>
              <w:spacing w:after="0"/>
              <w:jc w:val="right"/>
              <w:rPr>
                <w:rFonts w:ascii="Arial" w:hAnsi="Arial" w:cs="Arial"/>
                <w:b/>
                <w:sz w:val="16"/>
                <w:szCs w:val="16"/>
              </w:rPr>
            </w:pPr>
            <w:r w:rsidRPr="00972DA3">
              <w:rPr>
                <w:rFonts w:ascii="Arial" w:hAnsi="Arial" w:cs="Arial"/>
                <w:b/>
                <w:sz w:val="16"/>
                <w:szCs w:val="16"/>
              </w:rPr>
              <w:t>75</w:t>
            </w:r>
          </w:p>
        </w:tc>
      </w:tr>
      <w:tr w:rsidR="004B1D8E" w:rsidRPr="00AF640D" w14:paraId="658ABCAF" w14:textId="77777777" w:rsidTr="00CA5106">
        <w:trPr>
          <w:trHeight w:val="345"/>
        </w:trPr>
        <w:tc>
          <w:tcPr>
            <w:tcW w:w="1026" w:type="pct"/>
            <w:shd w:val="clear" w:color="auto" w:fill="auto"/>
            <w:noWrap/>
            <w:tcMar>
              <w:top w:w="0" w:type="dxa"/>
              <w:left w:w="108" w:type="dxa"/>
              <w:bottom w:w="0" w:type="dxa"/>
              <w:right w:w="108" w:type="dxa"/>
            </w:tcMar>
            <w:vAlign w:val="bottom"/>
            <w:hideMark/>
          </w:tcPr>
          <w:p w14:paraId="167837A9" w14:textId="77777777" w:rsidR="004B1D8E" w:rsidRPr="00972DA3" w:rsidRDefault="004B1D8E" w:rsidP="00972DA3">
            <w:pPr>
              <w:spacing w:after="0"/>
              <w:jc w:val="left"/>
              <w:rPr>
                <w:rFonts w:ascii="Arial" w:hAnsi="Arial" w:cs="Arial"/>
                <w:sz w:val="16"/>
                <w:szCs w:val="16"/>
              </w:rPr>
            </w:pPr>
            <w:r w:rsidRPr="00972DA3">
              <w:rPr>
                <w:rFonts w:ascii="Arial" w:hAnsi="Arial" w:cs="Arial"/>
                <w:sz w:val="16"/>
                <w:szCs w:val="16"/>
              </w:rPr>
              <w:t>Identified from other sources</w:t>
            </w:r>
          </w:p>
        </w:tc>
        <w:tc>
          <w:tcPr>
            <w:tcW w:w="968" w:type="pct"/>
            <w:noWrap/>
            <w:tcMar>
              <w:top w:w="0" w:type="dxa"/>
              <w:left w:w="108" w:type="dxa"/>
              <w:bottom w:w="0" w:type="dxa"/>
              <w:right w:w="108" w:type="dxa"/>
            </w:tcMar>
            <w:vAlign w:val="bottom"/>
            <w:hideMark/>
          </w:tcPr>
          <w:p w14:paraId="1CFC17FA" w14:textId="03AEAE4E" w:rsidR="004B1D8E" w:rsidRPr="00972DA3" w:rsidRDefault="004B1D8E" w:rsidP="00972DA3">
            <w:pPr>
              <w:spacing w:after="0"/>
              <w:jc w:val="right"/>
              <w:rPr>
                <w:rFonts w:ascii="Arial" w:hAnsi="Arial" w:cs="Arial"/>
                <w:sz w:val="16"/>
                <w:szCs w:val="16"/>
              </w:rPr>
            </w:pPr>
            <w:r w:rsidRPr="00972DA3">
              <w:rPr>
                <w:rFonts w:ascii="Arial" w:hAnsi="Arial" w:cs="Arial"/>
                <w:sz w:val="16"/>
                <w:szCs w:val="16"/>
              </w:rPr>
              <w:t>1</w:t>
            </w:r>
          </w:p>
        </w:tc>
        <w:tc>
          <w:tcPr>
            <w:tcW w:w="875" w:type="pct"/>
            <w:noWrap/>
            <w:tcMar>
              <w:top w:w="0" w:type="dxa"/>
              <w:left w:w="108" w:type="dxa"/>
              <w:bottom w:w="0" w:type="dxa"/>
              <w:right w:w="108" w:type="dxa"/>
            </w:tcMar>
            <w:vAlign w:val="bottom"/>
            <w:hideMark/>
          </w:tcPr>
          <w:p w14:paraId="0E309389" w14:textId="4EFEA71B" w:rsidR="004B1D8E" w:rsidRPr="00972DA3" w:rsidRDefault="004B1D8E" w:rsidP="00972DA3">
            <w:pPr>
              <w:spacing w:after="0"/>
              <w:jc w:val="right"/>
              <w:rPr>
                <w:rFonts w:ascii="Arial" w:hAnsi="Arial" w:cs="Arial"/>
                <w:sz w:val="16"/>
                <w:szCs w:val="16"/>
              </w:rPr>
            </w:pPr>
            <w:r w:rsidRPr="00972DA3">
              <w:rPr>
                <w:rFonts w:ascii="Arial" w:hAnsi="Arial" w:cs="Arial"/>
                <w:sz w:val="16"/>
                <w:szCs w:val="16"/>
              </w:rPr>
              <w:t>0</w:t>
            </w:r>
          </w:p>
        </w:tc>
        <w:tc>
          <w:tcPr>
            <w:tcW w:w="1244" w:type="pct"/>
            <w:noWrap/>
            <w:tcMar>
              <w:top w:w="0" w:type="dxa"/>
              <w:left w:w="108" w:type="dxa"/>
              <w:bottom w:w="0" w:type="dxa"/>
              <w:right w:w="108" w:type="dxa"/>
            </w:tcMar>
            <w:vAlign w:val="bottom"/>
            <w:hideMark/>
          </w:tcPr>
          <w:p w14:paraId="7898ADB5" w14:textId="1A5DA8C7" w:rsidR="004B1D8E" w:rsidRPr="00972DA3" w:rsidRDefault="004B1D8E" w:rsidP="00972DA3">
            <w:pPr>
              <w:spacing w:after="0"/>
              <w:jc w:val="right"/>
              <w:rPr>
                <w:rFonts w:ascii="Arial" w:hAnsi="Arial" w:cs="Arial"/>
                <w:sz w:val="16"/>
                <w:szCs w:val="16"/>
              </w:rPr>
            </w:pPr>
            <w:r w:rsidRPr="00972DA3">
              <w:rPr>
                <w:rFonts w:ascii="Arial" w:hAnsi="Arial" w:cs="Arial"/>
                <w:sz w:val="16"/>
                <w:szCs w:val="16"/>
              </w:rPr>
              <w:t>1</w:t>
            </w:r>
          </w:p>
        </w:tc>
        <w:tc>
          <w:tcPr>
            <w:tcW w:w="887" w:type="pct"/>
            <w:shd w:val="clear" w:color="auto" w:fill="E1E8EB"/>
            <w:noWrap/>
            <w:tcMar>
              <w:top w:w="0" w:type="dxa"/>
              <w:left w:w="108" w:type="dxa"/>
              <w:bottom w:w="0" w:type="dxa"/>
              <w:right w:w="108" w:type="dxa"/>
            </w:tcMar>
            <w:vAlign w:val="bottom"/>
            <w:hideMark/>
          </w:tcPr>
          <w:p w14:paraId="144CE8C6" w14:textId="16209856" w:rsidR="004B1D8E" w:rsidRPr="00972DA3" w:rsidRDefault="004B1D8E" w:rsidP="00972DA3">
            <w:pPr>
              <w:spacing w:after="0"/>
              <w:jc w:val="right"/>
              <w:rPr>
                <w:rFonts w:ascii="Arial" w:hAnsi="Arial" w:cs="Arial"/>
                <w:b/>
                <w:sz w:val="16"/>
                <w:szCs w:val="16"/>
              </w:rPr>
            </w:pPr>
            <w:r w:rsidRPr="00972DA3">
              <w:rPr>
                <w:rFonts w:ascii="Arial" w:hAnsi="Arial" w:cs="Arial"/>
                <w:b/>
                <w:sz w:val="16"/>
                <w:szCs w:val="16"/>
              </w:rPr>
              <w:t>2</w:t>
            </w:r>
          </w:p>
        </w:tc>
      </w:tr>
      <w:tr w:rsidR="004B1D8E" w14:paraId="226F0D45" w14:textId="77777777" w:rsidTr="00CA5106">
        <w:trPr>
          <w:trHeight w:val="345"/>
        </w:trPr>
        <w:tc>
          <w:tcPr>
            <w:tcW w:w="1026" w:type="pct"/>
            <w:tcBorders>
              <w:bottom w:val="single" w:sz="4" w:space="0" w:color="auto"/>
            </w:tcBorders>
            <w:shd w:val="clear" w:color="auto" w:fill="auto"/>
            <w:noWrap/>
            <w:tcMar>
              <w:top w:w="0" w:type="dxa"/>
              <w:left w:w="108" w:type="dxa"/>
              <w:bottom w:w="0" w:type="dxa"/>
              <w:right w:w="108" w:type="dxa"/>
            </w:tcMar>
            <w:vAlign w:val="bottom"/>
            <w:hideMark/>
          </w:tcPr>
          <w:p w14:paraId="16756DBA" w14:textId="77777777" w:rsidR="004B1D8E" w:rsidRPr="00972DA3" w:rsidRDefault="004B1D8E" w:rsidP="00972DA3">
            <w:pPr>
              <w:spacing w:after="0"/>
              <w:jc w:val="left"/>
              <w:rPr>
                <w:rFonts w:ascii="Arial" w:hAnsi="Arial" w:cs="Arial"/>
                <w:sz w:val="16"/>
                <w:szCs w:val="16"/>
              </w:rPr>
            </w:pPr>
            <w:r w:rsidRPr="00972DA3">
              <w:rPr>
                <w:rFonts w:ascii="Arial" w:hAnsi="Arial" w:cs="Arial"/>
                <w:sz w:val="16"/>
                <w:szCs w:val="16"/>
              </w:rPr>
              <w:t>Internal referral</w:t>
            </w:r>
          </w:p>
        </w:tc>
        <w:tc>
          <w:tcPr>
            <w:tcW w:w="968" w:type="pct"/>
            <w:tcBorders>
              <w:bottom w:val="single" w:sz="4" w:space="0" w:color="auto"/>
            </w:tcBorders>
            <w:noWrap/>
            <w:tcMar>
              <w:top w:w="0" w:type="dxa"/>
              <w:left w:w="108" w:type="dxa"/>
              <w:bottom w:w="0" w:type="dxa"/>
              <w:right w:w="108" w:type="dxa"/>
            </w:tcMar>
            <w:vAlign w:val="bottom"/>
            <w:hideMark/>
          </w:tcPr>
          <w:p w14:paraId="31FF3E7B" w14:textId="7B80DE00" w:rsidR="004B1D8E" w:rsidRPr="00972DA3" w:rsidRDefault="004B1D8E" w:rsidP="00972DA3">
            <w:pPr>
              <w:spacing w:after="0"/>
              <w:jc w:val="right"/>
              <w:rPr>
                <w:rFonts w:ascii="Arial" w:hAnsi="Arial" w:cs="Arial"/>
                <w:sz w:val="16"/>
                <w:szCs w:val="16"/>
              </w:rPr>
            </w:pPr>
            <w:r w:rsidRPr="00972DA3">
              <w:rPr>
                <w:rFonts w:ascii="Arial" w:hAnsi="Arial" w:cs="Arial"/>
                <w:sz w:val="16"/>
                <w:szCs w:val="16"/>
              </w:rPr>
              <w:t>1</w:t>
            </w:r>
          </w:p>
        </w:tc>
        <w:tc>
          <w:tcPr>
            <w:tcW w:w="875" w:type="pct"/>
            <w:tcBorders>
              <w:bottom w:val="single" w:sz="4" w:space="0" w:color="auto"/>
            </w:tcBorders>
            <w:noWrap/>
            <w:tcMar>
              <w:top w:w="0" w:type="dxa"/>
              <w:left w:w="108" w:type="dxa"/>
              <w:bottom w:w="0" w:type="dxa"/>
              <w:right w:w="108" w:type="dxa"/>
            </w:tcMar>
            <w:vAlign w:val="bottom"/>
            <w:hideMark/>
          </w:tcPr>
          <w:p w14:paraId="280CBA38" w14:textId="3C9066AB" w:rsidR="004B1D8E" w:rsidRPr="00972DA3" w:rsidRDefault="004B1D8E" w:rsidP="00972DA3">
            <w:pPr>
              <w:spacing w:after="0"/>
              <w:jc w:val="right"/>
              <w:rPr>
                <w:rFonts w:ascii="Arial" w:hAnsi="Arial" w:cs="Arial"/>
                <w:sz w:val="16"/>
                <w:szCs w:val="16"/>
              </w:rPr>
            </w:pPr>
            <w:r w:rsidRPr="00972DA3">
              <w:rPr>
                <w:rFonts w:ascii="Arial" w:hAnsi="Arial" w:cs="Arial"/>
                <w:sz w:val="16"/>
                <w:szCs w:val="16"/>
              </w:rPr>
              <w:t>6</w:t>
            </w:r>
          </w:p>
        </w:tc>
        <w:tc>
          <w:tcPr>
            <w:tcW w:w="1244" w:type="pct"/>
            <w:tcBorders>
              <w:bottom w:val="single" w:sz="4" w:space="0" w:color="auto"/>
            </w:tcBorders>
            <w:noWrap/>
            <w:tcMar>
              <w:top w:w="0" w:type="dxa"/>
              <w:left w:w="108" w:type="dxa"/>
              <w:bottom w:w="0" w:type="dxa"/>
              <w:right w:w="108" w:type="dxa"/>
            </w:tcMar>
            <w:vAlign w:val="bottom"/>
            <w:hideMark/>
          </w:tcPr>
          <w:p w14:paraId="0B50BF67" w14:textId="0ABF8677" w:rsidR="004B1D8E" w:rsidRPr="00972DA3" w:rsidRDefault="004B1D8E" w:rsidP="00972DA3">
            <w:pPr>
              <w:spacing w:after="0"/>
              <w:jc w:val="right"/>
              <w:rPr>
                <w:rFonts w:ascii="Arial" w:hAnsi="Arial" w:cs="Arial"/>
                <w:sz w:val="16"/>
                <w:szCs w:val="16"/>
              </w:rPr>
            </w:pPr>
            <w:r w:rsidRPr="00972DA3">
              <w:rPr>
                <w:rFonts w:ascii="Arial" w:hAnsi="Arial" w:cs="Arial"/>
                <w:sz w:val="16"/>
                <w:szCs w:val="16"/>
              </w:rPr>
              <w:t>7</w:t>
            </w:r>
          </w:p>
        </w:tc>
        <w:tc>
          <w:tcPr>
            <w:tcW w:w="887" w:type="pct"/>
            <w:tcBorders>
              <w:bottom w:val="single" w:sz="4" w:space="0" w:color="auto"/>
            </w:tcBorders>
            <w:shd w:val="clear" w:color="auto" w:fill="E1E8EB"/>
            <w:noWrap/>
            <w:tcMar>
              <w:top w:w="0" w:type="dxa"/>
              <w:left w:w="108" w:type="dxa"/>
              <w:bottom w:w="0" w:type="dxa"/>
              <w:right w:w="108" w:type="dxa"/>
            </w:tcMar>
            <w:vAlign w:val="bottom"/>
            <w:hideMark/>
          </w:tcPr>
          <w:p w14:paraId="33CB89B7" w14:textId="70963C9F" w:rsidR="004B1D8E" w:rsidRPr="00972DA3" w:rsidRDefault="004B1D8E" w:rsidP="00972DA3">
            <w:pPr>
              <w:spacing w:after="0"/>
              <w:jc w:val="right"/>
              <w:rPr>
                <w:rFonts w:ascii="Arial" w:hAnsi="Arial" w:cs="Arial"/>
                <w:b/>
                <w:sz w:val="16"/>
                <w:szCs w:val="16"/>
              </w:rPr>
            </w:pPr>
            <w:r w:rsidRPr="00972DA3">
              <w:rPr>
                <w:rFonts w:ascii="Arial" w:hAnsi="Arial" w:cs="Arial"/>
                <w:b/>
                <w:sz w:val="16"/>
                <w:szCs w:val="16"/>
              </w:rPr>
              <w:t>14</w:t>
            </w:r>
          </w:p>
        </w:tc>
      </w:tr>
    </w:tbl>
    <w:p w14:paraId="78412A56" w14:textId="3DB24A57" w:rsidR="004B1D8E" w:rsidRDefault="004B1D8E" w:rsidP="004B1D8E">
      <w:pPr>
        <w:pStyle w:val="ChartorTableNote"/>
        <w:rPr>
          <w:rFonts w:asciiTheme="minorHAnsi" w:hAnsiTheme="minorHAnsi" w:cstheme="minorHAnsi"/>
        </w:rPr>
      </w:pPr>
      <w:r w:rsidRPr="009E77E7">
        <w:rPr>
          <w:rFonts w:asciiTheme="minorHAnsi" w:hAnsiTheme="minorHAnsi" w:cstheme="minorHAnsi"/>
        </w:rPr>
        <w:t xml:space="preserve">Before republishing this data or comparing between years, thoroughly review the methodological and data caveats in </w:t>
      </w:r>
      <w:r w:rsidRPr="0084246E">
        <w:rPr>
          <w:rFonts w:asciiTheme="minorHAnsi" w:hAnsiTheme="minorHAnsi" w:cstheme="minorHAnsi"/>
        </w:rPr>
        <w:t xml:space="preserve">Appendix </w:t>
      </w:r>
      <w:r w:rsidR="0084246E" w:rsidRPr="0084246E">
        <w:rPr>
          <w:rFonts w:asciiTheme="minorHAnsi" w:hAnsiTheme="minorHAnsi" w:cstheme="minorHAnsi"/>
        </w:rPr>
        <w:t>B</w:t>
      </w:r>
      <w:r w:rsidRPr="0084246E">
        <w:rPr>
          <w:rFonts w:asciiTheme="minorHAnsi" w:hAnsiTheme="minorHAnsi" w:cstheme="minorHAnsi"/>
        </w:rPr>
        <w:t>.</w:t>
      </w:r>
    </w:p>
    <w:p w14:paraId="77021F13" w14:textId="247AE491" w:rsidR="004B1D8E" w:rsidRDefault="004B1D8E" w:rsidP="004B1D8E">
      <w:pPr>
        <w:pStyle w:val="ChartorTableNote"/>
        <w:rPr>
          <w:rFonts w:asciiTheme="minorHAnsi" w:hAnsiTheme="minorHAnsi" w:cstheme="minorHAnsi"/>
        </w:rPr>
      </w:pPr>
      <w:r>
        <w:rPr>
          <w:rFonts w:asciiTheme="minorHAnsi" w:hAnsiTheme="minorHAnsi" w:cstheme="minorHAnsi"/>
        </w:rPr>
        <w:t>*including self</w:t>
      </w:r>
      <w:r w:rsidR="003E7C79">
        <w:rPr>
          <w:rFonts w:asciiTheme="minorHAnsi" w:hAnsiTheme="minorHAnsi" w:cstheme="minorHAnsi"/>
        </w:rPr>
        <w:t>–</w:t>
      </w:r>
      <w:r>
        <w:rPr>
          <w:rFonts w:asciiTheme="minorHAnsi" w:hAnsiTheme="minorHAnsi" w:cstheme="minorHAnsi"/>
        </w:rPr>
        <w:t xml:space="preserve">reports and retrospective notifications received from investors. </w:t>
      </w:r>
    </w:p>
    <w:p w14:paraId="5A206A3C" w14:textId="77777777" w:rsidR="00474BF6" w:rsidRPr="009F1F1A" w:rsidRDefault="00474BF6" w:rsidP="0083345E">
      <w:pPr>
        <w:pStyle w:val="Heading4"/>
        <w:rPr>
          <w:rFonts w:eastAsiaTheme="minorHAnsi"/>
          <w:lang w:eastAsia="en-US"/>
        </w:rPr>
      </w:pPr>
      <w:bookmarkStart w:id="210" w:name="_Toc87014334"/>
      <w:bookmarkStart w:id="211" w:name="_Toc89851719"/>
      <w:bookmarkStart w:id="212" w:name="_Toc89872895"/>
      <w:bookmarkStart w:id="213" w:name="_Toc89872942"/>
      <w:r w:rsidRPr="009F1F1A">
        <w:rPr>
          <w:rFonts w:eastAsiaTheme="minorHAnsi"/>
          <w:lang w:eastAsia="en-US"/>
        </w:rPr>
        <w:t>Compliance monitoring</w:t>
      </w:r>
      <w:bookmarkEnd w:id="210"/>
      <w:bookmarkEnd w:id="211"/>
      <w:bookmarkEnd w:id="212"/>
      <w:bookmarkEnd w:id="213"/>
      <w:r w:rsidRPr="009F1F1A">
        <w:rPr>
          <w:rFonts w:eastAsiaTheme="minorHAnsi"/>
          <w:lang w:eastAsia="en-US"/>
        </w:rPr>
        <w:t xml:space="preserve"> </w:t>
      </w:r>
    </w:p>
    <w:p w14:paraId="2898737D" w14:textId="78079A66" w:rsidR="00474BF6" w:rsidRPr="009F1F1A" w:rsidRDefault="00474BF6" w:rsidP="00091F38">
      <w:r w:rsidRPr="009F1F1A">
        <w:t>Ongoing monitoring of compliance may include investors being requested to report on their compliance with the conditions imposed on their no objection notifications. These reports provide the Treasury with information regarding the level of compliance and provide information about how compliance activities could be targeted in the future. Investor reporting to the Treasury also includes reports made under the new statutory reporting obligations which commenced on 1</w:t>
      </w:r>
      <w:r w:rsidR="00CA3337">
        <w:t> </w:t>
      </w:r>
      <w:r w:rsidRPr="009F1F1A">
        <w:t>January</w:t>
      </w:r>
      <w:r w:rsidR="00CA3337">
        <w:t> </w:t>
      </w:r>
      <w:r w:rsidRPr="009F1F1A">
        <w:t xml:space="preserve">2021. </w:t>
      </w:r>
    </w:p>
    <w:p w14:paraId="7B934744" w14:textId="77777777" w:rsidR="00474BF6" w:rsidRPr="009F1F1A" w:rsidRDefault="00474BF6" w:rsidP="00091F38">
      <w:r w:rsidRPr="009F1F1A">
        <w:t xml:space="preserve">The Treasury also conducts its own compliance reviews as part of regular monitoring efforts to proactively monitor investor compliance with conditions. </w:t>
      </w:r>
    </w:p>
    <w:p w14:paraId="6294B6B6" w14:textId="132BC51F" w:rsidR="0083345E" w:rsidRDefault="00474BF6" w:rsidP="0083345E">
      <w:pPr>
        <w:pStyle w:val="Heading4"/>
      </w:pPr>
      <w:r w:rsidRPr="009F1F1A">
        <w:t>Condition</w:t>
      </w:r>
      <w:r w:rsidR="003E7C79">
        <w:t>–</w:t>
      </w:r>
      <w:r w:rsidRPr="009F1F1A">
        <w:t>mandated reporting</w:t>
      </w:r>
    </w:p>
    <w:p w14:paraId="5C21F922" w14:textId="7E7ED3EA" w:rsidR="00474BF6" w:rsidRDefault="00474BF6" w:rsidP="00091F38">
      <w:r w:rsidRPr="009F1F1A">
        <w:rPr>
          <w:color w:val="auto"/>
        </w:rPr>
        <w:t xml:space="preserve">In cases where the Treasury has imposed </w:t>
      </w:r>
      <w:r w:rsidRPr="00C16AF0">
        <w:t xml:space="preserve">reporting conditions on an acquisition, the investor </w:t>
      </w:r>
      <w:r>
        <w:t>is</w:t>
      </w:r>
      <w:r w:rsidRPr="00C16AF0">
        <w:t xml:space="preserve"> required to submit </w:t>
      </w:r>
      <w:r>
        <w:t xml:space="preserve">an investor report detailing </w:t>
      </w:r>
      <w:r w:rsidRPr="00C16AF0">
        <w:t>information and evidence which demonstrates their compliance</w:t>
      </w:r>
      <w:r>
        <w:t>.</w:t>
      </w:r>
      <w:r w:rsidRPr="00C16AF0" w:rsidDel="009F1BD1">
        <w:t xml:space="preserve"> </w:t>
      </w:r>
      <w:r w:rsidRPr="00C16AF0">
        <w:t>A</w:t>
      </w:r>
      <w:r w:rsidR="00004EE5">
        <w:t xml:space="preserve">n </w:t>
      </w:r>
      <w:r w:rsidRPr="00C16AF0">
        <w:t xml:space="preserve">investor may be required to submit more than one type of report for the same investment. If there are concerns regarding the quality, timeliness or comprehensiveness of the report, </w:t>
      </w:r>
      <w:r>
        <w:t xml:space="preserve">the Treasury </w:t>
      </w:r>
      <w:r w:rsidRPr="00C16AF0">
        <w:t>request</w:t>
      </w:r>
      <w:r>
        <w:t>s</w:t>
      </w:r>
      <w:r w:rsidRPr="00C16AF0">
        <w:t xml:space="preserve"> further information from the investor. </w:t>
      </w:r>
    </w:p>
    <w:p w14:paraId="7D7EEC91" w14:textId="76312069" w:rsidR="0050028B" w:rsidRDefault="00474BF6" w:rsidP="00474BF6">
      <w:pPr>
        <w:keepNext/>
      </w:pPr>
      <w:r>
        <w:t>In the reporting period, the Treasury received 1,676 condition</w:t>
      </w:r>
      <w:r w:rsidR="003E7C79">
        <w:t>–</w:t>
      </w:r>
      <w:r>
        <w:t>mandated reports</w:t>
      </w:r>
      <w:r w:rsidR="0083345E">
        <w:t xml:space="preserve"> (see</w:t>
      </w:r>
      <w:r w:rsidR="00CA3337">
        <w:t> </w:t>
      </w:r>
      <w:r w:rsidR="0083345E">
        <w:t>Table</w:t>
      </w:r>
      <w:r w:rsidR="00CA3337">
        <w:t> </w:t>
      </w:r>
      <w:r w:rsidR="0083345E">
        <w:t>4.3)</w:t>
      </w:r>
      <w:r>
        <w:t xml:space="preserve">. </w:t>
      </w:r>
    </w:p>
    <w:p w14:paraId="55B559A6" w14:textId="77777777" w:rsidR="0050028B" w:rsidRDefault="0050028B">
      <w:pPr>
        <w:spacing w:after="0" w:line="240" w:lineRule="auto"/>
        <w:jc w:val="left"/>
      </w:pPr>
      <w:r>
        <w:br w:type="page"/>
      </w:r>
    </w:p>
    <w:p w14:paraId="4F293855" w14:textId="130C8952" w:rsidR="009812FE" w:rsidRPr="00091F38" w:rsidRDefault="009812FE" w:rsidP="00091F38">
      <w:pPr>
        <w:pStyle w:val="TableMainHeading"/>
      </w:pPr>
      <w:bookmarkStart w:id="214" w:name="_Toc89939958"/>
      <w:r w:rsidRPr="00091F38">
        <w:lastRenderedPageBreak/>
        <w:t xml:space="preserve">Table </w:t>
      </w:r>
      <w:fldSimple w:instr=" STYLEREF 1 \s ">
        <w:r w:rsidR="0019342F">
          <w:rPr>
            <w:noProof/>
          </w:rPr>
          <w:t>4</w:t>
        </w:r>
      </w:fldSimple>
      <w:r w:rsidRPr="00091F38">
        <w:t>.</w:t>
      </w:r>
      <w:fldSimple w:instr=" SEQ Table \* ARABIC \s 1 ">
        <w:r w:rsidR="0019342F">
          <w:rPr>
            <w:noProof/>
          </w:rPr>
          <w:t>3</w:t>
        </w:r>
      </w:fldSimple>
      <w:r w:rsidRPr="00091F38">
        <w:t xml:space="preserve">: Condition mandated reporting, </w:t>
      </w:r>
      <w:r w:rsidR="00D76ED2" w:rsidRPr="00091F38">
        <w:t>2020</w:t>
      </w:r>
      <w:r w:rsidR="00D76ED2" w:rsidRPr="00091F38">
        <w:noBreakHyphen/>
        <w:t>21</w:t>
      </w:r>
      <w:bookmarkEnd w:id="214"/>
    </w:p>
    <w:tbl>
      <w:tblPr>
        <w:tblW w:w="5000" w:type="pct"/>
        <w:tblLayout w:type="fixed"/>
        <w:tblCellMar>
          <w:left w:w="0" w:type="dxa"/>
          <w:right w:w="0" w:type="dxa"/>
        </w:tblCellMar>
        <w:tblLook w:val="04A0" w:firstRow="1" w:lastRow="0" w:firstColumn="1" w:lastColumn="0" w:noHBand="0" w:noVBand="1"/>
      </w:tblPr>
      <w:tblGrid>
        <w:gridCol w:w="6095"/>
        <w:gridCol w:w="426"/>
        <w:gridCol w:w="1189"/>
      </w:tblGrid>
      <w:tr w:rsidR="00B555C1" w:rsidRPr="005A3AD7" w14:paraId="3FEC5C44" w14:textId="77777777" w:rsidTr="00091F38">
        <w:trPr>
          <w:trHeight w:val="64"/>
        </w:trPr>
        <w:tc>
          <w:tcPr>
            <w:tcW w:w="4229" w:type="pct"/>
            <w:gridSpan w:val="2"/>
            <w:tcBorders>
              <w:top w:val="single" w:sz="4" w:space="0" w:color="auto"/>
            </w:tcBorders>
            <w:shd w:val="clear" w:color="auto" w:fill="auto"/>
            <w:noWrap/>
            <w:tcMar>
              <w:top w:w="0" w:type="dxa"/>
              <w:left w:w="108" w:type="dxa"/>
              <w:bottom w:w="0" w:type="dxa"/>
              <w:right w:w="108" w:type="dxa"/>
            </w:tcMar>
            <w:vAlign w:val="bottom"/>
          </w:tcPr>
          <w:p w14:paraId="0D1FFBA7" w14:textId="77777777" w:rsidR="00B555C1" w:rsidRPr="00C14814" w:rsidRDefault="00B555C1" w:rsidP="002208AD">
            <w:pPr>
              <w:spacing w:after="0"/>
              <w:jc w:val="left"/>
              <w:rPr>
                <w:rFonts w:ascii="Arial" w:hAnsi="Arial" w:cs="Arial"/>
                <w:sz w:val="16"/>
                <w:szCs w:val="16"/>
              </w:rPr>
            </w:pPr>
          </w:p>
        </w:tc>
        <w:tc>
          <w:tcPr>
            <w:tcW w:w="771" w:type="pct"/>
            <w:tcBorders>
              <w:top w:val="single" w:sz="4" w:space="0" w:color="auto"/>
            </w:tcBorders>
            <w:shd w:val="clear" w:color="auto" w:fill="E1E8EB"/>
            <w:noWrap/>
            <w:tcMar>
              <w:top w:w="0" w:type="dxa"/>
              <w:left w:w="108" w:type="dxa"/>
              <w:bottom w:w="0" w:type="dxa"/>
              <w:right w:w="108" w:type="dxa"/>
            </w:tcMar>
            <w:vAlign w:val="bottom"/>
          </w:tcPr>
          <w:p w14:paraId="1F05E344" w14:textId="47A65A49" w:rsidR="00B555C1" w:rsidRPr="00C14814" w:rsidRDefault="00D76ED2" w:rsidP="002208AD">
            <w:pPr>
              <w:spacing w:after="0"/>
              <w:jc w:val="center"/>
              <w:rPr>
                <w:rFonts w:ascii="Arial" w:hAnsi="Arial" w:cs="Arial"/>
                <w:sz w:val="16"/>
                <w:szCs w:val="16"/>
              </w:rPr>
            </w:pPr>
            <w:r>
              <w:rPr>
                <w:rFonts w:ascii="Arial" w:hAnsi="Arial" w:cs="Arial"/>
                <w:sz w:val="16"/>
                <w:szCs w:val="16"/>
              </w:rPr>
              <w:t>2020</w:t>
            </w:r>
            <w:r>
              <w:rPr>
                <w:rFonts w:ascii="Arial" w:hAnsi="Arial" w:cs="Arial"/>
                <w:sz w:val="16"/>
                <w:szCs w:val="16"/>
              </w:rPr>
              <w:noBreakHyphen/>
              <w:t>21</w:t>
            </w:r>
          </w:p>
        </w:tc>
      </w:tr>
      <w:tr w:rsidR="00474BF6" w:rsidRPr="005A3AD7" w14:paraId="46C6CEDB" w14:textId="77777777" w:rsidTr="00091F38">
        <w:trPr>
          <w:trHeight w:val="268"/>
        </w:trPr>
        <w:tc>
          <w:tcPr>
            <w:tcW w:w="4229" w:type="pct"/>
            <w:gridSpan w:val="2"/>
            <w:tcBorders>
              <w:bottom w:val="single" w:sz="4" w:space="0" w:color="auto"/>
            </w:tcBorders>
            <w:shd w:val="clear" w:color="auto" w:fill="auto"/>
            <w:noWrap/>
            <w:tcMar>
              <w:top w:w="0" w:type="dxa"/>
              <w:left w:w="108" w:type="dxa"/>
              <w:bottom w:w="0" w:type="dxa"/>
              <w:right w:w="108" w:type="dxa"/>
            </w:tcMar>
            <w:vAlign w:val="bottom"/>
            <w:hideMark/>
          </w:tcPr>
          <w:p w14:paraId="4D6E0FD1" w14:textId="2CF6E0CE" w:rsidR="00474BF6" w:rsidRPr="00C14814" w:rsidRDefault="00474BF6" w:rsidP="002208AD">
            <w:pPr>
              <w:spacing w:after="0"/>
              <w:jc w:val="left"/>
              <w:rPr>
                <w:rFonts w:ascii="Arial" w:hAnsi="Arial" w:cs="Arial"/>
                <w:sz w:val="16"/>
                <w:szCs w:val="16"/>
              </w:rPr>
            </w:pPr>
            <w:r>
              <w:rPr>
                <w:rFonts w:ascii="Arial" w:hAnsi="Arial" w:cs="Arial"/>
                <w:sz w:val="16"/>
                <w:szCs w:val="16"/>
              </w:rPr>
              <w:t>I</w:t>
            </w:r>
            <w:r w:rsidRPr="00C14814">
              <w:rPr>
                <w:rFonts w:ascii="Arial" w:hAnsi="Arial" w:cs="Arial"/>
                <w:sz w:val="16"/>
                <w:szCs w:val="16"/>
              </w:rPr>
              <w:t>nvestor report in relation to</w:t>
            </w:r>
          </w:p>
        </w:tc>
        <w:tc>
          <w:tcPr>
            <w:tcW w:w="771" w:type="pct"/>
            <w:tcBorders>
              <w:bottom w:val="single" w:sz="4" w:space="0" w:color="auto"/>
            </w:tcBorders>
            <w:shd w:val="clear" w:color="auto" w:fill="E1E8EB"/>
            <w:noWrap/>
            <w:tcMar>
              <w:top w:w="0" w:type="dxa"/>
              <w:left w:w="108" w:type="dxa"/>
              <w:bottom w:w="0" w:type="dxa"/>
              <w:right w:w="108" w:type="dxa"/>
            </w:tcMar>
            <w:vAlign w:val="bottom"/>
            <w:hideMark/>
          </w:tcPr>
          <w:p w14:paraId="1261A36A" w14:textId="3EBE2873" w:rsidR="00474BF6" w:rsidRPr="00C14814" w:rsidRDefault="00FD5A47" w:rsidP="00E461C5">
            <w:pPr>
              <w:spacing w:after="0"/>
              <w:jc w:val="right"/>
              <w:rPr>
                <w:rFonts w:ascii="Arial" w:hAnsi="Arial" w:cs="Arial"/>
                <w:sz w:val="16"/>
                <w:szCs w:val="16"/>
              </w:rPr>
            </w:pPr>
            <w:r w:rsidRPr="00C14814">
              <w:rPr>
                <w:rFonts w:ascii="Arial" w:hAnsi="Arial" w:cs="Arial"/>
                <w:sz w:val="16"/>
                <w:szCs w:val="16"/>
              </w:rPr>
              <w:t>No.</w:t>
            </w:r>
            <w:r w:rsidR="00474BF6" w:rsidRPr="00C14814">
              <w:rPr>
                <w:rFonts w:ascii="Arial" w:hAnsi="Arial" w:cs="Arial"/>
                <w:sz w:val="16"/>
                <w:szCs w:val="16"/>
              </w:rPr>
              <w:t xml:space="preserve"> of reports</w:t>
            </w:r>
          </w:p>
        </w:tc>
      </w:tr>
      <w:tr w:rsidR="00474BF6" w:rsidRPr="005A3AD7" w14:paraId="1E5BF198" w14:textId="77777777" w:rsidTr="00091F38">
        <w:trPr>
          <w:trHeight w:val="318"/>
        </w:trPr>
        <w:tc>
          <w:tcPr>
            <w:tcW w:w="3953" w:type="pct"/>
            <w:tcBorders>
              <w:top w:val="single" w:sz="4" w:space="0" w:color="auto"/>
            </w:tcBorders>
            <w:noWrap/>
            <w:tcMar>
              <w:top w:w="0" w:type="dxa"/>
              <w:left w:w="108" w:type="dxa"/>
              <w:bottom w:w="0" w:type="dxa"/>
              <w:right w:w="108" w:type="dxa"/>
            </w:tcMar>
            <w:vAlign w:val="bottom"/>
            <w:hideMark/>
          </w:tcPr>
          <w:p w14:paraId="762D172C" w14:textId="77777777" w:rsidR="00C14814" w:rsidRPr="00C14814" w:rsidRDefault="00C14814" w:rsidP="002208AD">
            <w:pPr>
              <w:spacing w:after="0"/>
              <w:jc w:val="left"/>
              <w:rPr>
                <w:rFonts w:ascii="Arial" w:hAnsi="Arial" w:cs="Arial"/>
                <w:sz w:val="16"/>
                <w:szCs w:val="16"/>
              </w:rPr>
            </w:pPr>
            <w:r w:rsidRPr="00C14814">
              <w:rPr>
                <w:rFonts w:ascii="Arial" w:hAnsi="Arial" w:cs="Arial"/>
                <w:sz w:val="16"/>
                <w:szCs w:val="16"/>
              </w:rPr>
              <w:t>Tax compliance conditions</w:t>
            </w:r>
          </w:p>
        </w:tc>
        <w:tc>
          <w:tcPr>
            <w:tcW w:w="276" w:type="pct"/>
            <w:tcBorders>
              <w:top w:val="single" w:sz="4" w:space="0" w:color="auto"/>
            </w:tcBorders>
            <w:vAlign w:val="bottom"/>
          </w:tcPr>
          <w:p w14:paraId="53FA8DFC" w14:textId="60C8107B" w:rsidR="00474BF6" w:rsidRPr="00C14814" w:rsidRDefault="00474BF6" w:rsidP="002208AD">
            <w:pPr>
              <w:spacing w:after="0"/>
              <w:jc w:val="left"/>
              <w:rPr>
                <w:rFonts w:ascii="Arial" w:hAnsi="Arial" w:cs="Arial"/>
                <w:sz w:val="16"/>
                <w:szCs w:val="16"/>
              </w:rPr>
            </w:pPr>
          </w:p>
        </w:tc>
        <w:tc>
          <w:tcPr>
            <w:tcW w:w="771" w:type="pct"/>
            <w:tcBorders>
              <w:top w:val="single" w:sz="4" w:space="0" w:color="auto"/>
            </w:tcBorders>
            <w:shd w:val="clear" w:color="auto" w:fill="E1E8EB"/>
            <w:noWrap/>
            <w:tcMar>
              <w:top w:w="0" w:type="dxa"/>
              <w:left w:w="108" w:type="dxa"/>
              <w:bottom w:w="0" w:type="dxa"/>
              <w:right w:w="108" w:type="dxa"/>
            </w:tcMar>
            <w:vAlign w:val="bottom"/>
            <w:hideMark/>
          </w:tcPr>
          <w:p w14:paraId="4E25E200" w14:textId="77777777" w:rsidR="00474BF6" w:rsidRPr="00C14814" w:rsidRDefault="00474BF6" w:rsidP="00E461C5">
            <w:pPr>
              <w:spacing w:after="0"/>
              <w:jc w:val="right"/>
              <w:rPr>
                <w:rFonts w:ascii="Arial" w:hAnsi="Arial" w:cs="Arial"/>
                <w:sz w:val="16"/>
                <w:szCs w:val="16"/>
              </w:rPr>
            </w:pPr>
            <w:r w:rsidRPr="00C14814">
              <w:rPr>
                <w:rFonts w:ascii="Arial" w:hAnsi="Arial" w:cs="Arial"/>
                <w:sz w:val="16"/>
                <w:szCs w:val="16"/>
              </w:rPr>
              <w:t>763</w:t>
            </w:r>
          </w:p>
        </w:tc>
      </w:tr>
      <w:tr w:rsidR="00474BF6" w:rsidRPr="005A3AD7" w14:paraId="6FBC90B7" w14:textId="77777777" w:rsidTr="00091F38">
        <w:trPr>
          <w:trHeight w:val="250"/>
        </w:trPr>
        <w:tc>
          <w:tcPr>
            <w:tcW w:w="3953" w:type="pct"/>
            <w:noWrap/>
            <w:tcMar>
              <w:top w:w="0" w:type="dxa"/>
              <w:left w:w="108" w:type="dxa"/>
              <w:bottom w:w="0" w:type="dxa"/>
              <w:right w:w="108" w:type="dxa"/>
            </w:tcMar>
            <w:vAlign w:val="bottom"/>
            <w:hideMark/>
          </w:tcPr>
          <w:p w14:paraId="6F11A195" w14:textId="63D8C05C" w:rsidR="00C14814" w:rsidRPr="00C14814" w:rsidRDefault="00C14814" w:rsidP="002208AD">
            <w:pPr>
              <w:spacing w:after="0"/>
              <w:jc w:val="left"/>
              <w:rPr>
                <w:rFonts w:ascii="Arial" w:hAnsi="Arial" w:cs="Arial"/>
                <w:sz w:val="16"/>
                <w:szCs w:val="16"/>
              </w:rPr>
            </w:pPr>
            <w:r w:rsidRPr="00C14814">
              <w:rPr>
                <w:rFonts w:ascii="Arial" w:hAnsi="Arial" w:cs="Arial"/>
                <w:sz w:val="16"/>
                <w:szCs w:val="16"/>
              </w:rPr>
              <w:t>E</w:t>
            </w:r>
            <w:r w:rsidR="00CA3337">
              <w:rPr>
                <w:rFonts w:ascii="Arial" w:hAnsi="Arial" w:cs="Arial"/>
                <w:sz w:val="16"/>
                <w:szCs w:val="16"/>
              </w:rPr>
              <w:t>C</w:t>
            </w:r>
            <w:r w:rsidRPr="00C14814">
              <w:rPr>
                <w:rFonts w:ascii="Arial" w:hAnsi="Arial" w:cs="Arial"/>
                <w:sz w:val="16"/>
                <w:szCs w:val="16"/>
              </w:rPr>
              <w:t xml:space="preserve"> conditions (including Advanced Off the Plan Certificates)</w:t>
            </w:r>
          </w:p>
        </w:tc>
        <w:tc>
          <w:tcPr>
            <w:tcW w:w="276" w:type="pct"/>
            <w:vAlign w:val="bottom"/>
          </w:tcPr>
          <w:p w14:paraId="485014A8" w14:textId="334166CD" w:rsidR="00474BF6" w:rsidRPr="00C14814" w:rsidRDefault="00474BF6" w:rsidP="002208AD">
            <w:pPr>
              <w:spacing w:after="0"/>
              <w:jc w:val="left"/>
              <w:rPr>
                <w:rFonts w:ascii="Arial" w:hAnsi="Arial" w:cs="Arial"/>
                <w:sz w:val="16"/>
                <w:szCs w:val="16"/>
              </w:rPr>
            </w:pPr>
          </w:p>
        </w:tc>
        <w:tc>
          <w:tcPr>
            <w:tcW w:w="771" w:type="pct"/>
            <w:shd w:val="clear" w:color="auto" w:fill="E1E8EB"/>
            <w:noWrap/>
            <w:tcMar>
              <w:top w:w="0" w:type="dxa"/>
              <w:left w:w="108" w:type="dxa"/>
              <w:bottom w:w="0" w:type="dxa"/>
              <w:right w:w="108" w:type="dxa"/>
            </w:tcMar>
            <w:vAlign w:val="bottom"/>
            <w:hideMark/>
          </w:tcPr>
          <w:p w14:paraId="433552F6" w14:textId="77777777" w:rsidR="00474BF6" w:rsidRPr="00C14814" w:rsidRDefault="00474BF6" w:rsidP="00E461C5">
            <w:pPr>
              <w:spacing w:after="0"/>
              <w:jc w:val="right"/>
              <w:rPr>
                <w:rFonts w:ascii="Arial" w:hAnsi="Arial" w:cs="Arial"/>
                <w:sz w:val="16"/>
                <w:szCs w:val="16"/>
              </w:rPr>
            </w:pPr>
            <w:r w:rsidRPr="00C14814">
              <w:rPr>
                <w:rFonts w:ascii="Arial" w:hAnsi="Arial" w:cs="Arial"/>
                <w:sz w:val="16"/>
                <w:szCs w:val="16"/>
              </w:rPr>
              <w:t>728</w:t>
            </w:r>
          </w:p>
        </w:tc>
      </w:tr>
      <w:tr w:rsidR="00474BF6" w:rsidRPr="005A3AD7" w14:paraId="6F33E37A" w14:textId="77777777" w:rsidTr="00091F38">
        <w:trPr>
          <w:trHeight w:val="74"/>
        </w:trPr>
        <w:tc>
          <w:tcPr>
            <w:tcW w:w="3953" w:type="pct"/>
            <w:noWrap/>
            <w:tcMar>
              <w:top w:w="0" w:type="dxa"/>
              <w:left w:w="108" w:type="dxa"/>
              <w:bottom w:w="0" w:type="dxa"/>
              <w:right w:w="108" w:type="dxa"/>
            </w:tcMar>
            <w:vAlign w:val="bottom"/>
            <w:hideMark/>
          </w:tcPr>
          <w:p w14:paraId="762198B2" w14:textId="77777777" w:rsidR="00C14814" w:rsidRPr="00C14814" w:rsidRDefault="00C14814" w:rsidP="002208AD">
            <w:pPr>
              <w:spacing w:after="0"/>
              <w:jc w:val="left"/>
              <w:rPr>
                <w:rFonts w:ascii="Arial" w:hAnsi="Arial" w:cs="Arial"/>
                <w:sz w:val="16"/>
                <w:szCs w:val="16"/>
              </w:rPr>
            </w:pPr>
            <w:r w:rsidRPr="00C14814">
              <w:rPr>
                <w:rFonts w:ascii="Arial" w:hAnsi="Arial" w:cs="Arial"/>
                <w:sz w:val="16"/>
                <w:szCs w:val="16"/>
              </w:rPr>
              <w:t>Conditions designed to address risk(s) specific to proposed investments</w:t>
            </w:r>
          </w:p>
        </w:tc>
        <w:tc>
          <w:tcPr>
            <w:tcW w:w="276" w:type="pct"/>
            <w:vAlign w:val="bottom"/>
          </w:tcPr>
          <w:p w14:paraId="3008A528" w14:textId="41EB2CC7" w:rsidR="00474BF6" w:rsidRPr="00C14814" w:rsidRDefault="00474BF6" w:rsidP="002208AD">
            <w:pPr>
              <w:spacing w:after="0"/>
              <w:jc w:val="left"/>
              <w:rPr>
                <w:rFonts w:ascii="Arial" w:hAnsi="Arial" w:cs="Arial"/>
                <w:sz w:val="16"/>
                <w:szCs w:val="16"/>
              </w:rPr>
            </w:pPr>
          </w:p>
        </w:tc>
        <w:tc>
          <w:tcPr>
            <w:tcW w:w="771" w:type="pct"/>
            <w:shd w:val="clear" w:color="auto" w:fill="E1E8EB"/>
            <w:noWrap/>
            <w:tcMar>
              <w:top w:w="0" w:type="dxa"/>
              <w:left w:w="108" w:type="dxa"/>
              <w:bottom w:w="0" w:type="dxa"/>
              <w:right w:w="108" w:type="dxa"/>
            </w:tcMar>
            <w:vAlign w:val="bottom"/>
            <w:hideMark/>
          </w:tcPr>
          <w:p w14:paraId="56B4BFEE" w14:textId="77777777" w:rsidR="00474BF6" w:rsidRPr="00C14814" w:rsidRDefault="00474BF6" w:rsidP="00E461C5">
            <w:pPr>
              <w:spacing w:after="0"/>
              <w:jc w:val="right"/>
              <w:rPr>
                <w:rFonts w:ascii="Arial" w:hAnsi="Arial" w:cs="Arial"/>
                <w:sz w:val="16"/>
                <w:szCs w:val="16"/>
              </w:rPr>
            </w:pPr>
            <w:r w:rsidRPr="00C14814">
              <w:rPr>
                <w:rFonts w:ascii="Arial" w:hAnsi="Arial" w:cs="Arial"/>
                <w:sz w:val="16"/>
                <w:szCs w:val="16"/>
              </w:rPr>
              <w:t>69</w:t>
            </w:r>
          </w:p>
        </w:tc>
      </w:tr>
      <w:tr w:rsidR="00474BF6" w:rsidRPr="005A3AD7" w14:paraId="272ACDA3" w14:textId="77777777" w:rsidTr="00091F38">
        <w:trPr>
          <w:trHeight w:val="285"/>
        </w:trPr>
        <w:tc>
          <w:tcPr>
            <w:tcW w:w="3953" w:type="pct"/>
            <w:noWrap/>
            <w:tcMar>
              <w:top w:w="0" w:type="dxa"/>
              <w:left w:w="108" w:type="dxa"/>
              <w:bottom w:w="0" w:type="dxa"/>
              <w:right w:w="108" w:type="dxa"/>
            </w:tcMar>
            <w:vAlign w:val="bottom"/>
            <w:hideMark/>
          </w:tcPr>
          <w:p w14:paraId="7B1B633F" w14:textId="77777777" w:rsidR="00C14814" w:rsidRPr="00C14814" w:rsidRDefault="00C14814" w:rsidP="002208AD">
            <w:pPr>
              <w:spacing w:after="0"/>
              <w:jc w:val="left"/>
              <w:rPr>
                <w:rFonts w:ascii="Arial" w:hAnsi="Arial" w:cs="Arial"/>
                <w:sz w:val="16"/>
                <w:szCs w:val="16"/>
              </w:rPr>
            </w:pPr>
            <w:r w:rsidRPr="00C14814">
              <w:rPr>
                <w:rFonts w:ascii="Arial" w:hAnsi="Arial" w:cs="Arial"/>
                <w:sz w:val="16"/>
                <w:szCs w:val="16"/>
              </w:rPr>
              <w:t>Conditions associated with notifications made after notifiable actions were taken</w:t>
            </w:r>
          </w:p>
        </w:tc>
        <w:tc>
          <w:tcPr>
            <w:tcW w:w="276" w:type="pct"/>
            <w:vAlign w:val="bottom"/>
          </w:tcPr>
          <w:p w14:paraId="34AAAD3E" w14:textId="410F1813" w:rsidR="00474BF6" w:rsidRPr="00C14814" w:rsidRDefault="00474BF6" w:rsidP="002208AD">
            <w:pPr>
              <w:spacing w:after="0"/>
              <w:jc w:val="left"/>
              <w:rPr>
                <w:rFonts w:ascii="Arial" w:hAnsi="Arial" w:cs="Arial"/>
                <w:sz w:val="16"/>
                <w:szCs w:val="16"/>
              </w:rPr>
            </w:pPr>
          </w:p>
        </w:tc>
        <w:tc>
          <w:tcPr>
            <w:tcW w:w="771" w:type="pct"/>
            <w:shd w:val="clear" w:color="auto" w:fill="E1E8EB"/>
            <w:noWrap/>
            <w:tcMar>
              <w:top w:w="0" w:type="dxa"/>
              <w:left w:w="108" w:type="dxa"/>
              <w:bottom w:w="0" w:type="dxa"/>
              <w:right w:w="108" w:type="dxa"/>
            </w:tcMar>
            <w:vAlign w:val="bottom"/>
            <w:hideMark/>
          </w:tcPr>
          <w:p w14:paraId="12C4E8FC" w14:textId="77777777" w:rsidR="00474BF6" w:rsidRPr="00C14814" w:rsidRDefault="00474BF6" w:rsidP="00E461C5">
            <w:pPr>
              <w:spacing w:after="0"/>
              <w:jc w:val="right"/>
              <w:rPr>
                <w:rFonts w:ascii="Arial" w:hAnsi="Arial" w:cs="Arial"/>
                <w:sz w:val="16"/>
                <w:szCs w:val="16"/>
              </w:rPr>
            </w:pPr>
            <w:r w:rsidRPr="00C14814">
              <w:rPr>
                <w:rFonts w:ascii="Arial" w:hAnsi="Arial" w:cs="Arial"/>
                <w:sz w:val="16"/>
                <w:szCs w:val="16"/>
              </w:rPr>
              <w:t>52</w:t>
            </w:r>
          </w:p>
        </w:tc>
      </w:tr>
      <w:tr w:rsidR="00474BF6" w:rsidRPr="005A3AD7" w14:paraId="3C52BE42" w14:textId="77777777" w:rsidTr="00091F38">
        <w:trPr>
          <w:trHeight w:val="98"/>
        </w:trPr>
        <w:tc>
          <w:tcPr>
            <w:tcW w:w="3953" w:type="pct"/>
            <w:noWrap/>
            <w:tcMar>
              <w:top w:w="0" w:type="dxa"/>
              <w:left w:w="108" w:type="dxa"/>
              <w:bottom w:w="0" w:type="dxa"/>
              <w:right w:w="108" w:type="dxa"/>
            </w:tcMar>
            <w:vAlign w:val="bottom"/>
            <w:hideMark/>
          </w:tcPr>
          <w:p w14:paraId="443E7EB8" w14:textId="77777777" w:rsidR="00C14814" w:rsidRPr="00C14814" w:rsidRDefault="00C14814" w:rsidP="002208AD">
            <w:pPr>
              <w:spacing w:after="0"/>
              <w:jc w:val="left"/>
              <w:rPr>
                <w:rFonts w:ascii="Arial" w:hAnsi="Arial" w:cs="Arial"/>
                <w:sz w:val="16"/>
                <w:szCs w:val="16"/>
              </w:rPr>
            </w:pPr>
            <w:r w:rsidRPr="00C14814">
              <w:rPr>
                <w:rFonts w:ascii="Arial" w:hAnsi="Arial" w:cs="Arial"/>
                <w:sz w:val="16"/>
                <w:szCs w:val="16"/>
              </w:rPr>
              <w:t>Conditions requiring notification of actions taken</w:t>
            </w:r>
          </w:p>
        </w:tc>
        <w:tc>
          <w:tcPr>
            <w:tcW w:w="276" w:type="pct"/>
            <w:vAlign w:val="bottom"/>
          </w:tcPr>
          <w:p w14:paraId="301FA1A2" w14:textId="2042F85B" w:rsidR="00474BF6" w:rsidRPr="00C14814" w:rsidRDefault="00474BF6" w:rsidP="002208AD">
            <w:pPr>
              <w:spacing w:after="0"/>
              <w:jc w:val="left"/>
              <w:rPr>
                <w:rFonts w:ascii="Arial" w:hAnsi="Arial" w:cs="Arial"/>
                <w:sz w:val="16"/>
                <w:szCs w:val="16"/>
              </w:rPr>
            </w:pPr>
          </w:p>
        </w:tc>
        <w:tc>
          <w:tcPr>
            <w:tcW w:w="771" w:type="pct"/>
            <w:shd w:val="clear" w:color="auto" w:fill="E1E8EB"/>
            <w:noWrap/>
            <w:tcMar>
              <w:top w:w="0" w:type="dxa"/>
              <w:left w:w="108" w:type="dxa"/>
              <w:bottom w:w="0" w:type="dxa"/>
              <w:right w:w="108" w:type="dxa"/>
            </w:tcMar>
            <w:vAlign w:val="bottom"/>
            <w:hideMark/>
          </w:tcPr>
          <w:p w14:paraId="48889F44" w14:textId="77777777" w:rsidR="00474BF6" w:rsidRPr="00C14814" w:rsidRDefault="00474BF6" w:rsidP="00E461C5">
            <w:pPr>
              <w:spacing w:after="0"/>
              <w:jc w:val="right"/>
              <w:rPr>
                <w:rFonts w:ascii="Arial" w:hAnsi="Arial" w:cs="Arial"/>
                <w:sz w:val="16"/>
                <w:szCs w:val="16"/>
              </w:rPr>
            </w:pPr>
            <w:r w:rsidRPr="00C14814">
              <w:rPr>
                <w:rFonts w:ascii="Arial" w:hAnsi="Arial" w:cs="Arial"/>
                <w:sz w:val="16"/>
                <w:szCs w:val="16"/>
              </w:rPr>
              <w:t>32</w:t>
            </w:r>
          </w:p>
        </w:tc>
      </w:tr>
      <w:tr w:rsidR="00474BF6" w:rsidRPr="005A3AD7" w14:paraId="0120EDF4" w14:textId="77777777" w:rsidTr="00091F38">
        <w:trPr>
          <w:trHeight w:val="303"/>
        </w:trPr>
        <w:tc>
          <w:tcPr>
            <w:tcW w:w="3953" w:type="pct"/>
            <w:noWrap/>
            <w:tcMar>
              <w:top w:w="0" w:type="dxa"/>
              <w:left w:w="108" w:type="dxa"/>
              <w:bottom w:w="0" w:type="dxa"/>
              <w:right w:w="108" w:type="dxa"/>
            </w:tcMar>
            <w:vAlign w:val="bottom"/>
            <w:hideMark/>
          </w:tcPr>
          <w:p w14:paraId="20770B0A" w14:textId="77777777" w:rsidR="00C14814" w:rsidRPr="00C14814" w:rsidRDefault="00C14814" w:rsidP="002208AD">
            <w:pPr>
              <w:spacing w:after="0"/>
              <w:jc w:val="left"/>
              <w:rPr>
                <w:rFonts w:ascii="Arial" w:hAnsi="Arial" w:cs="Arial"/>
                <w:sz w:val="16"/>
                <w:szCs w:val="16"/>
              </w:rPr>
            </w:pPr>
            <w:r w:rsidRPr="00C14814">
              <w:rPr>
                <w:rFonts w:ascii="Arial" w:hAnsi="Arial" w:cs="Arial"/>
                <w:sz w:val="16"/>
                <w:szCs w:val="16"/>
              </w:rPr>
              <w:t>Conditions related to data security (e.g., patient data)</w:t>
            </w:r>
          </w:p>
        </w:tc>
        <w:tc>
          <w:tcPr>
            <w:tcW w:w="276" w:type="pct"/>
            <w:vAlign w:val="bottom"/>
          </w:tcPr>
          <w:p w14:paraId="4D59B98D" w14:textId="199C690E" w:rsidR="00474BF6" w:rsidRPr="00C14814" w:rsidRDefault="00474BF6" w:rsidP="002208AD">
            <w:pPr>
              <w:spacing w:after="0"/>
              <w:jc w:val="left"/>
              <w:rPr>
                <w:rFonts w:ascii="Arial" w:hAnsi="Arial" w:cs="Arial"/>
                <w:sz w:val="16"/>
                <w:szCs w:val="16"/>
              </w:rPr>
            </w:pPr>
          </w:p>
        </w:tc>
        <w:tc>
          <w:tcPr>
            <w:tcW w:w="771" w:type="pct"/>
            <w:shd w:val="clear" w:color="auto" w:fill="E1E8EB"/>
            <w:noWrap/>
            <w:tcMar>
              <w:top w:w="0" w:type="dxa"/>
              <w:left w:w="108" w:type="dxa"/>
              <w:bottom w:w="0" w:type="dxa"/>
              <w:right w:w="108" w:type="dxa"/>
            </w:tcMar>
            <w:vAlign w:val="bottom"/>
            <w:hideMark/>
          </w:tcPr>
          <w:p w14:paraId="06302C52" w14:textId="77777777" w:rsidR="00474BF6" w:rsidRPr="00C14814" w:rsidRDefault="00474BF6" w:rsidP="00E461C5">
            <w:pPr>
              <w:spacing w:after="0"/>
              <w:jc w:val="right"/>
              <w:rPr>
                <w:rFonts w:ascii="Arial" w:hAnsi="Arial" w:cs="Arial"/>
                <w:sz w:val="16"/>
                <w:szCs w:val="16"/>
              </w:rPr>
            </w:pPr>
            <w:r w:rsidRPr="00C14814">
              <w:rPr>
                <w:rFonts w:ascii="Arial" w:hAnsi="Arial" w:cs="Arial"/>
                <w:sz w:val="16"/>
                <w:szCs w:val="16"/>
              </w:rPr>
              <w:t>30</w:t>
            </w:r>
          </w:p>
        </w:tc>
      </w:tr>
      <w:tr w:rsidR="00474BF6" w:rsidRPr="005A3AD7" w14:paraId="4F97F6C6" w14:textId="77777777" w:rsidTr="00091F38">
        <w:trPr>
          <w:trHeight w:val="226"/>
        </w:trPr>
        <w:tc>
          <w:tcPr>
            <w:tcW w:w="3953" w:type="pct"/>
            <w:tcBorders>
              <w:bottom w:val="single" w:sz="4" w:space="0" w:color="auto"/>
            </w:tcBorders>
            <w:noWrap/>
            <w:tcMar>
              <w:top w:w="0" w:type="dxa"/>
              <w:left w:w="108" w:type="dxa"/>
              <w:bottom w:w="0" w:type="dxa"/>
              <w:right w:w="108" w:type="dxa"/>
            </w:tcMar>
            <w:vAlign w:val="bottom"/>
            <w:hideMark/>
          </w:tcPr>
          <w:p w14:paraId="382A440A" w14:textId="1403A2C0" w:rsidR="00C14814" w:rsidRPr="00C14814" w:rsidRDefault="00C14814" w:rsidP="002208AD">
            <w:pPr>
              <w:spacing w:after="0"/>
              <w:jc w:val="left"/>
              <w:rPr>
                <w:rFonts w:ascii="Arial" w:hAnsi="Arial" w:cs="Arial"/>
                <w:sz w:val="16"/>
                <w:szCs w:val="16"/>
              </w:rPr>
            </w:pPr>
            <w:r w:rsidRPr="00C14814">
              <w:rPr>
                <w:rFonts w:ascii="Arial" w:hAnsi="Arial" w:cs="Arial"/>
                <w:sz w:val="16"/>
                <w:szCs w:val="16"/>
              </w:rPr>
              <w:t>Defence related condition</w:t>
            </w:r>
            <w:r w:rsidR="00B555C1">
              <w:rPr>
                <w:rFonts w:ascii="Arial" w:hAnsi="Arial" w:cs="Arial"/>
                <w:sz w:val="16"/>
                <w:szCs w:val="16"/>
              </w:rPr>
              <w:t>s</w:t>
            </w:r>
          </w:p>
        </w:tc>
        <w:tc>
          <w:tcPr>
            <w:tcW w:w="276" w:type="pct"/>
            <w:tcBorders>
              <w:bottom w:val="single" w:sz="4" w:space="0" w:color="auto"/>
            </w:tcBorders>
            <w:vAlign w:val="bottom"/>
          </w:tcPr>
          <w:p w14:paraId="67556AE7" w14:textId="33BB6BFB" w:rsidR="00474BF6" w:rsidRPr="00C14814" w:rsidRDefault="00474BF6" w:rsidP="002208AD">
            <w:pPr>
              <w:spacing w:after="0"/>
              <w:jc w:val="left"/>
              <w:rPr>
                <w:rFonts w:ascii="Arial" w:hAnsi="Arial" w:cs="Arial"/>
                <w:sz w:val="16"/>
                <w:szCs w:val="16"/>
              </w:rPr>
            </w:pPr>
          </w:p>
        </w:tc>
        <w:tc>
          <w:tcPr>
            <w:tcW w:w="771" w:type="pct"/>
            <w:tcBorders>
              <w:bottom w:val="single" w:sz="4" w:space="0" w:color="auto"/>
            </w:tcBorders>
            <w:shd w:val="clear" w:color="auto" w:fill="E1E8EB"/>
            <w:noWrap/>
            <w:tcMar>
              <w:top w:w="0" w:type="dxa"/>
              <w:left w:w="108" w:type="dxa"/>
              <w:bottom w:w="0" w:type="dxa"/>
              <w:right w:w="108" w:type="dxa"/>
            </w:tcMar>
            <w:vAlign w:val="bottom"/>
            <w:hideMark/>
          </w:tcPr>
          <w:p w14:paraId="52F301C6" w14:textId="77777777" w:rsidR="00474BF6" w:rsidRPr="00C14814" w:rsidRDefault="00474BF6" w:rsidP="00E461C5">
            <w:pPr>
              <w:spacing w:after="0"/>
              <w:jc w:val="right"/>
              <w:rPr>
                <w:rFonts w:ascii="Arial" w:hAnsi="Arial" w:cs="Arial"/>
                <w:sz w:val="16"/>
                <w:szCs w:val="16"/>
              </w:rPr>
            </w:pPr>
            <w:r w:rsidRPr="00C14814">
              <w:rPr>
                <w:rFonts w:ascii="Arial" w:hAnsi="Arial" w:cs="Arial"/>
                <w:sz w:val="16"/>
                <w:szCs w:val="16"/>
              </w:rPr>
              <w:t>2</w:t>
            </w:r>
          </w:p>
        </w:tc>
      </w:tr>
      <w:tr w:rsidR="00474BF6" w:rsidRPr="005A3AD7" w14:paraId="22453797" w14:textId="77777777" w:rsidTr="00091F38">
        <w:trPr>
          <w:trHeight w:val="64"/>
        </w:trPr>
        <w:tc>
          <w:tcPr>
            <w:tcW w:w="4229" w:type="pct"/>
            <w:gridSpan w:val="2"/>
            <w:tcBorders>
              <w:top w:val="single" w:sz="4" w:space="0" w:color="auto"/>
              <w:bottom w:val="single" w:sz="4" w:space="0" w:color="auto"/>
            </w:tcBorders>
            <w:shd w:val="clear" w:color="auto" w:fill="auto"/>
            <w:noWrap/>
            <w:tcMar>
              <w:top w:w="0" w:type="dxa"/>
              <w:left w:w="108" w:type="dxa"/>
              <w:bottom w:w="0" w:type="dxa"/>
              <w:right w:w="108" w:type="dxa"/>
            </w:tcMar>
            <w:vAlign w:val="bottom"/>
            <w:hideMark/>
          </w:tcPr>
          <w:p w14:paraId="13E2EEB6" w14:textId="77777777" w:rsidR="00474BF6" w:rsidRPr="00C14814" w:rsidRDefault="00474BF6" w:rsidP="002208AD">
            <w:pPr>
              <w:spacing w:after="0"/>
              <w:rPr>
                <w:rFonts w:ascii="Arial" w:hAnsi="Arial" w:cs="Arial"/>
                <w:b/>
                <w:sz w:val="16"/>
                <w:szCs w:val="16"/>
              </w:rPr>
            </w:pPr>
            <w:r w:rsidRPr="00C14814">
              <w:rPr>
                <w:rFonts w:ascii="Arial" w:hAnsi="Arial" w:cs="Arial"/>
                <w:b/>
                <w:sz w:val="16"/>
                <w:szCs w:val="16"/>
              </w:rPr>
              <w:t>Total</w:t>
            </w:r>
          </w:p>
        </w:tc>
        <w:tc>
          <w:tcPr>
            <w:tcW w:w="771" w:type="pct"/>
            <w:tcBorders>
              <w:top w:val="single" w:sz="4" w:space="0" w:color="auto"/>
              <w:bottom w:val="single" w:sz="4" w:space="0" w:color="auto"/>
            </w:tcBorders>
            <w:shd w:val="clear" w:color="auto" w:fill="E1E8EB"/>
            <w:noWrap/>
            <w:tcMar>
              <w:top w:w="0" w:type="dxa"/>
              <w:left w:w="108" w:type="dxa"/>
              <w:bottom w:w="0" w:type="dxa"/>
              <w:right w:w="108" w:type="dxa"/>
            </w:tcMar>
            <w:vAlign w:val="center"/>
            <w:hideMark/>
          </w:tcPr>
          <w:p w14:paraId="03EC7B5C" w14:textId="77777777" w:rsidR="00474BF6" w:rsidRPr="00C14814" w:rsidRDefault="00474BF6" w:rsidP="00E461C5">
            <w:pPr>
              <w:spacing w:after="0"/>
              <w:jc w:val="right"/>
              <w:rPr>
                <w:rFonts w:ascii="Arial" w:hAnsi="Arial" w:cs="Arial"/>
                <w:b/>
                <w:sz w:val="16"/>
                <w:szCs w:val="16"/>
              </w:rPr>
            </w:pPr>
            <w:r w:rsidRPr="00C14814">
              <w:rPr>
                <w:rFonts w:ascii="Arial" w:hAnsi="Arial" w:cs="Arial"/>
                <w:b/>
                <w:sz w:val="16"/>
                <w:szCs w:val="16"/>
              </w:rPr>
              <w:t>1,676</w:t>
            </w:r>
          </w:p>
        </w:tc>
      </w:tr>
    </w:tbl>
    <w:p w14:paraId="410F5967" w14:textId="0FC78621" w:rsidR="00474BF6" w:rsidRDefault="00BF2B0B" w:rsidP="0084246E">
      <w:pPr>
        <w:pStyle w:val="ChartorTableNote"/>
        <w:jc w:val="left"/>
      </w:pPr>
      <w:r w:rsidRPr="0084246E">
        <w:rPr>
          <w:rFonts w:asciiTheme="minorHAnsi" w:hAnsiTheme="minorHAnsi" w:cstheme="minorHAnsi"/>
        </w:rPr>
        <w:t xml:space="preserve">Before republishing this data or comparing between years, thoroughly review the methodological and data caveats in Appendix </w:t>
      </w:r>
      <w:r w:rsidR="0084246E" w:rsidRPr="0084246E">
        <w:rPr>
          <w:rFonts w:asciiTheme="minorHAnsi" w:hAnsiTheme="minorHAnsi" w:cstheme="minorHAnsi"/>
        </w:rPr>
        <w:t>B</w:t>
      </w:r>
      <w:r w:rsidRPr="0084246E">
        <w:rPr>
          <w:rFonts w:asciiTheme="minorHAnsi" w:hAnsiTheme="minorHAnsi" w:cstheme="minorHAnsi"/>
        </w:rPr>
        <w:t>.</w:t>
      </w:r>
      <w:r w:rsidRPr="0084246E">
        <w:rPr>
          <w:rFonts w:asciiTheme="minorHAnsi" w:hAnsiTheme="minorHAnsi" w:cstheme="minorHAnsi"/>
        </w:rPr>
        <w:br/>
      </w:r>
      <w:r w:rsidRPr="0084246E">
        <w:rPr>
          <w:rFonts w:ascii="Calibri" w:hAnsi="Calibri" w:cs="Calibri"/>
          <w:szCs w:val="16"/>
        </w:rPr>
        <w:t>There is no direct correlation between the number of reports received and the number of investments they represent</w:t>
      </w:r>
      <w:r w:rsidR="0084246E" w:rsidRPr="0084246E">
        <w:rPr>
          <w:rFonts w:ascii="Calibri" w:hAnsi="Calibri" w:cs="Calibri"/>
          <w:szCs w:val="16"/>
        </w:rPr>
        <w:t>.</w:t>
      </w:r>
    </w:p>
    <w:p w14:paraId="04E5A6BA" w14:textId="77777777" w:rsidR="00474BF6" w:rsidRPr="00BF2B0B" w:rsidRDefault="00474BF6" w:rsidP="002A4F30">
      <w:pPr>
        <w:pStyle w:val="Heading4"/>
        <w:rPr>
          <w:rFonts w:eastAsiaTheme="minorHAnsi"/>
          <w:lang w:eastAsia="en-US"/>
        </w:rPr>
      </w:pPr>
      <w:bookmarkStart w:id="215" w:name="_Toc87014335"/>
      <w:r w:rsidRPr="00BF2B0B">
        <w:rPr>
          <w:rFonts w:eastAsiaTheme="minorHAnsi"/>
          <w:lang w:eastAsia="en-US"/>
        </w:rPr>
        <w:t>Statutory reporting</w:t>
      </w:r>
      <w:bookmarkEnd w:id="215"/>
    </w:p>
    <w:p w14:paraId="280A6E92" w14:textId="4EEDCA57" w:rsidR="00530A42" w:rsidRDefault="00474BF6" w:rsidP="00091F38">
      <w:r w:rsidRPr="00D81FF5">
        <w:t>From 1</w:t>
      </w:r>
      <w:r w:rsidR="00CA3337">
        <w:t> </w:t>
      </w:r>
      <w:r w:rsidRPr="00D81FF5">
        <w:t>January</w:t>
      </w:r>
      <w:r w:rsidR="00CA3337">
        <w:t> </w:t>
      </w:r>
      <w:r w:rsidRPr="00D81FF5">
        <w:t xml:space="preserve">2021, all investors issued a no objection notification or an </w:t>
      </w:r>
      <w:r w:rsidR="00E25874">
        <w:t>EC</w:t>
      </w:r>
      <w:r w:rsidRPr="00D81FF5">
        <w:t xml:space="preserve"> </w:t>
      </w:r>
      <w:r>
        <w:t>were required by the Act to</w:t>
      </w:r>
      <w:r w:rsidRPr="00D81FF5">
        <w:t xml:space="preserve"> notify the Treasurer of certain events or actions </w:t>
      </w:r>
      <w:r>
        <w:t xml:space="preserve">taken </w:t>
      </w:r>
      <w:r w:rsidRPr="00D81FF5">
        <w:t xml:space="preserve">(such as acquiring an interest in land or a business or starting/ceasing a business). These reports assist </w:t>
      </w:r>
      <w:r>
        <w:t xml:space="preserve">the </w:t>
      </w:r>
      <w:r w:rsidRPr="00D81FF5">
        <w:t>Treasury to identify if regulated actions have occurred.</w:t>
      </w:r>
      <w:r>
        <w:t xml:space="preserve"> Between 1</w:t>
      </w:r>
      <w:r w:rsidR="00CA3337">
        <w:t> </w:t>
      </w:r>
      <w:r>
        <w:t>January and 30</w:t>
      </w:r>
      <w:r w:rsidR="00CA3337">
        <w:t> </w:t>
      </w:r>
      <w:r>
        <w:t>June</w:t>
      </w:r>
      <w:r w:rsidR="00CA3337">
        <w:t> </w:t>
      </w:r>
      <w:r>
        <w:t xml:space="preserve">2021, 212 statutory reports were made to the Treasury, of which 200 were made within the relevant </w:t>
      </w:r>
      <w:r w:rsidRPr="0046039B">
        <w:t>legislated timeframe</w:t>
      </w:r>
      <w:r>
        <w:t>.</w:t>
      </w:r>
    </w:p>
    <w:p w14:paraId="2E37B35E" w14:textId="28ABA103" w:rsidR="009812FE" w:rsidRPr="00091F38" w:rsidRDefault="009812FE" w:rsidP="00091F38">
      <w:pPr>
        <w:pStyle w:val="TableMainHeading"/>
      </w:pPr>
      <w:bookmarkStart w:id="216" w:name="_Toc89939959"/>
      <w:r w:rsidRPr="00091F38">
        <w:t xml:space="preserve">Table </w:t>
      </w:r>
      <w:fldSimple w:instr=" STYLEREF 1 \s ">
        <w:r w:rsidR="0019342F">
          <w:rPr>
            <w:noProof/>
          </w:rPr>
          <w:t>4</w:t>
        </w:r>
      </w:fldSimple>
      <w:r w:rsidRPr="00091F38">
        <w:t>.</w:t>
      </w:r>
      <w:fldSimple w:instr=" SEQ Table \* ARABIC \s 1 ">
        <w:r w:rsidR="0019342F">
          <w:rPr>
            <w:noProof/>
          </w:rPr>
          <w:t>4</w:t>
        </w:r>
      </w:fldSimple>
      <w:r w:rsidRPr="00091F38">
        <w:t xml:space="preserve">: Statutory reporting, </w:t>
      </w:r>
      <w:r w:rsidR="00D76ED2" w:rsidRPr="00091F38">
        <w:t>2020</w:t>
      </w:r>
      <w:r w:rsidR="00D76ED2" w:rsidRPr="00091F38">
        <w:noBreakHyphen/>
        <w:t>21</w:t>
      </w:r>
      <w:bookmarkEnd w:id="216"/>
    </w:p>
    <w:tbl>
      <w:tblPr>
        <w:tblW w:w="5000" w:type="pct"/>
        <w:tblCellMar>
          <w:left w:w="0" w:type="dxa"/>
          <w:right w:w="0" w:type="dxa"/>
        </w:tblCellMar>
        <w:tblLook w:val="04A0" w:firstRow="1" w:lastRow="0" w:firstColumn="1" w:lastColumn="0" w:noHBand="0" w:noVBand="1"/>
      </w:tblPr>
      <w:tblGrid>
        <w:gridCol w:w="4213"/>
        <w:gridCol w:w="3497"/>
      </w:tblGrid>
      <w:tr w:rsidR="00474BF6" w:rsidRPr="0095349A" w14:paraId="08BBE106" w14:textId="77777777" w:rsidTr="001814B9">
        <w:tc>
          <w:tcPr>
            <w:tcW w:w="2732" w:type="pct"/>
            <w:tcBorders>
              <w:top w:val="single" w:sz="4" w:space="0" w:color="auto"/>
              <w:bottom w:val="single" w:sz="4" w:space="0" w:color="auto"/>
            </w:tcBorders>
            <w:shd w:val="clear" w:color="auto" w:fill="auto"/>
            <w:noWrap/>
            <w:tcMar>
              <w:top w:w="0" w:type="dxa"/>
              <w:left w:w="108" w:type="dxa"/>
              <w:bottom w:w="0" w:type="dxa"/>
              <w:right w:w="108" w:type="dxa"/>
            </w:tcMar>
            <w:vAlign w:val="center"/>
            <w:hideMark/>
          </w:tcPr>
          <w:p w14:paraId="3E474657" w14:textId="77777777" w:rsidR="00474BF6" w:rsidRPr="001814B9" w:rsidRDefault="00474BF6" w:rsidP="00530A42">
            <w:pPr>
              <w:spacing w:after="0"/>
              <w:jc w:val="left"/>
              <w:rPr>
                <w:rFonts w:ascii="Arial" w:hAnsi="Arial" w:cs="Arial"/>
                <w:b/>
                <w:sz w:val="16"/>
                <w:szCs w:val="16"/>
              </w:rPr>
            </w:pPr>
            <w:r w:rsidRPr="001814B9">
              <w:rPr>
                <w:rFonts w:ascii="Arial" w:hAnsi="Arial" w:cs="Arial"/>
                <w:b/>
                <w:sz w:val="16"/>
                <w:szCs w:val="16"/>
              </w:rPr>
              <w:t>Notification in relation to:</w:t>
            </w:r>
          </w:p>
        </w:tc>
        <w:tc>
          <w:tcPr>
            <w:tcW w:w="2268" w:type="pct"/>
            <w:tcBorders>
              <w:top w:val="single" w:sz="4" w:space="0" w:color="auto"/>
              <w:bottom w:val="single" w:sz="4" w:space="0" w:color="auto"/>
            </w:tcBorders>
            <w:shd w:val="clear" w:color="auto" w:fill="auto"/>
            <w:noWrap/>
            <w:tcMar>
              <w:top w:w="0" w:type="dxa"/>
              <w:left w:w="108" w:type="dxa"/>
              <w:bottom w:w="0" w:type="dxa"/>
              <w:right w:w="108" w:type="dxa"/>
            </w:tcMar>
            <w:vAlign w:val="bottom"/>
            <w:hideMark/>
          </w:tcPr>
          <w:p w14:paraId="4F6249F3" w14:textId="032FCAC2" w:rsidR="00474BF6" w:rsidRPr="001814B9" w:rsidRDefault="00004EE5" w:rsidP="00530A42">
            <w:pPr>
              <w:spacing w:after="0"/>
              <w:rPr>
                <w:rFonts w:ascii="Arial" w:hAnsi="Arial" w:cs="Arial"/>
                <w:b/>
                <w:sz w:val="16"/>
                <w:szCs w:val="16"/>
              </w:rPr>
            </w:pPr>
            <w:r>
              <w:rPr>
                <w:rFonts w:ascii="Arial" w:hAnsi="Arial" w:cs="Arial"/>
                <w:b/>
                <w:sz w:val="16"/>
                <w:szCs w:val="16"/>
              </w:rPr>
              <w:t>No.</w:t>
            </w:r>
          </w:p>
        </w:tc>
      </w:tr>
      <w:tr w:rsidR="00474BF6" w:rsidRPr="0095349A" w14:paraId="7EC989DD" w14:textId="77777777" w:rsidTr="001814B9">
        <w:tc>
          <w:tcPr>
            <w:tcW w:w="2732" w:type="pct"/>
            <w:tcBorders>
              <w:top w:val="single" w:sz="4" w:space="0" w:color="auto"/>
            </w:tcBorders>
            <w:shd w:val="clear" w:color="auto" w:fill="auto"/>
            <w:noWrap/>
            <w:tcMar>
              <w:top w:w="0" w:type="dxa"/>
              <w:left w:w="108" w:type="dxa"/>
              <w:bottom w:w="0" w:type="dxa"/>
              <w:right w:w="108" w:type="dxa"/>
            </w:tcMar>
            <w:vAlign w:val="bottom"/>
            <w:hideMark/>
          </w:tcPr>
          <w:p w14:paraId="2AB44C51" w14:textId="77777777" w:rsidR="00474BF6" w:rsidRPr="001814B9" w:rsidRDefault="00474BF6" w:rsidP="00530A42">
            <w:pPr>
              <w:spacing w:after="0"/>
              <w:rPr>
                <w:rFonts w:ascii="Arial" w:hAnsi="Arial" w:cs="Arial"/>
                <w:sz w:val="16"/>
                <w:szCs w:val="16"/>
              </w:rPr>
            </w:pPr>
            <w:r w:rsidRPr="001814B9">
              <w:rPr>
                <w:rFonts w:ascii="Arial" w:hAnsi="Arial" w:cs="Arial"/>
                <w:sz w:val="16"/>
                <w:szCs w:val="16"/>
              </w:rPr>
              <w:t>Exemption certificate</w:t>
            </w:r>
          </w:p>
        </w:tc>
        <w:tc>
          <w:tcPr>
            <w:tcW w:w="2268" w:type="pct"/>
            <w:tcBorders>
              <w:top w:val="single" w:sz="4" w:space="0" w:color="auto"/>
            </w:tcBorders>
            <w:shd w:val="clear" w:color="auto" w:fill="auto"/>
            <w:noWrap/>
            <w:tcMar>
              <w:top w:w="0" w:type="dxa"/>
              <w:left w:w="108" w:type="dxa"/>
              <w:bottom w:w="0" w:type="dxa"/>
              <w:right w:w="108" w:type="dxa"/>
            </w:tcMar>
            <w:vAlign w:val="bottom"/>
            <w:hideMark/>
          </w:tcPr>
          <w:p w14:paraId="61E08E8C" w14:textId="77777777" w:rsidR="00474BF6" w:rsidRPr="001814B9" w:rsidRDefault="00474BF6" w:rsidP="00530A42">
            <w:pPr>
              <w:spacing w:after="0"/>
              <w:rPr>
                <w:rFonts w:ascii="Arial" w:hAnsi="Arial" w:cs="Arial"/>
                <w:sz w:val="16"/>
                <w:szCs w:val="16"/>
              </w:rPr>
            </w:pPr>
            <w:r w:rsidRPr="001814B9">
              <w:rPr>
                <w:rFonts w:ascii="Arial" w:hAnsi="Arial" w:cs="Arial"/>
                <w:sz w:val="16"/>
                <w:szCs w:val="16"/>
              </w:rPr>
              <w:t>13</w:t>
            </w:r>
          </w:p>
        </w:tc>
      </w:tr>
      <w:tr w:rsidR="00474BF6" w:rsidRPr="0095349A" w14:paraId="5D093D30" w14:textId="77777777" w:rsidTr="001814B9">
        <w:tc>
          <w:tcPr>
            <w:tcW w:w="2732" w:type="pct"/>
            <w:tcBorders>
              <w:bottom w:val="single" w:sz="4" w:space="0" w:color="auto"/>
            </w:tcBorders>
            <w:shd w:val="clear" w:color="auto" w:fill="auto"/>
            <w:noWrap/>
            <w:tcMar>
              <w:top w:w="0" w:type="dxa"/>
              <w:left w:w="108" w:type="dxa"/>
              <w:bottom w:w="0" w:type="dxa"/>
              <w:right w:w="108" w:type="dxa"/>
            </w:tcMar>
            <w:vAlign w:val="bottom"/>
            <w:hideMark/>
          </w:tcPr>
          <w:p w14:paraId="14BAF0E7" w14:textId="77777777" w:rsidR="00474BF6" w:rsidRPr="001814B9" w:rsidRDefault="00474BF6" w:rsidP="00530A42">
            <w:pPr>
              <w:spacing w:after="0"/>
              <w:rPr>
                <w:rFonts w:ascii="Arial" w:hAnsi="Arial" w:cs="Arial"/>
                <w:sz w:val="16"/>
                <w:szCs w:val="16"/>
              </w:rPr>
            </w:pPr>
            <w:r w:rsidRPr="001814B9">
              <w:rPr>
                <w:rFonts w:ascii="Arial" w:hAnsi="Arial" w:cs="Arial"/>
                <w:sz w:val="16"/>
                <w:szCs w:val="16"/>
              </w:rPr>
              <w:t>No objection notification</w:t>
            </w:r>
          </w:p>
        </w:tc>
        <w:tc>
          <w:tcPr>
            <w:tcW w:w="2268" w:type="pct"/>
            <w:tcBorders>
              <w:bottom w:val="single" w:sz="4" w:space="0" w:color="auto"/>
            </w:tcBorders>
            <w:shd w:val="clear" w:color="auto" w:fill="auto"/>
            <w:noWrap/>
            <w:tcMar>
              <w:top w:w="0" w:type="dxa"/>
              <w:left w:w="108" w:type="dxa"/>
              <w:bottom w:w="0" w:type="dxa"/>
              <w:right w:w="108" w:type="dxa"/>
            </w:tcMar>
            <w:vAlign w:val="bottom"/>
            <w:hideMark/>
          </w:tcPr>
          <w:p w14:paraId="62B88D15" w14:textId="77777777" w:rsidR="00474BF6" w:rsidRPr="001814B9" w:rsidRDefault="00474BF6" w:rsidP="00530A42">
            <w:pPr>
              <w:spacing w:after="0"/>
              <w:rPr>
                <w:rFonts w:ascii="Arial" w:hAnsi="Arial" w:cs="Arial"/>
                <w:sz w:val="16"/>
                <w:szCs w:val="16"/>
              </w:rPr>
            </w:pPr>
            <w:r w:rsidRPr="001814B9">
              <w:rPr>
                <w:rFonts w:ascii="Arial" w:hAnsi="Arial" w:cs="Arial"/>
                <w:sz w:val="16"/>
                <w:szCs w:val="16"/>
              </w:rPr>
              <w:t>199</w:t>
            </w:r>
          </w:p>
        </w:tc>
      </w:tr>
      <w:tr w:rsidR="00474BF6" w:rsidRPr="0095349A" w14:paraId="5628D2B8" w14:textId="77777777" w:rsidTr="001814B9">
        <w:tc>
          <w:tcPr>
            <w:tcW w:w="2732" w:type="pct"/>
            <w:tcBorders>
              <w:top w:val="single" w:sz="4" w:space="0" w:color="auto"/>
              <w:bottom w:val="single" w:sz="4" w:space="0" w:color="auto"/>
            </w:tcBorders>
            <w:shd w:val="clear" w:color="auto" w:fill="auto"/>
            <w:noWrap/>
            <w:tcMar>
              <w:top w:w="0" w:type="dxa"/>
              <w:left w:w="108" w:type="dxa"/>
              <w:bottom w:w="0" w:type="dxa"/>
              <w:right w:w="108" w:type="dxa"/>
            </w:tcMar>
            <w:vAlign w:val="bottom"/>
            <w:hideMark/>
          </w:tcPr>
          <w:p w14:paraId="467D3D1E" w14:textId="77777777" w:rsidR="00474BF6" w:rsidRPr="001814B9" w:rsidRDefault="00474BF6" w:rsidP="00530A42">
            <w:pPr>
              <w:spacing w:after="0"/>
              <w:rPr>
                <w:rFonts w:ascii="Arial" w:hAnsi="Arial" w:cs="Arial"/>
                <w:b/>
                <w:sz w:val="16"/>
                <w:szCs w:val="16"/>
              </w:rPr>
            </w:pPr>
            <w:r w:rsidRPr="001814B9">
              <w:rPr>
                <w:rFonts w:ascii="Arial" w:hAnsi="Arial" w:cs="Arial"/>
                <w:b/>
                <w:sz w:val="16"/>
                <w:szCs w:val="16"/>
              </w:rPr>
              <w:t>Total</w:t>
            </w:r>
          </w:p>
        </w:tc>
        <w:tc>
          <w:tcPr>
            <w:tcW w:w="2268" w:type="pct"/>
            <w:tcBorders>
              <w:top w:val="single" w:sz="4" w:space="0" w:color="auto"/>
              <w:bottom w:val="single" w:sz="4" w:space="0" w:color="auto"/>
            </w:tcBorders>
            <w:shd w:val="clear" w:color="auto" w:fill="auto"/>
            <w:noWrap/>
            <w:tcMar>
              <w:top w:w="0" w:type="dxa"/>
              <w:left w:w="108" w:type="dxa"/>
              <w:bottom w:w="0" w:type="dxa"/>
              <w:right w:w="108" w:type="dxa"/>
            </w:tcMar>
            <w:vAlign w:val="bottom"/>
            <w:hideMark/>
          </w:tcPr>
          <w:p w14:paraId="4D9E8A34" w14:textId="77777777" w:rsidR="00474BF6" w:rsidRPr="001814B9" w:rsidRDefault="00474BF6" w:rsidP="00530A42">
            <w:pPr>
              <w:spacing w:after="0"/>
              <w:rPr>
                <w:rFonts w:ascii="Arial" w:hAnsi="Arial" w:cs="Arial"/>
                <w:b/>
                <w:sz w:val="16"/>
                <w:szCs w:val="16"/>
              </w:rPr>
            </w:pPr>
            <w:r w:rsidRPr="001814B9">
              <w:rPr>
                <w:rFonts w:ascii="Arial" w:hAnsi="Arial" w:cs="Arial"/>
                <w:b/>
                <w:sz w:val="16"/>
                <w:szCs w:val="16"/>
              </w:rPr>
              <w:t>212</w:t>
            </w:r>
          </w:p>
        </w:tc>
      </w:tr>
    </w:tbl>
    <w:p w14:paraId="6F17D334" w14:textId="540CD512" w:rsidR="00474BF6" w:rsidRPr="002A4F30" w:rsidRDefault="00474BF6" w:rsidP="002A4F30">
      <w:pPr>
        <w:pStyle w:val="ChartorTableNote"/>
        <w:rPr>
          <w:rFonts w:asciiTheme="minorHAnsi" w:hAnsiTheme="minorHAnsi" w:cstheme="minorHAnsi"/>
        </w:rPr>
      </w:pPr>
      <w:r w:rsidRPr="0084246E">
        <w:rPr>
          <w:rFonts w:asciiTheme="minorHAnsi" w:hAnsiTheme="minorHAnsi" w:cstheme="minorHAnsi"/>
        </w:rPr>
        <w:t xml:space="preserve">Before republishing this data or comparing between years, thoroughly review the methodological and data caveats in Appendix </w:t>
      </w:r>
      <w:r w:rsidR="00482190" w:rsidRPr="0084246E">
        <w:rPr>
          <w:rFonts w:asciiTheme="minorHAnsi" w:hAnsiTheme="minorHAnsi" w:cstheme="minorHAnsi"/>
        </w:rPr>
        <w:t>B</w:t>
      </w:r>
      <w:r w:rsidRPr="0084246E">
        <w:rPr>
          <w:rFonts w:asciiTheme="minorHAnsi" w:hAnsiTheme="minorHAnsi" w:cstheme="minorHAnsi"/>
        </w:rPr>
        <w:t>.</w:t>
      </w:r>
      <w:r w:rsidRPr="00E3418B">
        <w:rPr>
          <w:rFonts w:asciiTheme="minorHAnsi" w:hAnsiTheme="minorHAnsi" w:cstheme="minorHAnsi"/>
        </w:rPr>
        <w:t xml:space="preserve"> </w:t>
      </w:r>
    </w:p>
    <w:p w14:paraId="000E55C6" w14:textId="77777777" w:rsidR="00474BF6" w:rsidRPr="00BF2B0B" w:rsidRDefault="00474BF6" w:rsidP="002A4F30">
      <w:pPr>
        <w:pStyle w:val="Heading4"/>
      </w:pPr>
      <w:r w:rsidRPr="00BF2B0B">
        <w:t xml:space="preserve">Enforcement </w:t>
      </w:r>
    </w:p>
    <w:p w14:paraId="40FD455A" w14:textId="5063E6E2" w:rsidR="00474BF6" w:rsidRPr="00BF2B0B" w:rsidRDefault="00474BF6" w:rsidP="00474BF6">
      <w:pPr>
        <w:rPr>
          <w:color w:val="auto"/>
        </w:rPr>
      </w:pPr>
      <w:r w:rsidRPr="00BF2B0B">
        <w:rPr>
          <w:color w:val="auto"/>
        </w:rPr>
        <w:t>The Act provides several powers to enforce the foreign investment rules, including criminal and civil penalties for non</w:t>
      </w:r>
      <w:r w:rsidR="003E7C79">
        <w:rPr>
          <w:color w:val="auto"/>
        </w:rPr>
        <w:t>–</w:t>
      </w:r>
      <w:r w:rsidRPr="00BF2B0B">
        <w:rPr>
          <w:color w:val="auto"/>
        </w:rPr>
        <w:t>compliance. For certain non</w:t>
      </w:r>
      <w:r w:rsidR="003E7C79">
        <w:rPr>
          <w:color w:val="auto"/>
        </w:rPr>
        <w:t>–</w:t>
      </w:r>
      <w:r w:rsidRPr="00BF2B0B">
        <w:rPr>
          <w:color w:val="auto"/>
        </w:rPr>
        <w:t>compliance occurring after 1</w:t>
      </w:r>
      <w:r w:rsidR="00CA3337">
        <w:rPr>
          <w:color w:val="auto"/>
        </w:rPr>
        <w:t> </w:t>
      </w:r>
      <w:r w:rsidRPr="00BF2B0B">
        <w:rPr>
          <w:color w:val="auto"/>
        </w:rPr>
        <w:t>January</w:t>
      </w:r>
      <w:r w:rsidR="00CA3337">
        <w:rPr>
          <w:color w:val="auto"/>
        </w:rPr>
        <w:t> </w:t>
      </w:r>
      <w:r w:rsidRPr="00BF2B0B">
        <w:rPr>
          <w:color w:val="auto"/>
        </w:rPr>
        <w:t>2021, the Treasury may issue an infringement notice. Infringement notices and penalties may apply to breaches of the Act, including where a foreign person fails to notify the Treasury of notifiable action or notifiable national security actions before taking the action, or breaches a condition imposed on an investment. These measures are designed to deter non</w:t>
      </w:r>
      <w:r w:rsidR="003E7C79">
        <w:rPr>
          <w:color w:val="auto"/>
        </w:rPr>
        <w:t>–</w:t>
      </w:r>
      <w:r w:rsidRPr="00BF2B0B">
        <w:rPr>
          <w:color w:val="auto"/>
        </w:rPr>
        <w:t xml:space="preserve">compliance, support the integrity of the framework, and ensure the national interest and national security are safeguarded. </w:t>
      </w:r>
    </w:p>
    <w:p w14:paraId="58F840F3" w14:textId="74437551" w:rsidR="00474BF6" w:rsidRPr="00BF2B0B" w:rsidRDefault="00474BF6" w:rsidP="002A4F30">
      <w:pPr>
        <w:pStyle w:val="Heading4"/>
      </w:pPr>
      <w:r w:rsidRPr="00BF2B0B">
        <w:t>Market intelligence</w:t>
      </w:r>
    </w:p>
    <w:p w14:paraId="7E098C38" w14:textId="65939CB8" w:rsidR="0007205B" w:rsidRDefault="00474BF6" w:rsidP="00474BF6">
      <w:r>
        <w:t xml:space="preserve">During the reporting period, the </w:t>
      </w:r>
      <w:r w:rsidRPr="007E3BEC">
        <w:t>Treasury</w:t>
      </w:r>
      <w:r w:rsidR="00065800">
        <w:t>’</w:t>
      </w:r>
      <w:r w:rsidRPr="007E3BEC">
        <w:t xml:space="preserve">s market intelligence activities </w:t>
      </w:r>
      <w:r>
        <w:t xml:space="preserve">focused </w:t>
      </w:r>
      <w:r w:rsidRPr="007E3BEC">
        <w:t>on making better use of data to improve monitoring of foreign investment compliance</w:t>
      </w:r>
      <w:r>
        <w:t>. In collaboration with other government agencies, d</w:t>
      </w:r>
      <w:r w:rsidRPr="007E3BEC">
        <w:t>ata</w:t>
      </w:r>
      <w:r w:rsidR="003E7C79">
        <w:t>–</w:t>
      </w:r>
      <w:r w:rsidRPr="007E3BEC">
        <w:t xml:space="preserve">driven surveillance activities were undertaken in </w:t>
      </w:r>
      <w:r w:rsidRPr="007E3BEC">
        <w:lastRenderedPageBreak/>
        <w:t>connection with the</w:t>
      </w:r>
      <w:r>
        <w:t xml:space="preserve"> </w:t>
      </w:r>
      <w:r w:rsidRPr="009867B2">
        <w:t>temporary zero</w:t>
      </w:r>
      <w:r>
        <w:t xml:space="preserve"> </w:t>
      </w:r>
      <w:r w:rsidRPr="009867B2">
        <w:t>dollar screening threshold</w:t>
      </w:r>
      <w:r>
        <w:t xml:space="preserve"> to detect potential instances of non</w:t>
      </w:r>
      <w:r w:rsidR="003E7C79">
        <w:t>–</w:t>
      </w:r>
      <w:r>
        <w:t xml:space="preserve">compliance. Over the course of the reporting period, the </w:t>
      </w:r>
      <w:r w:rsidRPr="005D08D2">
        <w:t>Treasury assessed more than 400</w:t>
      </w:r>
      <w:r w:rsidR="00C96FB5">
        <w:t> </w:t>
      </w:r>
      <w:r w:rsidRPr="005D08D2">
        <w:t>transactions and engaged 45 investors</w:t>
      </w:r>
      <w:r>
        <w:t xml:space="preserve"> in its detection program</w:t>
      </w:r>
      <w:r w:rsidRPr="005D08D2">
        <w:t xml:space="preserve">. </w:t>
      </w:r>
      <w:r>
        <w:t>This e</w:t>
      </w:r>
      <w:r w:rsidRPr="005D08D2">
        <w:t xml:space="preserve">ngagement resulted in </w:t>
      </w:r>
      <w:r>
        <w:t xml:space="preserve">two </w:t>
      </w:r>
      <w:r w:rsidRPr="005D08D2">
        <w:t xml:space="preserve">investors making </w:t>
      </w:r>
      <w:r>
        <w:t>notifications</w:t>
      </w:r>
      <w:r w:rsidRPr="005D08D2">
        <w:t xml:space="preserve"> retrospectively.</w:t>
      </w:r>
    </w:p>
    <w:bookmarkEnd w:id="193"/>
    <w:bookmarkEnd w:id="194"/>
    <w:bookmarkEnd w:id="195"/>
    <w:bookmarkEnd w:id="196"/>
    <w:p w14:paraId="1F1587B2" w14:textId="62DBE85E" w:rsidR="00294D3B" w:rsidRPr="0083345E" w:rsidRDefault="00004EE5" w:rsidP="00294D3B">
      <w:r>
        <w:t xml:space="preserve">The </w:t>
      </w:r>
      <w:r w:rsidR="008A632A" w:rsidRPr="008A632A">
        <w:t>Treasury also established a new market scanning intelligence capability in January</w:t>
      </w:r>
      <w:r w:rsidR="00CA3337">
        <w:t> </w:t>
      </w:r>
      <w:r w:rsidR="008A632A" w:rsidRPr="008A632A">
        <w:t>2021 in response to the recent reforms to the</w:t>
      </w:r>
      <w:r w:rsidR="004D0387">
        <w:t xml:space="preserve"> </w:t>
      </w:r>
      <w:r>
        <w:t>Act</w:t>
      </w:r>
      <w:r w:rsidR="008A632A" w:rsidRPr="008A632A">
        <w:t>. The capability utilises internal and external data sources to proactively monitor the market for potential instances of non</w:t>
      </w:r>
      <w:r w:rsidR="003E7C79">
        <w:t>–</w:t>
      </w:r>
      <w:r w:rsidR="008A632A" w:rsidRPr="008A632A">
        <w:t>compliance or instances in which the Treasurer may want to exercise the call</w:t>
      </w:r>
      <w:r w:rsidR="003E7C79">
        <w:t>–</w:t>
      </w:r>
      <w:r w:rsidR="008A632A" w:rsidRPr="008A632A">
        <w:t>in power. Over 170 transactions were investigated during the reporting period, however, the call</w:t>
      </w:r>
      <w:r w:rsidR="003E7C79">
        <w:t>–</w:t>
      </w:r>
      <w:r w:rsidR="008A632A" w:rsidRPr="008A632A">
        <w:t>in power has not been exercised to date.</w:t>
      </w:r>
    </w:p>
    <w:p w14:paraId="117F4F64" w14:textId="713A78F8" w:rsidR="00294D3B" w:rsidRPr="00482190" w:rsidRDefault="00294D3B" w:rsidP="001E24AA">
      <w:pPr>
        <w:pStyle w:val="Heading2"/>
      </w:pPr>
      <w:bookmarkStart w:id="217" w:name="_Toc89872896"/>
      <w:bookmarkStart w:id="218" w:name="_Toc89872943"/>
      <w:r w:rsidRPr="00482190">
        <w:t>ATO</w:t>
      </w:r>
      <w:r w:rsidR="00065800">
        <w:t>’</w:t>
      </w:r>
      <w:r w:rsidRPr="00482190">
        <w:t xml:space="preserve">s </w:t>
      </w:r>
      <w:r w:rsidR="00004EE5">
        <w:t>r</w:t>
      </w:r>
      <w:r w:rsidRPr="00482190">
        <w:t xml:space="preserve">esidential </w:t>
      </w:r>
      <w:r w:rsidR="00004EE5">
        <w:t>r</w:t>
      </w:r>
      <w:r w:rsidRPr="00482190">
        <w:t xml:space="preserve">eal </w:t>
      </w:r>
      <w:r w:rsidR="00004EE5">
        <w:t>e</w:t>
      </w:r>
      <w:r w:rsidRPr="00482190">
        <w:t xml:space="preserve">state </w:t>
      </w:r>
      <w:r w:rsidR="00004EE5">
        <w:t>c</w:t>
      </w:r>
      <w:r w:rsidRPr="00482190">
        <w:t>ompliance activities 2020</w:t>
      </w:r>
      <w:r w:rsidR="007B6345">
        <w:noBreakHyphen/>
      </w:r>
      <w:r w:rsidRPr="00482190">
        <w:t>21</w:t>
      </w:r>
      <w:bookmarkEnd w:id="217"/>
      <w:bookmarkEnd w:id="218"/>
    </w:p>
    <w:p w14:paraId="5C156DBE" w14:textId="43066F9A" w:rsidR="00294D3B" w:rsidRPr="00294D3B" w:rsidRDefault="00294D3B" w:rsidP="00294D3B">
      <w:r w:rsidRPr="00294D3B">
        <w:t xml:space="preserve">The ATO is responsible for residential real estate </w:t>
      </w:r>
      <w:r w:rsidR="00004EE5">
        <w:t>proposals</w:t>
      </w:r>
      <w:r w:rsidRPr="00294D3B">
        <w:t xml:space="preserve"> and compliance work associated with those </w:t>
      </w:r>
      <w:r w:rsidR="00004EE5">
        <w:t>proposals</w:t>
      </w:r>
      <w:r w:rsidRPr="00294D3B">
        <w:t>. The majority of</w:t>
      </w:r>
      <w:r w:rsidR="00004EE5">
        <w:t xml:space="preserve"> proposals</w:t>
      </w:r>
      <w:r w:rsidRPr="00294D3B">
        <w:t xml:space="preserve"> are identified through sophisticated data matching and risk profiling. The data reported in this section is based on residential real estate compliance investigations undertaken by the ATO from 1 July 2020 to 30 June 2021. During this period, 480 cases were identified for investigation, </w:t>
      </w:r>
      <w:r w:rsidR="00931E2C">
        <w:t>a decrease</w:t>
      </w:r>
      <w:r w:rsidRPr="00294D3B">
        <w:t xml:space="preserve"> from 746 in </w:t>
      </w:r>
      <w:r w:rsidR="00D76ED2">
        <w:t>2019</w:t>
      </w:r>
      <w:r w:rsidR="00D76ED2">
        <w:noBreakHyphen/>
        <w:t>20</w:t>
      </w:r>
      <w:r w:rsidRPr="00294D3B">
        <w:t xml:space="preserve">. </w:t>
      </w:r>
    </w:p>
    <w:p w14:paraId="488A63CC" w14:textId="4291D9D9" w:rsidR="009812FE" w:rsidRPr="00091F38" w:rsidRDefault="009812FE" w:rsidP="00091F38">
      <w:pPr>
        <w:pStyle w:val="TableMainHeading"/>
      </w:pPr>
      <w:bookmarkStart w:id="219" w:name="_Toc89939960"/>
      <w:r w:rsidRPr="00091F38">
        <w:t xml:space="preserve">Table </w:t>
      </w:r>
      <w:fldSimple w:instr=" STYLEREF 1 \s ">
        <w:r w:rsidR="0019342F">
          <w:rPr>
            <w:noProof/>
          </w:rPr>
          <w:t>4</w:t>
        </w:r>
      </w:fldSimple>
      <w:r w:rsidRPr="00091F38">
        <w:t>.</w:t>
      </w:r>
      <w:fldSimple w:instr=" SEQ Table \* ARABIC \s 1 ">
        <w:r w:rsidR="0019342F">
          <w:rPr>
            <w:noProof/>
          </w:rPr>
          <w:t>5</w:t>
        </w:r>
      </w:fldSimple>
      <w:r w:rsidRPr="00091F38">
        <w:t xml:space="preserve">: Residential real estate compliance investigations, </w:t>
      </w:r>
      <w:r w:rsidR="00C17F09">
        <w:t>2018</w:t>
      </w:r>
      <w:r w:rsidR="00C17F09">
        <w:noBreakHyphen/>
        <w:t>19</w:t>
      </w:r>
      <w:r w:rsidRPr="00091F38">
        <w:t xml:space="preserve"> to </w:t>
      </w:r>
      <w:r w:rsidR="00D76ED2" w:rsidRPr="00091F38">
        <w:t>2020</w:t>
      </w:r>
      <w:r w:rsidR="00D76ED2" w:rsidRPr="00091F38">
        <w:noBreakHyphen/>
        <w:t>21</w:t>
      </w:r>
      <w:bookmarkEnd w:id="219"/>
    </w:p>
    <w:tbl>
      <w:tblPr>
        <w:tblW w:w="7680" w:type="dxa"/>
        <w:tblLook w:val="04A0" w:firstRow="1" w:lastRow="0" w:firstColumn="1" w:lastColumn="0" w:noHBand="0" w:noVBand="1"/>
      </w:tblPr>
      <w:tblGrid>
        <w:gridCol w:w="1800"/>
        <w:gridCol w:w="1960"/>
        <w:gridCol w:w="1960"/>
        <w:gridCol w:w="1960"/>
      </w:tblGrid>
      <w:tr w:rsidR="00BF2B0B" w:rsidRPr="00BF2B0B" w14:paraId="473FCD64" w14:textId="77777777" w:rsidTr="00091F38">
        <w:trPr>
          <w:trHeight w:val="265"/>
        </w:trPr>
        <w:tc>
          <w:tcPr>
            <w:tcW w:w="1800" w:type="dxa"/>
            <w:tcBorders>
              <w:top w:val="single" w:sz="4" w:space="0" w:color="auto"/>
            </w:tcBorders>
            <w:shd w:val="clear" w:color="auto" w:fill="auto"/>
            <w:vAlign w:val="center"/>
          </w:tcPr>
          <w:p w14:paraId="67931D1A" w14:textId="54B416C1" w:rsidR="00BF2B0B" w:rsidRPr="00BF2B0B" w:rsidRDefault="00BF2B0B" w:rsidP="00BF2B0B">
            <w:pPr>
              <w:spacing w:after="0" w:line="240" w:lineRule="auto"/>
              <w:rPr>
                <w:rFonts w:ascii="Arial" w:hAnsi="Arial" w:cs="Arial"/>
                <w:sz w:val="16"/>
                <w:szCs w:val="16"/>
              </w:rPr>
            </w:pPr>
          </w:p>
        </w:tc>
        <w:tc>
          <w:tcPr>
            <w:tcW w:w="1960" w:type="dxa"/>
            <w:tcBorders>
              <w:top w:val="single" w:sz="4" w:space="0" w:color="auto"/>
              <w:bottom w:val="single" w:sz="4" w:space="0" w:color="auto"/>
            </w:tcBorders>
            <w:shd w:val="clear" w:color="auto" w:fill="auto"/>
            <w:vAlign w:val="center"/>
            <w:hideMark/>
          </w:tcPr>
          <w:p w14:paraId="00159750" w14:textId="5242E953" w:rsidR="00BF2B0B" w:rsidRPr="00BF2B0B" w:rsidRDefault="00C17F09" w:rsidP="008E481C">
            <w:pPr>
              <w:spacing w:after="0" w:line="240" w:lineRule="auto"/>
              <w:jc w:val="right"/>
              <w:rPr>
                <w:rFonts w:ascii="Arial" w:hAnsi="Arial" w:cs="Arial"/>
                <w:sz w:val="16"/>
                <w:szCs w:val="16"/>
              </w:rPr>
            </w:pPr>
            <w:r>
              <w:rPr>
                <w:rFonts w:ascii="Arial" w:hAnsi="Arial" w:cs="Arial"/>
                <w:sz w:val="16"/>
                <w:szCs w:val="16"/>
              </w:rPr>
              <w:t>2018</w:t>
            </w:r>
            <w:r>
              <w:rPr>
                <w:rFonts w:ascii="Arial" w:hAnsi="Arial" w:cs="Arial"/>
                <w:sz w:val="16"/>
                <w:szCs w:val="16"/>
              </w:rPr>
              <w:noBreakHyphen/>
              <w:t>19</w:t>
            </w:r>
          </w:p>
        </w:tc>
        <w:tc>
          <w:tcPr>
            <w:tcW w:w="1960" w:type="dxa"/>
            <w:tcBorders>
              <w:top w:val="single" w:sz="4" w:space="0" w:color="auto"/>
              <w:bottom w:val="single" w:sz="4" w:space="0" w:color="auto"/>
            </w:tcBorders>
            <w:shd w:val="clear" w:color="auto" w:fill="auto"/>
            <w:vAlign w:val="center"/>
            <w:hideMark/>
          </w:tcPr>
          <w:p w14:paraId="49686AA2" w14:textId="7AF38CE2" w:rsidR="00BF2B0B" w:rsidRPr="00BF2B0B" w:rsidRDefault="00D76ED2" w:rsidP="008E481C">
            <w:pPr>
              <w:spacing w:after="0" w:line="240" w:lineRule="auto"/>
              <w:jc w:val="right"/>
              <w:rPr>
                <w:rFonts w:ascii="Arial" w:hAnsi="Arial" w:cs="Arial"/>
                <w:sz w:val="16"/>
                <w:szCs w:val="16"/>
              </w:rPr>
            </w:pPr>
            <w:r>
              <w:rPr>
                <w:rFonts w:ascii="Arial" w:hAnsi="Arial" w:cs="Arial"/>
                <w:sz w:val="16"/>
                <w:szCs w:val="16"/>
              </w:rPr>
              <w:t>2019</w:t>
            </w:r>
            <w:r>
              <w:rPr>
                <w:rFonts w:ascii="Arial" w:hAnsi="Arial" w:cs="Arial"/>
                <w:sz w:val="16"/>
                <w:szCs w:val="16"/>
              </w:rPr>
              <w:noBreakHyphen/>
              <w:t>20</w:t>
            </w:r>
          </w:p>
        </w:tc>
        <w:tc>
          <w:tcPr>
            <w:tcW w:w="1960" w:type="dxa"/>
            <w:tcBorders>
              <w:top w:val="single" w:sz="4" w:space="0" w:color="auto"/>
              <w:bottom w:val="single" w:sz="4" w:space="0" w:color="auto"/>
            </w:tcBorders>
            <w:shd w:val="clear" w:color="auto" w:fill="E1E8EB"/>
            <w:vAlign w:val="center"/>
            <w:hideMark/>
          </w:tcPr>
          <w:p w14:paraId="45CF92CE" w14:textId="10215E9D" w:rsidR="00BF2B0B" w:rsidRPr="00BF2B0B" w:rsidRDefault="00D76ED2" w:rsidP="008E481C">
            <w:pPr>
              <w:spacing w:after="0" w:line="240" w:lineRule="auto"/>
              <w:jc w:val="right"/>
              <w:rPr>
                <w:rFonts w:ascii="Arial" w:hAnsi="Arial" w:cs="Arial"/>
                <w:sz w:val="16"/>
                <w:szCs w:val="16"/>
              </w:rPr>
            </w:pPr>
            <w:r>
              <w:rPr>
                <w:rFonts w:ascii="Arial" w:hAnsi="Arial" w:cs="Arial"/>
                <w:sz w:val="16"/>
                <w:szCs w:val="16"/>
              </w:rPr>
              <w:t>2020</w:t>
            </w:r>
            <w:r>
              <w:rPr>
                <w:rFonts w:ascii="Arial" w:hAnsi="Arial" w:cs="Arial"/>
                <w:sz w:val="16"/>
                <w:szCs w:val="16"/>
              </w:rPr>
              <w:noBreakHyphen/>
              <w:t>21</w:t>
            </w:r>
          </w:p>
        </w:tc>
      </w:tr>
      <w:tr w:rsidR="00BF2B0B" w:rsidRPr="00BF2B0B" w14:paraId="4D0828B8" w14:textId="77777777" w:rsidTr="00091F38">
        <w:trPr>
          <w:trHeight w:val="273"/>
        </w:trPr>
        <w:tc>
          <w:tcPr>
            <w:tcW w:w="1800" w:type="dxa"/>
            <w:tcBorders>
              <w:bottom w:val="single" w:sz="4" w:space="0" w:color="auto"/>
            </w:tcBorders>
            <w:shd w:val="clear" w:color="auto" w:fill="auto"/>
            <w:vAlign w:val="bottom"/>
            <w:hideMark/>
          </w:tcPr>
          <w:p w14:paraId="75B74606" w14:textId="7AECAABB" w:rsidR="00BF2B0B" w:rsidRPr="00BF2B0B" w:rsidRDefault="00750BEE" w:rsidP="00BF2B0B">
            <w:pPr>
              <w:spacing w:after="0" w:line="240" w:lineRule="auto"/>
              <w:jc w:val="left"/>
              <w:rPr>
                <w:rFonts w:ascii="Arial" w:hAnsi="Arial" w:cs="Arial"/>
                <w:sz w:val="16"/>
                <w:szCs w:val="16"/>
              </w:rPr>
            </w:pPr>
            <w:r w:rsidRPr="00BF2B0B">
              <w:rPr>
                <w:rFonts w:ascii="Arial" w:hAnsi="Arial" w:cs="Arial"/>
                <w:sz w:val="16"/>
                <w:szCs w:val="16"/>
              </w:rPr>
              <w:t>Investigations</w:t>
            </w:r>
          </w:p>
        </w:tc>
        <w:tc>
          <w:tcPr>
            <w:tcW w:w="1960" w:type="dxa"/>
            <w:tcBorders>
              <w:top w:val="single" w:sz="4" w:space="0" w:color="auto"/>
              <w:bottom w:val="single" w:sz="4" w:space="0" w:color="auto"/>
            </w:tcBorders>
            <w:shd w:val="clear" w:color="auto" w:fill="auto"/>
            <w:vAlign w:val="bottom"/>
            <w:hideMark/>
          </w:tcPr>
          <w:p w14:paraId="72BAFDF9" w14:textId="431CC24B" w:rsidR="00BF2B0B" w:rsidRPr="00BF2B0B" w:rsidRDefault="00BF2B0B" w:rsidP="00CB755B">
            <w:pPr>
              <w:spacing w:after="0" w:line="240" w:lineRule="auto"/>
              <w:jc w:val="right"/>
              <w:rPr>
                <w:rFonts w:ascii="Arial" w:hAnsi="Arial" w:cs="Arial"/>
                <w:sz w:val="16"/>
                <w:szCs w:val="16"/>
              </w:rPr>
            </w:pPr>
            <w:r w:rsidRPr="00BF2B0B">
              <w:rPr>
                <w:rFonts w:ascii="Arial" w:hAnsi="Arial" w:cs="Arial"/>
                <w:sz w:val="16"/>
                <w:szCs w:val="16"/>
              </w:rPr>
              <w:t>No.</w:t>
            </w:r>
          </w:p>
        </w:tc>
        <w:tc>
          <w:tcPr>
            <w:tcW w:w="1960" w:type="dxa"/>
            <w:tcBorders>
              <w:top w:val="single" w:sz="4" w:space="0" w:color="auto"/>
              <w:bottom w:val="single" w:sz="4" w:space="0" w:color="auto"/>
            </w:tcBorders>
            <w:shd w:val="clear" w:color="auto" w:fill="auto"/>
            <w:vAlign w:val="bottom"/>
            <w:hideMark/>
          </w:tcPr>
          <w:p w14:paraId="560F9AEF" w14:textId="735A42AD" w:rsidR="00BF2B0B" w:rsidRPr="00BF2B0B" w:rsidRDefault="00BF2B0B" w:rsidP="00CB755B">
            <w:pPr>
              <w:spacing w:after="0" w:line="240" w:lineRule="auto"/>
              <w:jc w:val="right"/>
              <w:rPr>
                <w:rFonts w:ascii="Arial" w:hAnsi="Arial" w:cs="Arial"/>
                <w:sz w:val="16"/>
                <w:szCs w:val="16"/>
              </w:rPr>
            </w:pPr>
            <w:r w:rsidRPr="00BF2B0B">
              <w:rPr>
                <w:rFonts w:ascii="Arial" w:hAnsi="Arial" w:cs="Arial"/>
                <w:sz w:val="16"/>
                <w:szCs w:val="16"/>
              </w:rPr>
              <w:t>No.</w:t>
            </w:r>
          </w:p>
        </w:tc>
        <w:tc>
          <w:tcPr>
            <w:tcW w:w="1960" w:type="dxa"/>
            <w:tcBorders>
              <w:top w:val="single" w:sz="4" w:space="0" w:color="auto"/>
              <w:bottom w:val="single" w:sz="4" w:space="0" w:color="auto"/>
            </w:tcBorders>
            <w:shd w:val="clear" w:color="auto" w:fill="E1E8EB"/>
            <w:vAlign w:val="bottom"/>
            <w:hideMark/>
          </w:tcPr>
          <w:p w14:paraId="350CF462" w14:textId="1120EF19" w:rsidR="00BF2B0B" w:rsidRPr="00BF2B0B" w:rsidRDefault="00BF2B0B" w:rsidP="00CB755B">
            <w:pPr>
              <w:spacing w:after="0" w:line="240" w:lineRule="auto"/>
              <w:jc w:val="right"/>
              <w:rPr>
                <w:rFonts w:ascii="Arial" w:hAnsi="Arial" w:cs="Arial"/>
                <w:sz w:val="16"/>
                <w:szCs w:val="16"/>
              </w:rPr>
            </w:pPr>
            <w:r w:rsidRPr="00BF2B0B">
              <w:rPr>
                <w:rFonts w:ascii="Arial" w:hAnsi="Arial" w:cs="Arial"/>
                <w:sz w:val="16"/>
                <w:szCs w:val="16"/>
              </w:rPr>
              <w:t>No.</w:t>
            </w:r>
          </w:p>
        </w:tc>
      </w:tr>
      <w:tr w:rsidR="00BF2B0B" w:rsidRPr="00094B59" w14:paraId="42F8E2F8" w14:textId="77777777" w:rsidTr="00091F38">
        <w:trPr>
          <w:trHeight w:val="300"/>
        </w:trPr>
        <w:tc>
          <w:tcPr>
            <w:tcW w:w="1800" w:type="dxa"/>
            <w:tcBorders>
              <w:top w:val="single" w:sz="4" w:space="0" w:color="auto"/>
            </w:tcBorders>
            <w:shd w:val="clear" w:color="auto" w:fill="auto"/>
            <w:vAlign w:val="bottom"/>
            <w:hideMark/>
          </w:tcPr>
          <w:p w14:paraId="4D0F01DF" w14:textId="2ABCDF24" w:rsidR="00BF2B0B" w:rsidRPr="00094B59" w:rsidRDefault="00BF2B0B" w:rsidP="00750BEE">
            <w:pPr>
              <w:spacing w:after="0" w:line="240" w:lineRule="auto"/>
              <w:jc w:val="left"/>
              <w:rPr>
                <w:rFonts w:ascii="Arial" w:hAnsi="Arial" w:cs="Arial"/>
                <w:sz w:val="16"/>
                <w:szCs w:val="16"/>
              </w:rPr>
            </w:pPr>
            <w:r w:rsidRPr="00094B59">
              <w:rPr>
                <w:rFonts w:ascii="Arial" w:hAnsi="Arial" w:cs="Arial"/>
                <w:sz w:val="16"/>
                <w:szCs w:val="16"/>
              </w:rPr>
              <w:t>Identified</w:t>
            </w:r>
            <w:r w:rsidR="00094B59" w:rsidRPr="00094B59">
              <w:rPr>
                <w:rFonts w:ascii="Arial" w:hAnsi="Arial" w:cs="Arial"/>
                <w:sz w:val="16"/>
                <w:szCs w:val="16"/>
              </w:rPr>
              <w:t>*</w:t>
            </w:r>
          </w:p>
        </w:tc>
        <w:tc>
          <w:tcPr>
            <w:tcW w:w="1960" w:type="dxa"/>
            <w:tcBorders>
              <w:top w:val="single" w:sz="4" w:space="0" w:color="auto"/>
            </w:tcBorders>
            <w:shd w:val="clear" w:color="auto" w:fill="auto"/>
            <w:vAlign w:val="bottom"/>
            <w:hideMark/>
          </w:tcPr>
          <w:p w14:paraId="2B31AA09" w14:textId="6E4DB7A7" w:rsidR="00BF2B0B" w:rsidRPr="00094B59" w:rsidRDefault="00BF2B0B" w:rsidP="00CB755B">
            <w:pPr>
              <w:spacing w:after="0" w:line="240" w:lineRule="auto"/>
              <w:jc w:val="right"/>
              <w:rPr>
                <w:rFonts w:ascii="Arial" w:hAnsi="Arial" w:cs="Arial"/>
                <w:sz w:val="16"/>
                <w:szCs w:val="16"/>
              </w:rPr>
            </w:pPr>
            <w:r w:rsidRPr="00094B59">
              <w:rPr>
                <w:rFonts w:ascii="Arial" w:hAnsi="Arial" w:cs="Arial"/>
                <w:sz w:val="16"/>
                <w:szCs w:val="16"/>
              </w:rPr>
              <w:t>1,220</w:t>
            </w:r>
          </w:p>
        </w:tc>
        <w:tc>
          <w:tcPr>
            <w:tcW w:w="1960" w:type="dxa"/>
            <w:tcBorders>
              <w:top w:val="single" w:sz="4" w:space="0" w:color="auto"/>
            </w:tcBorders>
            <w:shd w:val="clear" w:color="auto" w:fill="auto"/>
            <w:vAlign w:val="bottom"/>
            <w:hideMark/>
          </w:tcPr>
          <w:p w14:paraId="71F08B82" w14:textId="4289131C" w:rsidR="00BF2B0B" w:rsidRPr="00094B59" w:rsidRDefault="00BF2B0B" w:rsidP="00CB755B">
            <w:pPr>
              <w:spacing w:after="0" w:line="240" w:lineRule="auto"/>
              <w:jc w:val="right"/>
              <w:rPr>
                <w:rFonts w:ascii="Arial" w:hAnsi="Arial" w:cs="Arial"/>
                <w:sz w:val="16"/>
                <w:szCs w:val="16"/>
              </w:rPr>
            </w:pPr>
            <w:r w:rsidRPr="00094B59">
              <w:rPr>
                <w:rFonts w:ascii="Arial" w:hAnsi="Arial" w:cs="Arial"/>
                <w:sz w:val="16"/>
                <w:szCs w:val="16"/>
              </w:rPr>
              <w:t>746</w:t>
            </w:r>
          </w:p>
        </w:tc>
        <w:tc>
          <w:tcPr>
            <w:tcW w:w="1960" w:type="dxa"/>
            <w:tcBorders>
              <w:top w:val="single" w:sz="4" w:space="0" w:color="auto"/>
            </w:tcBorders>
            <w:shd w:val="clear" w:color="auto" w:fill="E1E8EB"/>
            <w:vAlign w:val="bottom"/>
            <w:hideMark/>
          </w:tcPr>
          <w:p w14:paraId="0A4638AC" w14:textId="77777777" w:rsidR="00BF2B0B" w:rsidRPr="00094B59" w:rsidRDefault="00BF2B0B" w:rsidP="00CB755B">
            <w:pPr>
              <w:spacing w:after="0" w:line="240" w:lineRule="auto"/>
              <w:jc w:val="right"/>
              <w:rPr>
                <w:rFonts w:ascii="Arial" w:hAnsi="Arial" w:cs="Arial"/>
                <w:sz w:val="16"/>
                <w:szCs w:val="16"/>
              </w:rPr>
            </w:pPr>
            <w:r w:rsidRPr="00094B59">
              <w:rPr>
                <w:rFonts w:ascii="Arial" w:hAnsi="Arial" w:cs="Arial"/>
                <w:sz w:val="16"/>
                <w:szCs w:val="16"/>
              </w:rPr>
              <w:t>487</w:t>
            </w:r>
          </w:p>
        </w:tc>
      </w:tr>
      <w:tr w:rsidR="00BF2B0B" w:rsidRPr="00094B59" w14:paraId="6094243E" w14:textId="77777777" w:rsidTr="00091F38">
        <w:trPr>
          <w:trHeight w:val="300"/>
        </w:trPr>
        <w:tc>
          <w:tcPr>
            <w:tcW w:w="1800" w:type="dxa"/>
            <w:shd w:val="clear" w:color="auto" w:fill="auto"/>
            <w:vAlign w:val="bottom"/>
            <w:hideMark/>
          </w:tcPr>
          <w:p w14:paraId="61281EAE" w14:textId="77777777" w:rsidR="00BF2B0B" w:rsidRPr="00094B59" w:rsidRDefault="00BF2B0B" w:rsidP="00750BEE">
            <w:pPr>
              <w:spacing w:after="0" w:line="240" w:lineRule="auto"/>
              <w:jc w:val="left"/>
              <w:rPr>
                <w:rFonts w:ascii="Arial" w:hAnsi="Arial" w:cs="Arial"/>
                <w:sz w:val="16"/>
                <w:szCs w:val="16"/>
              </w:rPr>
            </w:pPr>
            <w:r w:rsidRPr="00094B59">
              <w:rPr>
                <w:rFonts w:ascii="Arial" w:hAnsi="Arial" w:cs="Arial"/>
                <w:sz w:val="16"/>
                <w:szCs w:val="16"/>
              </w:rPr>
              <w:t>Completed</w:t>
            </w:r>
          </w:p>
        </w:tc>
        <w:tc>
          <w:tcPr>
            <w:tcW w:w="1960" w:type="dxa"/>
            <w:shd w:val="clear" w:color="auto" w:fill="auto"/>
            <w:vAlign w:val="bottom"/>
            <w:hideMark/>
          </w:tcPr>
          <w:p w14:paraId="0B7EA370" w14:textId="5ED96155" w:rsidR="00BF2B0B" w:rsidRPr="00094B59" w:rsidRDefault="00BF2B0B" w:rsidP="00CB755B">
            <w:pPr>
              <w:spacing w:after="0" w:line="240" w:lineRule="auto"/>
              <w:jc w:val="right"/>
              <w:rPr>
                <w:rFonts w:ascii="Arial" w:hAnsi="Arial" w:cs="Arial"/>
                <w:sz w:val="16"/>
                <w:szCs w:val="16"/>
              </w:rPr>
            </w:pPr>
            <w:r w:rsidRPr="00094B59">
              <w:rPr>
                <w:rFonts w:ascii="Arial" w:hAnsi="Arial" w:cs="Arial"/>
                <w:sz w:val="16"/>
                <w:szCs w:val="16"/>
              </w:rPr>
              <w:t>1,068</w:t>
            </w:r>
          </w:p>
        </w:tc>
        <w:tc>
          <w:tcPr>
            <w:tcW w:w="1960" w:type="dxa"/>
            <w:shd w:val="clear" w:color="auto" w:fill="auto"/>
            <w:vAlign w:val="bottom"/>
            <w:hideMark/>
          </w:tcPr>
          <w:p w14:paraId="75C85182" w14:textId="68768C56" w:rsidR="00BF2B0B" w:rsidRPr="00094B59" w:rsidRDefault="00BF2B0B" w:rsidP="00CB755B">
            <w:pPr>
              <w:spacing w:after="0" w:line="240" w:lineRule="auto"/>
              <w:jc w:val="right"/>
              <w:rPr>
                <w:rFonts w:ascii="Arial" w:hAnsi="Arial" w:cs="Arial"/>
                <w:sz w:val="16"/>
                <w:szCs w:val="16"/>
              </w:rPr>
            </w:pPr>
            <w:r w:rsidRPr="00094B59">
              <w:rPr>
                <w:rFonts w:ascii="Arial" w:hAnsi="Arial" w:cs="Arial"/>
                <w:sz w:val="16"/>
                <w:szCs w:val="16"/>
              </w:rPr>
              <w:t>620</w:t>
            </w:r>
          </w:p>
        </w:tc>
        <w:tc>
          <w:tcPr>
            <w:tcW w:w="1960" w:type="dxa"/>
            <w:shd w:val="clear" w:color="auto" w:fill="E1E8EB"/>
            <w:vAlign w:val="bottom"/>
            <w:hideMark/>
          </w:tcPr>
          <w:p w14:paraId="110AA622" w14:textId="77777777" w:rsidR="00BF2B0B" w:rsidRPr="00094B59" w:rsidRDefault="00BF2B0B" w:rsidP="00CB755B">
            <w:pPr>
              <w:spacing w:after="0" w:line="240" w:lineRule="auto"/>
              <w:jc w:val="right"/>
              <w:rPr>
                <w:rFonts w:ascii="Arial" w:hAnsi="Arial" w:cs="Arial"/>
                <w:sz w:val="16"/>
                <w:szCs w:val="16"/>
              </w:rPr>
            </w:pPr>
            <w:r w:rsidRPr="00094B59">
              <w:rPr>
                <w:rFonts w:ascii="Arial" w:hAnsi="Arial" w:cs="Arial"/>
                <w:sz w:val="16"/>
                <w:szCs w:val="16"/>
              </w:rPr>
              <w:t>404</w:t>
            </w:r>
          </w:p>
        </w:tc>
      </w:tr>
      <w:tr w:rsidR="00BF2B0B" w:rsidRPr="00094B59" w14:paraId="08B7490F" w14:textId="77777777" w:rsidTr="00091F38">
        <w:trPr>
          <w:trHeight w:val="315"/>
        </w:trPr>
        <w:tc>
          <w:tcPr>
            <w:tcW w:w="1800" w:type="dxa"/>
            <w:tcBorders>
              <w:bottom w:val="single" w:sz="4" w:space="0" w:color="auto"/>
            </w:tcBorders>
            <w:shd w:val="clear" w:color="auto" w:fill="auto"/>
            <w:vAlign w:val="bottom"/>
            <w:hideMark/>
          </w:tcPr>
          <w:p w14:paraId="2E3F39B6" w14:textId="77777777" w:rsidR="00BF2B0B" w:rsidRPr="00094B59" w:rsidRDefault="00BF2B0B" w:rsidP="00750BEE">
            <w:pPr>
              <w:spacing w:after="0" w:line="240" w:lineRule="auto"/>
              <w:jc w:val="left"/>
              <w:rPr>
                <w:rFonts w:ascii="Arial" w:hAnsi="Arial" w:cs="Arial"/>
                <w:sz w:val="16"/>
                <w:szCs w:val="16"/>
              </w:rPr>
            </w:pPr>
            <w:r w:rsidRPr="00094B59">
              <w:rPr>
                <w:rFonts w:ascii="Arial" w:hAnsi="Arial" w:cs="Arial"/>
                <w:sz w:val="16"/>
                <w:szCs w:val="16"/>
              </w:rPr>
              <w:t>Properties in breach</w:t>
            </w:r>
          </w:p>
        </w:tc>
        <w:tc>
          <w:tcPr>
            <w:tcW w:w="1960" w:type="dxa"/>
            <w:tcBorders>
              <w:bottom w:val="single" w:sz="4" w:space="0" w:color="auto"/>
            </w:tcBorders>
            <w:shd w:val="clear" w:color="auto" w:fill="auto"/>
            <w:vAlign w:val="bottom"/>
            <w:hideMark/>
          </w:tcPr>
          <w:p w14:paraId="716AE8EC" w14:textId="50A41183" w:rsidR="00BF2B0B" w:rsidRPr="00094B59" w:rsidRDefault="00BF2B0B" w:rsidP="00CB755B">
            <w:pPr>
              <w:spacing w:after="0" w:line="240" w:lineRule="auto"/>
              <w:jc w:val="right"/>
              <w:rPr>
                <w:rFonts w:ascii="Arial" w:hAnsi="Arial" w:cs="Arial"/>
                <w:sz w:val="16"/>
                <w:szCs w:val="16"/>
              </w:rPr>
            </w:pPr>
            <w:r w:rsidRPr="00094B59">
              <w:rPr>
                <w:rFonts w:ascii="Arial" w:hAnsi="Arial" w:cs="Arial"/>
                <w:sz w:val="16"/>
                <w:szCs w:val="16"/>
              </w:rPr>
              <w:t>600</w:t>
            </w:r>
          </w:p>
        </w:tc>
        <w:tc>
          <w:tcPr>
            <w:tcW w:w="1960" w:type="dxa"/>
            <w:tcBorders>
              <w:bottom w:val="single" w:sz="4" w:space="0" w:color="auto"/>
            </w:tcBorders>
            <w:shd w:val="clear" w:color="auto" w:fill="auto"/>
            <w:vAlign w:val="bottom"/>
            <w:hideMark/>
          </w:tcPr>
          <w:p w14:paraId="3B0DE26A" w14:textId="1993A3B5" w:rsidR="00BF2B0B" w:rsidRPr="00094B59" w:rsidRDefault="00BF2B0B" w:rsidP="00CB755B">
            <w:pPr>
              <w:spacing w:after="0" w:line="240" w:lineRule="auto"/>
              <w:jc w:val="right"/>
              <w:rPr>
                <w:rFonts w:ascii="Arial" w:hAnsi="Arial" w:cs="Arial"/>
                <w:sz w:val="16"/>
                <w:szCs w:val="16"/>
              </w:rPr>
            </w:pPr>
            <w:r w:rsidRPr="00094B59">
              <w:rPr>
                <w:rFonts w:ascii="Arial" w:hAnsi="Arial" w:cs="Arial"/>
                <w:sz w:val="16"/>
                <w:szCs w:val="16"/>
              </w:rPr>
              <w:t>259</w:t>
            </w:r>
          </w:p>
        </w:tc>
        <w:tc>
          <w:tcPr>
            <w:tcW w:w="1960" w:type="dxa"/>
            <w:tcBorders>
              <w:bottom w:val="single" w:sz="4" w:space="0" w:color="auto"/>
            </w:tcBorders>
            <w:shd w:val="clear" w:color="auto" w:fill="E1E8EB"/>
            <w:vAlign w:val="bottom"/>
            <w:hideMark/>
          </w:tcPr>
          <w:p w14:paraId="761E6FE3" w14:textId="7DD1A611" w:rsidR="00BF2B0B" w:rsidRPr="00094B59" w:rsidRDefault="00BF2B0B" w:rsidP="00CB755B">
            <w:pPr>
              <w:spacing w:after="0" w:line="240" w:lineRule="auto"/>
              <w:jc w:val="right"/>
              <w:rPr>
                <w:rFonts w:ascii="Arial" w:hAnsi="Arial" w:cs="Arial"/>
                <w:sz w:val="16"/>
                <w:szCs w:val="16"/>
              </w:rPr>
            </w:pPr>
            <w:r w:rsidRPr="00094B59">
              <w:rPr>
                <w:rFonts w:ascii="Arial" w:hAnsi="Arial" w:cs="Arial"/>
                <w:sz w:val="16"/>
                <w:szCs w:val="16"/>
              </w:rPr>
              <w:t>100</w:t>
            </w:r>
          </w:p>
        </w:tc>
      </w:tr>
    </w:tbl>
    <w:p w14:paraId="0E6B9AA8" w14:textId="29F64FB8" w:rsidR="00315F43" w:rsidRDefault="00094B59" w:rsidP="002A4F30">
      <w:pPr>
        <w:spacing w:after="0" w:line="240" w:lineRule="auto"/>
        <w:rPr>
          <w:rFonts w:cstheme="minorHAnsi"/>
          <w:sz w:val="16"/>
        </w:rPr>
      </w:pPr>
      <w:r w:rsidRPr="00094B59">
        <w:rPr>
          <w:rFonts w:cstheme="minorHAnsi"/>
          <w:sz w:val="16"/>
        </w:rPr>
        <w:t xml:space="preserve">The total number of </w:t>
      </w:r>
      <w:r w:rsidR="00BF51F4" w:rsidRPr="00094B59">
        <w:rPr>
          <w:rFonts w:cstheme="minorHAnsi"/>
          <w:sz w:val="16"/>
        </w:rPr>
        <w:t>identified</w:t>
      </w:r>
      <w:r w:rsidRPr="00094B59">
        <w:rPr>
          <w:rFonts w:cstheme="minorHAnsi"/>
          <w:sz w:val="16"/>
        </w:rPr>
        <w:t xml:space="preserve"> cases includes new cases identified in the prior financial year which remained open at the end of that financial year. In </w:t>
      </w:r>
      <w:r w:rsidR="00D76ED2">
        <w:rPr>
          <w:rFonts w:cstheme="minorHAnsi"/>
          <w:sz w:val="16"/>
        </w:rPr>
        <w:t>2020</w:t>
      </w:r>
      <w:r w:rsidR="00D76ED2">
        <w:rPr>
          <w:rFonts w:cstheme="minorHAnsi"/>
          <w:sz w:val="16"/>
        </w:rPr>
        <w:noBreakHyphen/>
        <w:t>21</w:t>
      </w:r>
      <w:r w:rsidRPr="00094B59">
        <w:rPr>
          <w:rFonts w:cstheme="minorHAnsi"/>
          <w:sz w:val="16"/>
        </w:rPr>
        <w:t xml:space="preserve"> there were 126 cases carried forward from </w:t>
      </w:r>
      <w:r w:rsidR="00D76ED2">
        <w:rPr>
          <w:rFonts w:cstheme="minorHAnsi"/>
          <w:sz w:val="16"/>
        </w:rPr>
        <w:t>2019</w:t>
      </w:r>
      <w:r w:rsidR="00D76ED2">
        <w:rPr>
          <w:rFonts w:cstheme="minorHAnsi"/>
          <w:sz w:val="16"/>
        </w:rPr>
        <w:noBreakHyphen/>
        <w:t>20</w:t>
      </w:r>
      <w:r w:rsidRPr="00094B59">
        <w:rPr>
          <w:rFonts w:cstheme="minorHAnsi"/>
          <w:sz w:val="16"/>
        </w:rPr>
        <w:t xml:space="preserve"> year included in the identified count. At the close of the </w:t>
      </w:r>
      <w:r w:rsidR="00D76ED2">
        <w:rPr>
          <w:rFonts w:cstheme="minorHAnsi"/>
          <w:sz w:val="16"/>
        </w:rPr>
        <w:t>2020</w:t>
      </w:r>
      <w:r w:rsidR="00D76ED2">
        <w:rPr>
          <w:rFonts w:cstheme="minorHAnsi"/>
          <w:sz w:val="16"/>
        </w:rPr>
        <w:noBreakHyphen/>
        <w:t>21</w:t>
      </w:r>
      <w:r w:rsidRPr="00094B59">
        <w:rPr>
          <w:rFonts w:cstheme="minorHAnsi"/>
          <w:sz w:val="16"/>
        </w:rPr>
        <w:t xml:space="preserve"> year there were 83 cases that will be carried forward into 2021</w:t>
      </w:r>
      <w:r w:rsidR="003E7C79">
        <w:rPr>
          <w:rFonts w:cstheme="minorHAnsi"/>
          <w:sz w:val="16"/>
        </w:rPr>
        <w:t>–</w:t>
      </w:r>
      <w:r w:rsidRPr="00094B59">
        <w:rPr>
          <w:rFonts w:cstheme="minorHAnsi"/>
          <w:sz w:val="16"/>
        </w:rPr>
        <w:t>22.</w:t>
      </w:r>
    </w:p>
    <w:p w14:paraId="687453A8" w14:textId="77777777" w:rsidR="00315F43" w:rsidRDefault="00315F43">
      <w:pPr>
        <w:spacing w:after="0" w:line="240" w:lineRule="auto"/>
        <w:jc w:val="left"/>
        <w:rPr>
          <w:rFonts w:cstheme="minorHAnsi"/>
          <w:sz w:val="16"/>
        </w:rPr>
      </w:pPr>
      <w:r>
        <w:rPr>
          <w:rFonts w:cstheme="minorHAnsi"/>
          <w:sz w:val="16"/>
        </w:rPr>
        <w:br w:type="page"/>
      </w:r>
    </w:p>
    <w:p w14:paraId="5118D73A" w14:textId="4B966065" w:rsidR="00294D3B" w:rsidRPr="00FE3E87" w:rsidRDefault="00294D3B" w:rsidP="00FE3E87">
      <w:pPr>
        <w:pStyle w:val="Heading4"/>
        <w:rPr>
          <w:rFonts w:eastAsiaTheme="minorHAnsi"/>
        </w:rPr>
      </w:pPr>
      <w:r w:rsidRPr="00FE3E87">
        <w:rPr>
          <w:rFonts w:eastAsiaTheme="minorHAnsi"/>
        </w:rPr>
        <w:lastRenderedPageBreak/>
        <w:t>Outcomes of residential property investigations</w:t>
      </w:r>
    </w:p>
    <w:p w14:paraId="662A1313" w14:textId="147BE02A" w:rsidR="009812FE" w:rsidRPr="00091F38" w:rsidRDefault="009812FE" w:rsidP="00091F38">
      <w:pPr>
        <w:pStyle w:val="TableMainHeading"/>
      </w:pPr>
      <w:bookmarkStart w:id="220" w:name="_Toc89939961"/>
      <w:r w:rsidRPr="00091F38">
        <w:t xml:space="preserve">Table </w:t>
      </w:r>
      <w:fldSimple w:instr=" STYLEREF 1 \s ">
        <w:r w:rsidR="0019342F">
          <w:rPr>
            <w:noProof/>
          </w:rPr>
          <w:t>4</w:t>
        </w:r>
      </w:fldSimple>
      <w:r w:rsidRPr="00091F38">
        <w:t>.</w:t>
      </w:r>
      <w:fldSimple w:instr=" SEQ Table \* ARABIC \s 1 ">
        <w:r w:rsidR="0019342F">
          <w:rPr>
            <w:noProof/>
          </w:rPr>
          <w:t>6</w:t>
        </w:r>
      </w:fldSimple>
      <w:r w:rsidRPr="00091F38">
        <w:t xml:space="preserve">: Outcomes of residential real estate investigations that identified breaches, </w:t>
      </w:r>
      <w:r w:rsidR="00C17F09">
        <w:t>2018</w:t>
      </w:r>
      <w:r w:rsidR="00C17F09">
        <w:noBreakHyphen/>
        <w:t>19</w:t>
      </w:r>
      <w:r w:rsidRPr="00091F38">
        <w:t xml:space="preserve"> to </w:t>
      </w:r>
      <w:r w:rsidR="00D76ED2" w:rsidRPr="00091F38">
        <w:t>2020</w:t>
      </w:r>
      <w:r w:rsidR="00D76ED2" w:rsidRPr="00091F38">
        <w:noBreakHyphen/>
        <w:t>21</w:t>
      </w:r>
      <w:bookmarkEnd w:id="220"/>
    </w:p>
    <w:tbl>
      <w:tblPr>
        <w:tblW w:w="5000" w:type="pct"/>
        <w:tblLayout w:type="fixed"/>
        <w:tblLook w:val="04A0" w:firstRow="1" w:lastRow="0" w:firstColumn="1" w:lastColumn="0" w:noHBand="0" w:noVBand="1"/>
      </w:tblPr>
      <w:tblGrid>
        <w:gridCol w:w="2275"/>
        <w:gridCol w:w="707"/>
        <w:gridCol w:w="1133"/>
        <w:gridCol w:w="709"/>
        <w:gridCol w:w="1079"/>
        <w:gridCol w:w="763"/>
        <w:gridCol w:w="1044"/>
      </w:tblGrid>
      <w:tr w:rsidR="00DD7D8C" w:rsidRPr="00094B59" w14:paraId="54BB858B" w14:textId="77777777" w:rsidTr="00091F38">
        <w:trPr>
          <w:trHeight w:val="300"/>
        </w:trPr>
        <w:tc>
          <w:tcPr>
            <w:tcW w:w="1475" w:type="pct"/>
            <w:tcBorders>
              <w:top w:val="single" w:sz="4" w:space="0" w:color="auto"/>
            </w:tcBorders>
            <w:shd w:val="clear" w:color="auto" w:fill="auto"/>
            <w:vAlign w:val="center"/>
            <w:hideMark/>
          </w:tcPr>
          <w:p w14:paraId="255E39B4" w14:textId="11294204" w:rsidR="00094B59" w:rsidRPr="00094B59" w:rsidRDefault="00094B59" w:rsidP="00094B59">
            <w:pPr>
              <w:spacing w:after="0" w:line="240" w:lineRule="auto"/>
              <w:rPr>
                <w:rFonts w:ascii="Arial" w:hAnsi="Arial" w:cs="Arial"/>
                <w:sz w:val="16"/>
                <w:szCs w:val="16"/>
              </w:rPr>
            </w:pPr>
          </w:p>
        </w:tc>
        <w:tc>
          <w:tcPr>
            <w:tcW w:w="1193" w:type="pct"/>
            <w:gridSpan w:val="2"/>
            <w:tcBorders>
              <w:top w:val="single" w:sz="4" w:space="0" w:color="auto"/>
              <w:bottom w:val="single" w:sz="4" w:space="0" w:color="auto"/>
            </w:tcBorders>
            <w:shd w:val="clear" w:color="auto" w:fill="auto"/>
            <w:vAlign w:val="center"/>
            <w:hideMark/>
          </w:tcPr>
          <w:p w14:paraId="2AD86218" w14:textId="4B2E9CE2" w:rsidR="00094B59" w:rsidRPr="00094B59" w:rsidRDefault="00C17F09" w:rsidP="00094B59">
            <w:pPr>
              <w:spacing w:after="0" w:line="240" w:lineRule="auto"/>
              <w:jc w:val="center"/>
              <w:rPr>
                <w:rFonts w:ascii="Arial" w:hAnsi="Arial" w:cs="Arial"/>
                <w:sz w:val="16"/>
                <w:szCs w:val="16"/>
              </w:rPr>
            </w:pPr>
            <w:r>
              <w:rPr>
                <w:rFonts w:ascii="Arial" w:hAnsi="Arial" w:cs="Arial"/>
                <w:sz w:val="16"/>
                <w:szCs w:val="16"/>
              </w:rPr>
              <w:t>2018</w:t>
            </w:r>
            <w:r>
              <w:rPr>
                <w:rFonts w:ascii="Arial" w:hAnsi="Arial" w:cs="Arial"/>
                <w:sz w:val="16"/>
                <w:szCs w:val="16"/>
              </w:rPr>
              <w:noBreakHyphen/>
              <w:t>19</w:t>
            </w:r>
          </w:p>
        </w:tc>
        <w:tc>
          <w:tcPr>
            <w:tcW w:w="1160" w:type="pct"/>
            <w:gridSpan w:val="2"/>
            <w:tcBorders>
              <w:top w:val="single" w:sz="4" w:space="0" w:color="auto"/>
              <w:bottom w:val="single" w:sz="4" w:space="0" w:color="auto"/>
            </w:tcBorders>
            <w:shd w:val="clear" w:color="auto" w:fill="auto"/>
            <w:vAlign w:val="center"/>
            <w:hideMark/>
          </w:tcPr>
          <w:p w14:paraId="4A37F2EF" w14:textId="3FE1DB3F" w:rsidR="00094B59" w:rsidRPr="00DD7D8C" w:rsidRDefault="00D76ED2" w:rsidP="00094B59">
            <w:pPr>
              <w:spacing w:after="0" w:line="240" w:lineRule="auto"/>
              <w:jc w:val="center"/>
              <w:rPr>
                <w:rFonts w:ascii="Arial" w:hAnsi="Arial" w:cs="Arial"/>
                <w:sz w:val="16"/>
                <w:szCs w:val="16"/>
              </w:rPr>
            </w:pPr>
            <w:r>
              <w:rPr>
                <w:rFonts w:ascii="Arial" w:hAnsi="Arial" w:cs="Arial"/>
                <w:sz w:val="16"/>
                <w:szCs w:val="16"/>
              </w:rPr>
              <w:t>2019</w:t>
            </w:r>
            <w:r>
              <w:rPr>
                <w:rFonts w:ascii="Arial" w:hAnsi="Arial" w:cs="Arial"/>
                <w:sz w:val="16"/>
                <w:szCs w:val="16"/>
              </w:rPr>
              <w:noBreakHyphen/>
              <w:t>20</w:t>
            </w:r>
          </w:p>
        </w:tc>
        <w:tc>
          <w:tcPr>
            <w:tcW w:w="1173" w:type="pct"/>
            <w:gridSpan w:val="2"/>
            <w:tcBorders>
              <w:top w:val="single" w:sz="4" w:space="0" w:color="auto"/>
              <w:bottom w:val="single" w:sz="4" w:space="0" w:color="auto"/>
            </w:tcBorders>
            <w:shd w:val="clear" w:color="auto" w:fill="E1E8EB"/>
            <w:vAlign w:val="center"/>
            <w:hideMark/>
          </w:tcPr>
          <w:p w14:paraId="5F6F87D9" w14:textId="61D1DAFF" w:rsidR="00094B59" w:rsidRPr="00A91410" w:rsidRDefault="00D76ED2" w:rsidP="00094B59">
            <w:pPr>
              <w:spacing w:after="0" w:line="240" w:lineRule="auto"/>
              <w:jc w:val="center"/>
              <w:rPr>
                <w:rFonts w:ascii="Arial" w:hAnsi="Arial" w:cs="Arial"/>
                <w:sz w:val="16"/>
                <w:szCs w:val="16"/>
              </w:rPr>
            </w:pPr>
            <w:r>
              <w:rPr>
                <w:rFonts w:ascii="Arial" w:hAnsi="Arial" w:cs="Arial"/>
                <w:sz w:val="16"/>
                <w:szCs w:val="16"/>
              </w:rPr>
              <w:t>2020</w:t>
            </w:r>
            <w:r>
              <w:rPr>
                <w:rFonts w:ascii="Arial" w:hAnsi="Arial" w:cs="Arial"/>
                <w:sz w:val="16"/>
                <w:szCs w:val="16"/>
              </w:rPr>
              <w:noBreakHyphen/>
              <w:t>21</w:t>
            </w:r>
          </w:p>
        </w:tc>
      </w:tr>
      <w:tr w:rsidR="0055403C" w:rsidRPr="00094B59" w14:paraId="544DBEAF" w14:textId="77777777" w:rsidTr="00091F38">
        <w:trPr>
          <w:trHeight w:val="300"/>
        </w:trPr>
        <w:tc>
          <w:tcPr>
            <w:tcW w:w="1475" w:type="pct"/>
            <w:tcBorders>
              <w:bottom w:val="single" w:sz="4" w:space="0" w:color="auto"/>
            </w:tcBorders>
            <w:shd w:val="clear" w:color="auto" w:fill="auto"/>
            <w:vAlign w:val="center"/>
            <w:hideMark/>
          </w:tcPr>
          <w:p w14:paraId="38FF0D0C" w14:textId="3792ADFB" w:rsidR="00094B59" w:rsidRPr="00094B59" w:rsidRDefault="004F145A" w:rsidP="00094B59">
            <w:pPr>
              <w:spacing w:after="0" w:line="240" w:lineRule="auto"/>
              <w:jc w:val="left"/>
              <w:rPr>
                <w:rFonts w:ascii="Arial" w:hAnsi="Arial" w:cs="Arial"/>
                <w:sz w:val="16"/>
                <w:szCs w:val="16"/>
              </w:rPr>
            </w:pPr>
            <w:r w:rsidRPr="00094B59">
              <w:rPr>
                <w:rFonts w:ascii="Arial" w:hAnsi="Arial" w:cs="Arial"/>
                <w:sz w:val="16"/>
                <w:szCs w:val="16"/>
              </w:rPr>
              <w:t>Compliance outcome</w:t>
            </w:r>
          </w:p>
        </w:tc>
        <w:tc>
          <w:tcPr>
            <w:tcW w:w="458" w:type="pct"/>
            <w:tcBorders>
              <w:top w:val="single" w:sz="4" w:space="0" w:color="auto"/>
              <w:bottom w:val="single" w:sz="4" w:space="0" w:color="auto"/>
            </w:tcBorders>
            <w:shd w:val="clear" w:color="auto" w:fill="auto"/>
            <w:vAlign w:val="center"/>
            <w:hideMark/>
          </w:tcPr>
          <w:p w14:paraId="2BA46040"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No.</w:t>
            </w:r>
          </w:p>
        </w:tc>
        <w:tc>
          <w:tcPr>
            <w:tcW w:w="735" w:type="pct"/>
            <w:tcBorders>
              <w:top w:val="single" w:sz="4" w:space="0" w:color="auto"/>
              <w:bottom w:val="single" w:sz="4" w:space="0" w:color="auto"/>
            </w:tcBorders>
            <w:shd w:val="clear" w:color="auto" w:fill="auto"/>
            <w:vAlign w:val="center"/>
            <w:hideMark/>
          </w:tcPr>
          <w:p w14:paraId="5C0D3763"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Percentage</w:t>
            </w:r>
          </w:p>
        </w:tc>
        <w:tc>
          <w:tcPr>
            <w:tcW w:w="460" w:type="pct"/>
            <w:tcBorders>
              <w:top w:val="single" w:sz="4" w:space="0" w:color="auto"/>
              <w:bottom w:val="single" w:sz="4" w:space="0" w:color="auto"/>
            </w:tcBorders>
            <w:shd w:val="clear" w:color="auto" w:fill="auto"/>
            <w:vAlign w:val="center"/>
            <w:hideMark/>
          </w:tcPr>
          <w:p w14:paraId="0212BD64"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No.</w:t>
            </w:r>
          </w:p>
        </w:tc>
        <w:tc>
          <w:tcPr>
            <w:tcW w:w="700" w:type="pct"/>
            <w:tcBorders>
              <w:top w:val="single" w:sz="4" w:space="0" w:color="auto"/>
              <w:bottom w:val="single" w:sz="4" w:space="0" w:color="auto"/>
            </w:tcBorders>
            <w:shd w:val="clear" w:color="auto" w:fill="auto"/>
            <w:vAlign w:val="center"/>
            <w:hideMark/>
          </w:tcPr>
          <w:p w14:paraId="23F85270"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Percentage</w:t>
            </w:r>
          </w:p>
        </w:tc>
        <w:tc>
          <w:tcPr>
            <w:tcW w:w="495" w:type="pct"/>
            <w:tcBorders>
              <w:top w:val="single" w:sz="4" w:space="0" w:color="auto"/>
              <w:bottom w:val="single" w:sz="4" w:space="0" w:color="auto"/>
            </w:tcBorders>
            <w:shd w:val="clear" w:color="auto" w:fill="E1E8EB"/>
            <w:vAlign w:val="center"/>
            <w:hideMark/>
          </w:tcPr>
          <w:p w14:paraId="087F5382"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No.</w:t>
            </w:r>
          </w:p>
        </w:tc>
        <w:tc>
          <w:tcPr>
            <w:tcW w:w="678" w:type="pct"/>
            <w:tcBorders>
              <w:top w:val="single" w:sz="4" w:space="0" w:color="auto"/>
              <w:bottom w:val="single" w:sz="4" w:space="0" w:color="auto"/>
            </w:tcBorders>
            <w:shd w:val="clear" w:color="auto" w:fill="E1E8EB"/>
            <w:vAlign w:val="center"/>
            <w:hideMark/>
          </w:tcPr>
          <w:p w14:paraId="17B34AEA"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Percentage</w:t>
            </w:r>
          </w:p>
        </w:tc>
      </w:tr>
      <w:tr w:rsidR="0055403C" w:rsidRPr="00094B59" w14:paraId="19AB091C" w14:textId="77777777" w:rsidTr="00091F38">
        <w:trPr>
          <w:trHeight w:val="300"/>
        </w:trPr>
        <w:tc>
          <w:tcPr>
            <w:tcW w:w="1475" w:type="pct"/>
            <w:shd w:val="clear" w:color="auto" w:fill="auto"/>
            <w:vAlign w:val="center"/>
            <w:hideMark/>
          </w:tcPr>
          <w:p w14:paraId="45992AF2" w14:textId="77777777" w:rsidR="00094B59" w:rsidRPr="00094B59" w:rsidRDefault="00094B59" w:rsidP="00094B59">
            <w:pPr>
              <w:spacing w:after="0" w:line="240" w:lineRule="auto"/>
              <w:rPr>
                <w:rFonts w:ascii="Arial" w:hAnsi="Arial" w:cs="Arial"/>
                <w:sz w:val="16"/>
                <w:szCs w:val="16"/>
              </w:rPr>
            </w:pPr>
            <w:r w:rsidRPr="00094B59">
              <w:rPr>
                <w:rFonts w:ascii="Arial" w:hAnsi="Arial" w:cs="Arial"/>
                <w:sz w:val="16"/>
                <w:szCs w:val="16"/>
              </w:rPr>
              <w:t>Divestment (a)</w:t>
            </w:r>
          </w:p>
        </w:tc>
        <w:tc>
          <w:tcPr>
            <w:tcW w:w="458" w:type="pct"/>
            <w:shd w:val="clear" w:color="auto" w:fill="auto"/>
            <w:vAlign w:val="center"/>
            <w:hideMark/>
          </w:tcPr>
          <w:p w14:paraId="20116AEB"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83</w:t>
            </w:r>
          </w:p>
        </w:tc>
        <w:tc>
          <w:tcPr>
            <w:tcW w:w="735" w:type="pct"/>
            <w:shd w:val="clear" w:color="auto" w:fill="auto"/>
            <w:vAlign w:val="center"/>
            <w:hideMark/>
          </w:tcPr>
          <w:p w14:paraId="573F8D84"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13.8</w:t>
            </w:r>
          </w:p>
        </w:tc>
        <w:tc>
          <w:tcPr>
            <w:tcW w:w="460" w:type="pct"/>
            <w:shd w:val="clear" w:color="auto" w:fill="auto"/>
            <w:vAlign w:val="center"/>
            <w:hideMark/>
          </w:tcPr>
          <w:p w14:paraId="3C24DA1E"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70</w:t>
            </w:r>
          </w:p>
        </w:tc>
        <w:tc>
          <w:tcPr>
            <w:tcW w:w="700" w:type="pct"/>
            <w:shd w:val="clear" w:color="auto" w:fill="auto"/>
            <w:vAlign w:val="center"/>
            <w:hideMark/>
          </w:tcPr>
          <w:p w14:paraId="6CD09094"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27</w:t>
            </w:r>
          </w:p>
        </w:tc>
        <w:tc>
          <w:tcPr>
            <w:tcW w:w="495" w:type="pct"/>
            <w:shd w:val="clear" w:color="auto" w:fill="E1E8EB"/>
            <w:vAlign w:val="center"/>
            <w:hideMark/>
          </w:tcPr>
          <w:p w14:paraId="18477C3F"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57</w:t>
            </w:r>
          </w:p>
        </w:tc>
        <w:tc>
          <w:tcPr>
            <w:tcW w:w="678" w:type="pct"/>
            <w:shd w:val="clear" w:color="auto" w:fill="E1E8EB"/>
            <w:vAlign w:val="center"/>
            <w:hideMark/>
          </w:tcPr>
          <w:p w14:paraId="097647BE"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57.0</w:t>
            </w:r>
          </w:p>
        </w:tc>
      </w:tr>
      <w:tr w:rsidR="0055403C" w:rsidRPr="00094B59" w14:paraId="42C3FED2" w14:textId="77777777" w:rsidTr="00091F38">
        <w:trPr>
          <w:trHeight w:val="300"/>
        </w:trPr>
        <w:tc>
          <w:tcPr>
            <w:tcW w:w="1475" w:type="pct"/>
            <w:shd w:val="clear" w:color="auto" w:fill="auto"/>
            <w:vAlign w:val="center"/>
            <w:hideMark/>
          </w:tcPr>
          <w:p w14:paraId="51893CC8" w14:textId="77777777" w:rsidR="00094B59" w:rsidRPr="00094B59" w:rsidRDefault="00094B59" w:rsidP="00094B59">
            <w:pPr>
              <w:spacing w:after="0" w:line="240" w:lineRule="auto"/>
              <w:rPr>
                <w:rFonts w:ascii="Arial" w:hAnsi="Arial" w:cs="Arial"/>
                <w:sz w:val="16"/>
                <w:szCs w:val="16"/>
              </w:rPr>
            </w:pPr>
            <w:r w:rsidRPr="00094B59">
              <w:rPr>
                <w:rFonts w:ascii="Arial" w:hAnsi="Arial" w:cs="Arial"/>
                <w:sz w:val="16"/>
                <w:szCs w:val="16"/>
              </w:rPr>
              <w:t>Retrospective approval (b)</w:t>
            </w:r>
          </w:p>
        </w:tc>
        <w:tc>
          <w:tcPr>
            <w:tcW w:w="458" w:type="pct"/>
            <w:shd w:val="clear" w:color="auto" w:fill="auto"/>
            <w:vAlign w:val="center"/>
            <w:hideMark/>
          </w:tcPr>
          <w:p w14:paraId="18ED94AF"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79</w:t>
            </w:r>
          </w:p>
        </w:tc>
        <w:tc>
          <w:tcPr>
            <w:tcW w:w="735" w:type="pct"/>
            <w:shd w:val="clear" w:color="auto" w:fill="auto"/>
            <w:vAlign w:val="center"/>
            <w:hideMark/>
          </w:tcPr>
          <w:p w14:paraId="6D6DB0BF"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13.2</w:t>
            </w:r>
          </w:p>
        </w:tc>
        <w:tc>
          <w:tcPr>
            <w:tcW w:w="460" w:type="pct"/>
            <w:shd w:val="clear" w:color="auto" w:fill="auto"/>
            <w:vAlign w:val="center"/>
            <w:hideMark/>
          </w:tcPr>
          <w:p w14:paraId="242291EA"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49</w:t>
            </w:r>
          </w:p>
        </w:tc>
        <w:tc>
          <w:tcPr>
            <w:tcW w:w="700" w:type="pct"/>
            <w:shd w:val="clear" w:color="auto" w:fill="auto"/>
            <w:vAlign w:val="center"/>
            <w:hideMark/>
          </w:tcPr>
          <w:p w14:paraId="5D4481AB"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18.9</w:t>
            </w:r>
          </w:p>
        </w:tc>
        <w:tc>
          <w:tcPr>
            <w:tcW w:w="495" w:type="pct"/>
            <w:shd w:val="clear" w:color="auto" w:fill="E1E8EB"/>
            <w:vAlign w:val="center"/>
            <w:hideMark/>
          </w:tcPr>
          <w:p w14:paraId="282F57C9"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24</w:t>
            </w:r>
          </w:p>
        </w:tc>
        <w:tc>
          <w:tcPr>
            <w:tcW w:w="678" w:type="pct"/>
            <w:shd w:val="clear" w:color="auto" w:fill="E1E8EB"/>
            <w:vAlign w:val="center"/>
            <w:hideMark/>
          </w:tcPr>
          <w:p w14:paraId="3B478B9E"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24.0</w:t>
            </w:r>
          </w:p>
        </w:tc>
      </w:tr>
      <w:tr w:rsidR="0055403C" w:rsidRPr="00094B59" w14:paraId="421BCD0D" w14:textId="77777777" w:rsidTr="00091F38">
        <w:trPr>
          <w:trHeight w:val="300"/>
        </w:trPr>
        <w:tc>
          <w:tcPr>
            <w:tcW w:w="1475" w:type="pct"/>
            <w:shd w:val="clear" w:color="auto" w:fill="auto"/>
            <w:vAlign w:val="center"/>
            <w:hideMark/>
          </w:tcPr>
          <w:p w14:paraId="741390A2" w14:textId="77777777" w:rsidR="00094B59" w:rsidRPr="00094B59" w:rsidRDefault="00094B59" w:rsidP="00094B59">
            <w:pPr>
              <w:spacing w:after="0" w:line="240" w:lineRule="auto"/>
              <w:rPr>
                <w:rFonts w:ascii="Arial" w:hAnsi="Arial" w:cs="Arial"/>
                <w:sz w:val="16"/>
                <w:szCs w:val="16"/>
              </w:rPr>
            </w:pPr>
            <w:r w:rsidRPr="00094B59">
              <w:rPr>
                <w:rFonts w:ascii="Arial" w:hAnsi="Arial" w:cs="Arial"/>
                <w:sz w:val="16"/>
                <w:szCs w:val="16"/>
              </w:rPr>
              <w:t>Change of conditions (c)</w:t>
            </w:r>
          </w:p>
        </w:tc>
        <w:tc>
          <w:tcPr>
            <w:tcW w:w="458" w:type="pct"/>
            <w:shd w:val="clear" w:color="auto" w:fill="auto"/>
            <w:vAlign w:val="center"/>
            <w:hideMark/>
          </w:tcPr>
          <w:p w14:paraId="2DA08898"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220</w:t>
            </w:r>
          </w:p>
        </w:tc>
        <w:tc>
          <w:tcPr>
            <w:tcW w:w="735" w:type="pct"/>
            <w:shd w:val="clear" w:color="auto" w:fill="auto"/>
            <w:vAlign w:val="center"/>
            <w:hideMark/>
          </w:tcPr>
          <w:p w14:paraId="02A4FEDF"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36.7</w:t>
            </w:r>
          </w:p>
        </w:tc>
        <w:tc>
          <w:tcPr>
            <w:tcW w:w="460" w:type="pct"/>
            <w:shd w:val="clear" w:color="auto" w:fill="auto"/>
            <w:vAlign w:val="center"/>
            <w:hideMark/>
          </w:tcPr>
          <w:p w14:paraId="0ED267B6"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57</w:t>
            </w:r>
          </w:p>
        </w:tc>
        <w:tc>
          <w:tcPr>
            <w:tcW w:w="700" w:type="pct"/>
            <w:shd w:val="clear" w:color="auto" w:fill="auto"/>
            <w:vAlign w:val="center"/>
            <w:hideMark/>
          </w:tcPr>
          <w:p w14:paraId="38E17B86"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22</w:t>
            </w:r>
          </w:p>
        </w:tc>
        <w:tc>
          <w:tcPr>
            <w:tcW w:w="495" w:type="pct"/>
            <w:shd w:val="clear" w:color="auto" w:fill="E1E8EB"/>
            <w:vAlign w:val="center"/>
            <w:hideMark/>
          </w:tcPr>
          <w:p w14:paraId="3D4C9C52"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2</w:t>
            </w:r>
          </w:p>
        </w:tc>
        <w:tc>
          <w:tcPr>
            <w:tcW w:w="678" w:type="pct"/>
            <w:shd w:val="clear" w:color="auto" w:fill="E1E8EB"/>
            <w:vAlign w:val="center"/>
            <w:hideMark/>
          </w:tcPr>
          <w:p w14:paraId="3F15CB0F"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2.0</w:t>
            </w:r>
          </w:p>
        </w:tc>
      </w:tr>
      <w:tr w:rsidR="0055403C" w:rsidRPr="00094B59" w14:paraId="5A93BC5E" w14:textId="77777777" w:rsidTr="00091F38">
        <w:trPr>
          <w:trHeight w:val="330"/>
        </w:trPr>
        <w:tc>
          <w:tcPr>
            <w:tcW w:w="1475" w:type="pct"/>
            <w:shd w:val="clear" w:color="auto" w:fill="auto"/>
            <w:vAlign w:val="center"/>
            <w:hideMark/>
          </w:tcPr>
          <w:p w14:paraId="3F9633F4" w14:textId="77777777" w:rsidR="00094B59" w:rsidRPr="00094B59" w:rsidRDefault="00094B59" w:rsidP="004F145A">
            <w:pPr>
              <w:spacing w:after="0" w:line="240" w:lineRule="auto"/>
              <w:jc w:val="left"/>
              <w:rPr>
                <w:rFonts w:ascii="Arial" w:hAnsi="Arial" w:cs="Arial"/>
                <w:sz w:val="16"/>
                <w:szCs w:val="16"/>
              </w:rPr>
            </w:pPr>
            <w:r w:rsidRPr="00094B59">
              <w:rPr>
                <w:rFonts w:ascii="Arial" w:hAnsi="Arial" w:cs="Arial"/>
                <w:sz w:val="16"/>
                <w:szCs w:val="16"/>
              </w:rPr>
              <w:t>Retrospective approval during FIRB consideration (d)</w:t>
            </w:r>
          </w:p>
        </w:tc>
        <w:tc>
          <w:tcPr>
            <w:tcW w:w="458" w:type="pct"/>
            <w:shd w:val="clear" w:color="auto" w:fill="auto"/>
            <w:vAlign w:val="center"/>
            <w:hideMark/>
          </w:tcPr>
          <w:p w14:paraId="0053F561"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213</w:t>
            </w:r>
          </w:p>
        </w:tc>
        <w:tc>
          <w:tcPr>
            <w:tcW w:w="735" w:type="pct"/>
            <w:shd w:val="clear" w:color="auto" w:fill="auto"/>
            <w:vAlign w:val="center"/>
            <w:hideMark/>
          </w:tcPr>
          <w:p w14:paraId="2FF946A2"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35.5</w:t>
            </w:r>
          </w:p>
        </w:tc>
        <w:tc>
          <w:tcPr>
            <w:tcW w:w="460" w:type="pct"/>
            <w:shd w:val="clear" w:color="auto" w:fill="auto"/>
            <w:vAlign w:val="center"/>
            <w:hideMark/>
          </w:tcPr>
          <w:p w14:paraId="091777C5"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62</w:t>
            </w:r>
          </w:p>
        </w:tc>
        <w:tc>
          <w:tcPr>
            <w:tcW w:w="700" w:type="pct"/>
            <w:shd w:val="clear" w:color="auto" w:fill="auto"/>
            <w:vAlign w:val="center"/>
            <w:hideMark/>
          </w:tcPr>
          <w:p w14:paraId="645A63EE"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23.9</w:t>
            </w:r>
          </w:p>
        </w:tc>
        <w:tc>
          <w:tcPr>
            <w:tcW w:w="495" w:type="pct"/>
            <w:shd w:val="clear" w:color="auto" w:fill="E1E8EB"/>
            <w:vAlign w:val="center"/>
            <w:hideMark/>
          </w:tcPr>
          <w:p w14:paraId="7AB89778"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17</w:t>
            </w:r>
          </w:p>
        </w:tc>
        <w:tc>
          <w:tcPr>
            <w:tcW w:w="678" w:type="pct"/>
            <w:shd w:val="clear" w:color="auto" w:fill="E1E8EB"/>
            <w:vAlign w:val="center"/>
            <w:hideMark/>
          </w:tcPr>
          <w:p w14:paraId="1697DA05"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17.0</w:t>
            </w:r>
          </w:p>
        </w:tc>
      </w:tr>
      <w:tr w:rsidR="0055403C" w:rsidRPr="00094B59" w14:paraId="233B949A" w14:textId="77777777" w:rsidTr="00091F38">
        <w:trPr>
          <w:trHeight w:val="300"/>
        </w:trPr>
        <w:tc>
          <w:tcPr>
            <w:tcW w:w="1475" w:type="pct"/>
            <w:tcBorders>
              <w:bottom w:val="single" w:sz="4" w:space="0" w:color="auto"/>
            </w:tcBorders>
            <w:shd w:val="clear" w:color="auto" w:fill="auto"/>
            <w:vAlign w:val="center"/>
            <w:hideMark/>
          </w:tcPr>
          <w:p w14:paraId="70AE5815" w14:textId="1783DE4B" w:rsidR="00094B59" w:rsidRPr="00094B59" w:rsidRDefault="00094B59" w:rsidP="00094B59">
            <w:pPr>
              <w:spacing w:after="0" w:line="240" w:lineRule="auto"/>
              <w:rPr>
                <w:rFonts w:ascii="Arial" w:hAnsi="Arial" w:cs="Arial"/>
                <w:sz w:val="16"/>
                <w:szCs w:val="16"/>
              </w:rPr>
            </w:pPr>
            <w:r w:rsidRPr="00094B59">
              <w:rPr>
                <w:rFonts w:ascii="Arial" w:hAnsi="Arial" w:cs="Arial"/>
                <w:sz w:val="16"/>
                <w:szCs w:val="16"/>
              </w:rPr>
              <w:t>Vacancy fee raised</w:t>
            </w:r>
            <w:r w:rsidR="00DD7D8C">
              <w:rPr>
                <w:rFonts w:ascii="Arial" w:hAnsi="Arial" w:cs="Arial"/>
                <w:sz w:val="16"/>
                <w:szCs w:val="16"/>
              </w:rPr>
              <w:t>*</w:t>
            </w:r>
          </w:p>
        </w:tc>
        <w:tc>
          <w:tcPr>
            <w:tcW w:w="458" w:type="pct"/>
            <w:tcBorders>
              <w:bottom w:val="single" w:sz="4" w:space="0" w:color="auto"/>
            </w:tcBorders>
            <w:shd w:val="clear" w:color="auto" w:fill="auto"/>
            <w:vAlign w:val="center"/>
            <w:hideMark/>
          </w:tcPr>
          <w:p w14:paraId="6B761A15"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5</w:t>
            </w:r>
          </w:p>
        </w:tc>
        <w:tc>
          <w:tcPr>
            <w:tcW w:w="735" w:type="pct"/>
            <w:tcBorders>
              <w:bottom w:val="single" w:sz="4" w:space="0" w:color="auto"/>
            </w:tcBorders>
            <w:shd w:val="clear" w:color="auto" w:fill="auto"/>
            <w:vAlign w:val="center"/>
            <w:hideMark/>
          </w:tcPr>
          <w:p w14:paraId="2CD38C98"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0.8</w:t>
            </w:r>
          </w:p>
        </w:tc>
        <w:tc>
          <w:tcPr>
            <w:tcW w:w="460" w:type="pct"/>
            <w:tcBorders>
              <w:bottom w:val="single" w:sz="4" w:space="0" w:color="auto"/>
            </w:tcBorders>
            <w:shd w:val="clear" w:color="auto" w:fill="auto"/>
            <w:vAlign w:val="center"/>
            <w:hideMark/>
          </w:tcPr>
          <w:p w14:paraId="4AC56B86"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21</w:t>
            </w:r>
          </w:p>
        </w:tc>
        <w:tc>
          <w:tcPr>
            <w:tcW w:w="700" w:type="pct"/>
            <w:tcBorders>
              <w:bottom w:val="single" w:sz="4" w:space="0" w:color="auto"/>
            </w:tcBorders>
            <w:shd w:val="clear" w:color="auto" w:fill="auto"/>
            <w:vAlign w:val="center"/>
            <w:hideMark/>
          </w:tcPr>
          <w:p w14:paraId="12BAD863" w14:textId="77777777" w:rsidR="00094B59" w:rsidRPr="00094B59" w:rsidRDefault="00094B59" w:rsidP="00094B59">
            <w:pPr>
              <w:spacing w:after="0" w:line="240" w:lineRule="auto"/>
              <w:jc w:val="right"/>
              <w:rPr>
                <w:rFonts w:ascii="Arial" w:hAnsi="Arial" w:cs="Arial"/>
                <w:sz w:val="16"/>
                <w:szCs w:val="16"/>
              </w:rPr>
            </w:pPr>
            <w:r w:rsidRPr="00094B59">
              <w:rPr>
                <w:rFonts w:ascii="Arial" w:hAnsi="Arial" w:cs="Arial"/>
                <w:sz w:val="16"/>
                <w:szCs w:val="16"/>
              </w:rPr>
              <w:t>8.1</w:t>
            </w:r>
          </w:p>
        </w:tc>
        <w:tc>
          <w:tcPr>
            <w:tcW w:w="495" w:type="pct"/>
            <w:tcBorders>
              <w:bottom w:val="single" w:sz="4" w:space="0" w:color="auto"/>
            </w:tcBorders>
            <w:shd w:val="clear" w:color="auto" w:fill="E1E8EB"/>
            <w:vAlign w:val="center"/>
            <w:hideMark/>
          </w:tcPr>
          <w:p w14:paraId="250C063D" w14:textId="14C8974D" w:rsidR="00094B59" w:rsidRPr="00094B59" w:rsidRDefault="003E7C79" w:rsidP="00094B59">
            <w:pPr>
              <w:spacing w:after="0" w:line="240" w:lineRule="auto"/>
              <w:jc w:val="right"/>
              <w:rPr>
                <w:rFonts w:ascii="Arial" w:hAnsi="Arial" w:cs="Arial"/>
                <w:sz w:val="16"/>
                <w:szCs w:val="16"/>
              </w:rPr>
            </w:pPr>
            <w:r>
              <w:rPr>
                <w:rFonts w:ascii="Arial" w:hAnsi="Arial" w:cs="Arial"/>
                <w:sz w:val="16"/>
                <w:szCs w:val="16"/>
              </w:rPr>
              <w:t>–</w:t>
            </w:r>
          </w:p>
        </w:tc>
        <w:tc>
          <w:tcPr>
            <w:tcW w:w="678" w:type="pct"/>
            <w:tcBorders>
              <w:bottom w:val="single" w:sz="4" w:space="0" w:color="auto"/>
            </w:tcBorders>
            <w:shd w:val="clear" w:color="auto" w:fill="E1E8EB"/>
            <w:vAlign w:val="center"/>
            <w:hideMark/>
          </w:tcPr>
          <w:p w14:paraId="59581572" w14:textId="1E837EFC" w:rsidR="00094B59" w:rsidRPr="00094B59" w:rsidRDefault="003E7C79" w:rsidP="00094B59">
            <w:pPr>
              <w:spacing w:after="0" w:line="240" w:lineRule="auto"/>
              <w:jc w:val="right"/>
              <w:rPr>
                <w:rFonts w:ascii="Arial" w:hAnsi="Arial" w:cs="Arial"/>
                <w:sz w:val="16"/>
                <w:szCs w:val="16"/>
              </w:rPr>
            </w:pPr>
            <w:r>
              <w:rPr>
                <w:rFonts w:ascii="Arial" w:hAnsi="Arial" w:cs="Arial"/>
                <w:sz w:val="16"/>
                <w:szCs w:val="16"/>
              </w:rPr>
              <w:t>–</w:t>
            </w:r>
          </w:p>
        </w:tc>
      </w:tr>
      <w:tr w:rsidR="0055403C" w:rsidRPr="004F145A" w14:paraId="62DC6593" w14:textId="77777777" w:rsidTr="00091F38">
        <w:trPr>
          <w:trHeight w:val="315"/>
        </w:trPr>
        <w:tc>
          <w:tcPr>
            <w:tcW w:w="1475" w:type="pct"/>
            <w:tcBorders>
              <w:top w:val="single" w:sz="4" w:space="0" w:color="auto"/>
              <w:bottom w:val="single" w:sz="4" w:space="0" w:color="auto"/>
            </w:tcBorders>
            <w:shd w:val="clear" w:color="auto" w:fill="auto"/>
            <w:vAlign w:val="center"/>
            <w:hideMark/>
          </w:tcPr>
          <w:p w14:paraId="3FC097C9" w14:textId="77777777" w:rsidR="00094B59" w:rsidRPr="004F145A" w:rsidRDefault="00094B59" w:rsidP="00094B59">
            <w:pPr>
              <w:spacing w:after="0" w:line="240" w:lineRule="auto"/>
              <w:rPr>
                <w:rFonts w:ascii="Arial" w:hAnsi="Arial" w:cs="Arial"/>
                <w:b/>
                <w:bCs/>
                <w:sz w:val="16"/>
                <w:szCs w:val="16"/>
              </w:rPr>
            </w:pPr>
            <w:r w:rsidRPr="004F145A">
              <w:rPr>
                <w:rFonts w:ascii="Arial" w:hAnsi="Arial" w:cs="Arial"/>
                <w:b/>
                <w:bCs/>
                <w:sz w:val="16"/>
                <w:szCs w:val="16"/>
              </w:rPr>
              <w:t xml:space="preserve">Total outcomes </w:t>
            </w:r>
          </w:p>
        </w:tc>
        <w:tc>
          <w:tcPr>
            <w:tcW w:w="458" w:type="pct"/>
            <w:tcBorders>
              <w:top w:val="single" w:sz="4" w:space="0" w:color="auto"/>
              <w:bottom w:val="single" w:sz="4" w:space="0" w:color="auto"/>
            </w:tcBorders>
            <w:shd w:val="clear" w:color="auto" w:fill="auto"/>
            <w:vAlign w:val="center"/>
            <w:hideMark/>
          </w:tcPr>
          <w:p w14:paraId="5A8BCA91" w14:textId="77777777" w:rsidR="00094B59" w:rsidRPr="004F145A" w:rsidRDefault="00094B59" w:rsidP="00094B59">
            <w:pPr>
              <w:spacing w:after="0" w:line="240" w:lineRule="auto"/>
              <w:jc w:val="right"/>
              <w:rPr>
                <w:rFonts w:ascii="Arial" w:hAnsi="Arial" w:cs="Arial"/>
                <w:b/>
                <w:bCs/>
                <w:sz w:val="16"/>
                <w:szCs w:val="16"/>
              </w:rPr>
            </w:pPr>
            <w:r w:rsidRPr="004F145A">
              <w:rPr>
                <w:rFonts w:ascii="Arial" w:hAnsi="Arial" w:cs="Arial"/>
                <w:b/>
                <w:bCs/>
                <w:sz w:val="16"/>
                <w:szCs w:val="16"/>
              </w:rPr>
              <w:t>600</w:t>
            </w:r>
          </w:p>
        </w:tc>
        <w:tc>
          <w:tcPr>
            <w:tcW w:w="735" w:type="pct"/>
            <w:tcBorders>
              <w:top w:val="single" w:sz="4" w:space="0" w:color="auto"/>
              <w:bottom w:val="single" w:sz="4" w:space="0" w:color="auto"/>
            </w:tcBorders>
            <w:shd w:val="clear" w:color="auto" w:fill="auto"/>
            <w:vAlign w:val="center"/>
            <w:hideMark/>
          </w:tcPr>
          <w:p w14:paraId="3FE700A1" w14:textId="77777777" w:rsidR="00094B59" w:rsidRPr="004F145A" w:rsidRDefault="00094B59" w:rsidP="00094B59">
            <w:pPr>
              <w:spacing w:after="0" w:line="240" w:lineRule="auto"/>
              <w:jc w:val="right"/>
              <w:rPr>
                <w:rFonts w:ascii="Arial" w:hAnsi="Arial" w:cs="Arial"/>
                <w:b/>
                <w:bCs/>
                <w:sz w:val="16"/>
                <w:szCs w:val="16"/>
              </w:rPr>
            </w:pPr>
            <w:r w:rsidRPr="004F145A">
              <w:rPr>
                <w:rFonts w:ascii="Arial" w:hAnsi="Arial" w:cs="Arial"/>
                <w:b/>
                <w:bCs/>
                <w:sz w:val="16"/>
                <w:szCs w:val="16"/>
              </w:rPr>
              <w:t>100</w:t>
            </w:r>
          </w:p>
        </w:tc>
        <w:tc>
          <w:tcPr>
            <w:tcW w:w="460" w:type="pct"/>
            <w:tcBorders>
              <w:top w:val="single" w:sz="4" w:space="0" w:color="auto"/>
              <w:bottom w:val="single" w:sz="4" w:space="0" w:color="auto"/>
            </w:tcBorders>
            <w:shd w:val="clear" w:color="auto" w:fill="auto"/>
            <w:vAlign w:val="center"/>
            <w:hideMark/>
          </w:tcPr>
          <w:p w14:paraId="1C10062B" w14:textId="77777777" w:rsidR="00094B59" w:rsidRPr="004F145A" w:rsidRDefault="00094B59" w:rsidP="00094B59">
            <w:pPr>
              <w:spacing w:after="0" w:line="240" w:lineRule="auto"/>
              <w:jc w:val="right"/>
              <w:rPr>
                <w:rFonts w:ascii="Arial" w:hAnsi="Arial" w:cs="Arial"/>
                <w:b/>
                <w:bCs/>
                <w:sz w:val="16"/>
                <w:szCs w:val="16"/>
              </w:rPr>
            </w:pPr>
            <w:r w:rsidRPr="004F145A">
              <w:rPr>
                <w:rFonts w:ascii="Arial" w:hAnsi="Arial" w:cs="Arial"/>
                <w:b/>
                <w:bCs/>
                <w:sz w:val="16"/>
                <w:szCs w:val="16"/>
              </w:rPr>
              <w:t>259</w:t>
            </w:r>
          </w:p>
        </w:tc>
        <w:tc>
          <w:tcPr>
            <w:tcW w:w="700" w:type="pct"/>
            <w:tcBorders>
              <w:top w:val="single" w:sz="4" w:space="0" w:color="auto"/>
              <w:bottom w:val="single" w:sz="4" w:space="0" w:color="auto"/>
            </w:tcBorders>
            <w:shd w:val="clear" w:color="auto" w:fill="auto"/>
            <w:vAlign w:val="center"/>
            <w:hideMark/>
          </w:tcPr>
          <w:p w14:paraId="2DC965C1" w14:textId="77777777" w:rsidR="00094B59" w:rsidRPr="004F145A" w:rsidRDefault="00094B59" w:rsidP="00094B59">
            <w:pPr>
              <w:spacing w:after="0" w:line="240" w:lineRule="auto"/>
              <w:jc w:val="right"/>
              <w:rPr>
                <w:rFonts w:ascii="Arial" w:hAnsi="Arial" w:cs="Arial"/>
                <w:b/>
                <w:bCs/>
                <w:sz w:val="16"/>
                <w:szCs w:val="16"/>
              </w:rPr>
            </w:pPr>
            <w:r w:rsidRPr="004F145A">
              <w:rPr>
                <w:rFonts w:ascii="Arial" w:hAnsi="Arial" w:cs="Arial"/>
                <w:b/>
                <w:bCs/>
                <w:sz w:val="16"/>
                <w:szCs w:val="16"/>
              </w:rPr>
              <w:t>100</w:t>
            </w:r>
          </w:p>
        </w:tc>
        <w:tc>
          <w:tcPr>
            <w:tcW w:w="495" w:type="pct"/>
            <w:tcBorders>
              <w:top w:val="single" w:sz="4" w:space="0" w:color="auto"/>
              <w:bottom w:val="single" w:sz="4" w:space="0" w:color="auto"/>
            </w:tcBorders>
            <w:shd w:val="clear" w:color="auto" w:fill="E1E8EB"/>
            <w:vAlign w:val="center"/>
            <w:hideMark/>
          </w:tcPr>
          <w:p w14:paraId="2251778E" w14:textId="77777777" w:rsidR="00094B59" w:rsidRPr="004F145A" w:rsidRDefault="00094B59" w:rsidP="00094B59">
            <w:pPr>
              <w:spacing w:after="0" w:line="240" w:lineRule="auto"/>
              <w:jc w:val="right"/>
              <w:rPr>
                <w:rFonts w:ascii="Arial" w:hAnsi="Arial" w:cs="Arial"/>
                <w:b/>
                <w:bCs/>
                <w:sz w:val="16"/>
                <w:szCs w:val="16"/>
              </w:rPr>
            </w:pPr>
            <w:r w:rsidRPr="004F145A">
              <w:rPr>
                <w:rFonts w:ascii="Arial" w:hAnsi="Arial" w:cs="Arial"/>
                <w:b/>
                <w:bCs/>
                <w:sz w:val="16"/>
                <w:szCs w:val="16"/>
              </w:rPr>
              <w:t>100</w:t>
            </w:r>
          </w:p>
        </w:tc>
        <w:tc>
          <w:tcPr>
            <w:tcW w:w="678" w:type="pct"/>
            <w:tcBorders>
              <w:top w:val="single" w:sz="4" w:space="0" w:color="auto"/>
              <w:bottom w:val="single" w:sz="4" w:space="0" w:color="auto"/>
            </w:tcBorders>
            <w:shd w:val="clear" w:color="auto" w:fill="E1E8EB"/>
            <w:vAlign w:val="center"/>
            <w:hideMark/>
          </w:tcPr>
          <w:p w14:paraId="2A643F48" w14:textId="77777777" w:rsidR="00094B59" w:rsidRPr="004F145A" w:rsidRDefault="00094B59" w:rsidP="00094B59">
            <w:pPr>
              <w:spacing w:after="0" w:line="240" w:lineRule="auto"/>
              <w:jc w:val="right"/>
              <w:rPr>
                <w:rFonts w:ascii="Arial" w:hAnsi="Arial" w:cs="Arial"/>
                <w:b/>
                <w:bCs/>
                <w:sz w:val="16"/>
                <w:szCs w:val="16"/>
              </w:rPr>
            </w:pPr>
            <w:r w:rsidRPr="004F145A">
              <w:rPr>
                <w:rFonts w:ascii="Arial" w:hAnsi="Arial" w:cs="Arial"/>
                <w:b/>
                <w:bCs/>
                <w:sz w:val="16"/>
                <w:szCs w:val="16"/>
              </w:rPr>
              <w:t>100.0</w:t>
            </w:r>
          </w:p>
        </w:tc>
      </w:tr>
    </w:tbl>
    <w:p w14:paraId="0A7178F8" w14:textId="4C14D788" w:rsidR="00094B59" w:rsidRDefault="00DD7D8C" w:rsidP="002A4F30">
      <w:pPr>
        <w:spacing w:after="0" w:line="240" w:lineRule="auto"/>
        <w:rPr>
          <w:rFonts w:cstheme="minorHAnsi"/>
          <w:sz w:val="16"/>
        </w:rPr>
      </w:pPr>
      <w:r w:rsidRPr="00DD7D8C">
        <w:rPr>
          <w:rFonts w:cstheme="minorHAnsi"/>
          <w:sz w:val="16"/>
        </w:rPr>
        <w:t>Refers to situations where a compliance review was undertaken following the lodgement of a vacancy fee return and a vacancy fee liability was raised for a dwelling that was found to be occupied for fewer than  183 days during a vacancy year.</w:t>
      </w:r>
    </w:p>
    <w:p w14:paraId="569D6874" w14:textId="77777777" w:rsidR="002A4F30" w:rsidRPr="002A4F30" w:rsidRDefault="002A4F30" w:rsidP="00091F38">
      <w:pPr>
        <w:pStyle w:val="SingleParagraph"/>
      </w:pPr>
    </w:p>
    <w:p w14:paraId="120DDE0F" w14:textId="716203DF" w:rsidR="00294D3B" w:rsidRPr="00D5471A" w:rsidRDefault="00294D3B" w:rsidP="00294D3B">
      <w:pPr>
        <w:rPr>
          <w:rFonts w:ascii="Tahoma" w:hAnsi="Tahoma" w:cs="Tahoma"/>
        </w:rPr>
      </w:pPr>
      <w:r w:rsidRPr="00DD7D8C">
        <w:t xml:space="preserve">The downward trend in investigation outcomes in part reflects the complexities around investors (in particular, temporary residents) being unable to comply with approval conditions due to restrictions on movement imposed to counteract the transmission of </w:t>
      </w:r>
      <w:r w:rsidR="00776645">
        <w:t>COVID-19</w:t>
      </w:r>
      <w:r w:rsidRPr="00DD7D8C">
        <w:t>. From March to October</w:t>
      </w:r>
      <w:r w:rsidR="00CA3337">
        <w:t> </w:t>
      </w:r>
      <w:r w:rsidRPr="00DD7D8C">
        <w:t>2020, a temporary compliance strategy was implemented with compliance cases paused during this period. Many of the compliance staff who support the ATO</w:t>
      </w:r>
      <w:r w:rsidR="00065800">
        <w:t>’</w:t>
      </w:r>
      <w:r w:rsidRPr="00DD7D8C">
        <w:t xml:space="preserve">s audit program were redeployed to priority </w:t>
      </w:r>
      <w:r w:rsidR="00776645">
        <w:t>COVID-19</w:t>
      </w:r>
      <w:r w:rsidRPr="00DD7D8C">
        <w:t xml:space="preserve"> response activities, including screening applications generated from the zero dollar threshold </w:t>
      </w:r>
      <w:r w:rsidR="00931E2C">
        <w:t>arrangements</w:t>
      </w:r>
      <w:r w:rsidRPr="00DD7D8C">
        <w:t>. Work continued on prevention campaigns and the more serious compliance activity, and in July</w:t>
      </w:r>
      <w:r w:rsidR="00CA3337">
        <w:t> </w:t>
      </w:r>
      <w:r w:rsidRPr="00DD7D8C">
        <w:t>2020, the Commissioner of Taxation applied to the Federal Court for the first civil penalty order under the</w:t>
      </w:r>
      <w:r w:rsidR="00931E2C">
        <w:t xml:space="preserve"> Act</w:t>
      </w:r>
      <w:r w:rsidRPr="00DD7D8C">
        <w:t>.</w:t>
      </w:r>
      <w:r w:rsidRPr="00D5471A">
        <w:rPr>
          <w:rFonts w:ascii="Tahoma" w:hAnsi="Tahoma" w:cs="Tahoma"/>
        </w:rPr>
        <w:t xml:space="preserve"> </w:t>
      </w:r>
    </w:p>
    <w:p w14:paraId="390CA4EA" w14:textId="7C391E28" w:rsidR="00294D3B" w:rsidRPr="009D66F5" w:rsidRDefault="00294D3B" w:rsidP="00294D3B">
      <w:bookmarkStart w:id="221" w:name="_Hlk89695433"/>
      <w:r w:rsidRPr="009D66F5">
        <w:t xml:space="preserve">Aside from </w:t>
      </w:r>
      <w:r w:rsidR="00776645">
        <w:t>COVID-19</w:t>
      </w:r>
      <w:r w:rsidRPr="009D66F5">
        <w:t>, the downward trend in investigations also reflects a strategic shift to implement a refined risk assessment and more sophisticated treatment framework to acknowledge the learnings from five years of intense compliance activity in this sector. The ATO</w:t>
      </w:r>
      <w:r w:rsidR="00065800">
        <w:t>’</w:t>
      </w:r>
      <w:r w:rsidRPr="009D66F5">
        <w:t>s risk</w:t>
      </w:r>
      <w:r w:rsidR="003E7C79">
        <w:t>–</w:t>
      </w:r>
      <w:r w:rsidRPr="009D66F5">
        <w:t>based approach identifies the greatest threats to the framework and targets resources accordingly. Less sophisticated investors who are ignorant of the system and demonstrate willingness to do the right thing will be assisted to comply with their obligations with minimal penalties. This educational approach enables the ATO to focus resources on the most serious behaviours requiring firmer compliance action, with concentrated compliance treatments targeted to the highest risk, sophisticated investors who are contravening the rules.</w:t>
      </w:r>
      <w:bookmarkEnd w:id="221"/>
    </w:p>
    <w:p w14:paraId="351F7914" w14:textId="77777777" w:rsidR="00294D3B" w:rsidRPr="00482190" w:rsidRDefault="00294D3B" w:rsidP="00FE3E87">
      <w:pPr>
        <w:pStyle w:val="Heading4"/>
        <w:rPr>
          <w:rFonts w:eastAsiaTheme="minorHAnsi"/>
          <w:lang w:eastAsia="en-US"/>
        </w:rPr>
      </w:pPr>
      <w:r w:rsidRPr="00482190">
        <w:rPr>
          <w:rFonts w:eastAsiaTheme="minorHAnsi"/>
          <w:lang w:eastAsia="en-US"/>
        </w:rPr>
        <w:t>Investigations by source</w:t>
      </w:r>
    </w:p>
    <w:p w14:paraId="69659EE1" w14:textId="4A12FF32" w:rsidR="0077638A" w:rsidRPr="00D36BBE" w:rsidRDefault="00294D3B" w:rsidP="00294D3B">
      <w:pPr>
        <w:rPr>
          <w:rFonts w:ascii="Tahoma" w:hAnsi="Tahoma" w:cs="Tahoma"/>
        </w:rPr>
      </w:pPr>
      <w:r w:rsidRPr="009D66F5">
        <w:t>The ATO identifies properties for investigation using a range of sources including community information, data matching and self</w:t>
      </w:r>
      <w:r w:rsidR="003E7C79">
        <w:t>–</w:t>
      </w:r>
      <w:r w:rsidRPr="009D66F5">
        <w:t xml:space="preserve">disclosures </w:t>
      </w:r>
      <w:r w:rsidRPr="00E22B5E">
        <w:t>(see</w:t>
      </w:r>
      <w:r w:rsidR="00CA3337">
        <w:t> </w:t>
      </w:r>
      <w:r w:rsidRPr="00E22B5E">
        <w:t>Table </w:t>
      </w:r>
      <w:r w:rsidR="00E22B5E">
        <w:t>4</w:t>
      </w:r>
      <w:r w:rsidRPr="00E22B5E">
        <w:t>.</w:t>
      </w:r>
      <w:r w:rsidR="00E22B5E">
        <w:t>7</w:t>
      </w:r>
      <w:r w:rsidR="00CA3337">
        <w:t> </w:t>
      </w:r>
      <w:r w:rsidR="00004EE5">
        <w:t>and</w:t>
      </w:r>
      <w:r w:rsidR="00CA3337">
        <w:t> </w:t>
      </w:r>
      <w:r w:rsidR="00E22B5E">
        <w:t>4</w:t>
      </w:r>
      <w:r w:rsidRPr="00E22B5E">
        <w:t>.</w:t>
      </w:r>
      <w:r w:rsidR="00E22B5E">
        <w:t>8</w:t>
      </w:r>
      <w:r w:rsidRPr="00E22B5E">
        <w:t>).</w:t>
      </w:r>
      <w:r w:rsidRPr="00D36BBE">
        <w:rPr>
          <w:rFonts w:ascii="Tahoma" w:hAnsi="Tahoma" w:cs="Tahoma"/>
        </w:rPr>
        <w:t xml:space="preserve"> </w:t>
      </w:r>
    </w:p>
    <w:p w14:paraId="77EE3B33" w14:textId="1D62EED6" w:rsidR="009812FE" w:rsidRPr="00091F38" w:rsidRDefault="009812FE" w:rsidP="00091F38">
      <w:pPr>
        <w:pStyle w:val="TableMainHeading"/>
      </w:pPr>
      <w:bookmarkStart w:id="222" w:name="_Toc89939962"/>
      <w:r w:rsidRPr="00091F38">
        <w:lastRenderedPageBreak/>
        <w:t xml:space="preserve">Table </w:t>
      </w:r>
      <w:fldSimple w:instr=" STYLEREF 1 \s ">
        <w:r w:rsidR="0019342F">
          <w:rPr>
            <w:noProof/>
          </w:rPr>
          <w:t>4</w:t>
        </w:r>
      </w:fldSimple>
      <w:r w:rsidRPr="00091F38">
        <w:t>.</w:t>
      </w:r>
      <w:fldSimple w:instr=" SEQ Table \* ARABIC \s 1 ">
        <w:r w:rsidR="0019342F">
          <w:rPr>
            <w:noProof/>
          </w:rPr>
          <w:t>7</w:t>
        </w:r>
      </w:fldSimple>
      <w:r w:rsidRPr="00091F38">
        <w:t xml:space="preserve">: Source of residential real estate compliance investigations, </w:t>
      </w:r>
      <w:r w:rsidR="00C17F09">
        <w:t>2018</w:t>
      </w:r>
      <w:r w:rsidR="00C17F09">
        <w:noBreakHyphen/>
        <w:t>19</w:t>
      </w:r>
      <w:r w:rsidRPr="00091F38">
        <w:t xml:space="preserve"> to </w:t>
      </w:r>
      <w:r w:rsidR="00D76ED2" w:rsidRPr="00091F38">
        <w:t>2020</w:t>
      </w:r>
      <w:r w:rsidR="00D76ED2" w:rsidRPr="00091F38">
        <w:noBreakHyphen/>
        <w:t>21</w:t>
      </w:r>
      <w:bookmarkEnd w:id="222"/>
    </w:p>
    <w:tbl>
      <w:tblPr>
        <w:tblW w:w="7806" w:type="dxa"/>
        <w:tblLook w:val="04A0" w:firstRow="1" w:lastRow="0" w:firstColumn="1" w:lastColumn="0" w:noHBand="0" w:noVBand="1"/>
      </w:tblPr>
      <w:tblGrid>
        <w:gridCol w:w="2180"/>
        <w:gridCol w:w="865"/>
        <w:gridCol w:w="1035"/>
        <w:gridCol w:w="828"/>
        <w:gridCol w:w="1035"/>
        <w:gridCol w:w="828"/>
        <w:gridCol w:w="1035"/>
      </w:tblGrid>
      <w:tr w:rsidR="00DD7D8C" w:rsidRPr="00DD7D8C" w14:paraId="036CE06B" w14:textId="77777777" w:rsidTr="00091F38">
        <w:trPr>
          <w:trHeight w:val="300"/>
        </w:trPr>
        <w:tc>
          <w:tcPr>
            <w:tcW w:w="2620" w:type="dxa"/>
            <w:tcBorders>
              <w:top w:val="single" w:sz="4" w:space="0" w:color="auto"/>
            </w:tcBorders>
            <w:shd w:val="clear" w:color="auto" w:fill="auto"/>
            <w:vAlign w:val="center"/>
            <w:hideMark/>
          </w:tcPr>
          <w:p w14:paraId="697F712C" w14:textId="55657733" w:rsidR="00DD7D8C" w:rsidRPr="00DD7D8C" w:rsidRDefault="00DD7D8C" w:rsidP="00DD7D8C">
            <w:pPr>
              <w:spacing w:after="0" w:line="240" w:lineRule="auto"/>
              <w:rPr>
                <w:rFonts w:ascii="Arial" w:hAnsi="Arial" w:cs="Arial"/>
                <w:sz w:val="16"/>
                <w:szCs w:val="16"/>
              </w:rPr>
            </w:pPr>
          </w:p>
        </w:tc>
        <w:tc>
          <w:tcPr>
            <w:tcW w:w="1995" w:type="dxa"/>
            <w:gridSpan w:val="2"/>
            <w:tcBorders>
              <w:top w:val="single" w:sz="4" w:space="0" w:color="auto"/>
              <w:bottom w:val="single" w:sz="4" w:space="0" w:color="auto"/>
            </w:tcBorders>
            <w:shd w:val="clear" w:color="auto" w:fill="auto"/>
            <w:vAlign w:val="center"/>
            <w:hideMark/>
          </w:tcPr>
          <w:p w14:paraId="5925918E" w14:textId="390576D1" w:rsidR="00DD7D8C" w:rsidRPr="00DD7D8C" w:rsidRDefault="00C17F09" w:rsidP="00DD7D8C">
            <w:pPr>
              <w:spacing w:after="0" w:line="240" w:lineRule="auto"/>
              <w:jc w:val="center"/>
              <w:rPr>
                <w:rFonts w:ascii="Arial" w:hAnsi="Arial" w:cs="Arial"/>
                <w:sz w:val="16"/>
                <w:szCs w:val="16"/>
              </w:rPr>
            </w:pPr>
            <w:r>
              <w:rPr>
                <w:rFonts w:ascii="Arial" w:hAnsi="Arial" w:cs="Arial"/>
                <w:sz w:val="16"/>
                <w:szCs w:val="16"/>
              </w:rPr>
              <w:t>2018</w:t>
            </w:r>
            <w:r>
              <w:rPr>
                <w:rFonts w:ascii="Arial" w:hAnsi="Arial" w:cs="Arial"/>
                <w:sz w:val="16"/>
                <w:szCs w:val="16"/>
              </w:rPr>
              <w:noBreakHyphen/>
              <w:t>19</w:t>
            </w:r>
          </w:p>
        </w:tc>
        <w:tc>
          <w:tcPr>
            <w:tcW w:w="1995" w:type="dxa"/>
            <w:gridSpan w:val="2"/>
            <w:tcBorders>
              <w:top w:val="single" w:sz="4" w:space="0" w:color="auto"/>
              <w:bottom w:val="single" w:sz="4" w:space="0" w:color="auto"/>
            </w:tcBorders>
            <w:shd w:val="clear" w:color="auto" w:fill="auto"/>
            <w:vAlign w:val="center"/>
            <w:hideMark/>
          </w:tcPr>
          <w:p w14:paraId="114DD5FF" w14:textId="0A0B6B3C" w:rsidR="00DD7D8C" w:rsidRPr="00DD7D8C" w:rsidRDefault="00D76ED2" w:rsidP="00DD7D8C">
            <w:pPr>
              <w:spacing w:after="0" w:line="240" w:lineRule="auto"/>
              <w:jc w:val="center"/>
              <w:rPr>
                <w:rFonts w:ascii="Arial" w:hAnsi="Arial" w:cs="Arial"/>
                <w:sz w:val="16"/>
                <w:szCs w:val="16"/>
              </w:rPr>
            </w:pPr>
            <w:r>
              <w:rPr>
                <w:rFonts w:ascii="Arial" w:hAnsi="Arial" w:cs="Arial"/>
                <w:sz w:val="16"/>
                <w:szCs w:val="16"/>
              </w:rPr>
              <w:t>2019</w:t>
            </w:r>
            <w:r>
              <w:rPr>
                <w:rFonts w:ascii="Arial" w:hAnsi="Arial" w:cs="Arial"/>
                <w:sz w:val="16"/>
                <w:szCs w:val="16"/>
              </w:rPr>
              <w:noBreakHyphen/>
              <w:t>20</w:t>
            </w:r>
          </w:p>
        </w:tc>
        <w:tc>
          <w:tcPr>
            <w:tcW w:w="1193" w:type="dxa"/>
            <w:gridSpan w:val="2"/>
            <w:tcBorders>
              <w:top w:val="single" w:sz="4" w:space="0" w:color="auto"/>
              <w:bottom w:val="single" w:sz="4" w:space="0" w:color="auto"/>
            </w:tcBorders>
            <w:shd w:val="clear" w:color="auto" w:fill="E1E8EB"/>
            <w:vAlign w:val="center"/>
            <w:hideMark/>
          </w:tcPr>
          <w:p w14:paraId="72175034" w14:textId="43078D5D" w:rsidR="00DD7D8C" w:rsidRPr="00DD7D8C" w:rsidRDefault="00D76ED2" w:rsidP="00DD7D8C">
            <w:pPr>
              <w:spacing w:after="0" w:line="240" w:lineRule="auto"/>
              <w:jc w:val="center"/>
              <w:rPr>
                <w:rFonts w:ascii="Arial" w:hAnsi="Arial" w:cs="Arial"/>
                <w:sz w:val="16"/>
                <w:szCs w:val="16"/>
              </w:rPr>
            </w:pPr>
            <w:r>
              <w:rPr>
                <w:rFonts w:ascii="Arial" w:hAnsi="Arial" w:cs="Arial"/>
                <w:sz w:val="16"/>
                <w:szCs w:val="16"/>
              </w:rPr>
              <w:t>2020</w:t>
            </w:r>
            <w:r>
              <w:rPr>
                <w:rFonts w:ascii="Arial" w:hAnsi="Arial" w:cs="Arial"/>
                <w:sz w:val="16"/>
                <w:szCs w:val="16"/>
              </w:rPr>
              <w:noBreakHyphen/>
              <w:t>21</w:t>
            </w:r>
          </w:p>
        </w:tc>
      </w:tr>
      <w:tr w:rsidR="00DD7D8C" w:rsidRPr="00DD7D8C" w14:paraId="4FC67A7E" w14:textId="77777777" w:rsidTr="00091F38">
        <w:trPr>
          <w:trHeight w:val="330"/>
        </w:trPr>
        <w:tc>
          <w:tcPr>
            <w:tcW w:w="2620" w:type="dxa"/>
            <w:tcBorders>
              <w:bottom w:val="single" w:sz="4" w:space="0" w:color="auto"/>
            </w:tcBorders>
            <w:shd w:val="clear" w:color="auto" w:fill="auto"/>
            <w:vAlign w:val="center"/>
            <w:hideMark/>
          </w:tcPr>
          <w:p w14:paraId="02EA105D" w14:textId="309AC9A1" w:rsidR="00DD7D8C" w:rsidRPr="00DD7D8C" w:rsidRDefault="0077638A" w:rsidP="00DD7D8C">
            <w:pPr>
              <w:spacing w:after="0" w:line="240" w:lineRule="auto"/>
              <w:jc w:val="left"/>
              <w:rPr>
                <w:rFonts w:ascii="Arial" w:hAnsi="Arial" w:cs="Arial"/>
                <w:sz w:val="16"/>
                <w:szCs w:val="16"/>
              </w:rPr>
            </w:pPr>
            <w:r w:rsidRPr="00DD7D8C">
              <w:rPr>
                <w:rFonts w:ascii="Arial" w:hAnsi="Arial" w:cs="Arial"/>
                <w:sz w:val="16"/>
                <w:szCs w:val="16"/>
              </w:rPr>
              <w:t>Source of Case</w:t>
            </w:r>
          </w:p>
        </w:tc>
        <w:tc>
          <w:tcPr>
            <w:tcW w:w="960" w:type="dxa"/>
            <w:tcBorders>
              <w:top w:val="single" w:sz="4" w:space="0" w:color="auto"/>
              <w:bottom w:val="single" w:sz="4" w:space="0" w:color="auto"/>
            </w:tcBorders>
            <w:shd w:val="clear" w:color="auto" w:fill="auto"/>
            <w:vAlign w:val="center"/>
            <w:hideMark/>
          </w:tcPr>
          <w:p w14:paraId="688268B2"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 xml:space="preserve">No. </w:t>
            </w:r>
          </w:p>
        </w:tc>
        <w:tc>
          <w:tcPr>
            <w:tcW w:w="1035" w:type="dxa"/>
            <w:tcBorders>
              <w:top w:val="single" w:sz="4" w:space="0" w:color="auto"/>
              <w:bottom w:val="single" w:sz="4" w:space="0" w:color="auto"/>
            </w:tcBorders>
            <w:shd w:val="clear" w:color="auto" w:fill="auto"/>
            <w:vAlign w:val="center"/>
            <w:hideMark/>
          </w:tcPr>
          <w:p w14:paraId="6DF7553F"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 xml:space="preserve">Percentage </w:t>
            </w:r>
          </w:p>
        </w:tc>
        <w:tc>
          <w:tcPr>
            <w:tcW w:w="960" w:type="dxa"/>
            <w:tcBorders>
              <w:top w:val="single" w:sz="4" w:space="0" w:color="auto"/>
              <w:bottom w:val="single" w:sz="4" w:space="0" w:color="auto"/>
            </w:tcBorders>
            <w:shd w:val="clear" w:color="auto" w:fill="auto"/>
            <w:vAlign w:val="center"/>
            <w:hideMark/>
          </w:tcPr>
          <w:p w14:paraId="448E47E6"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 xml:space="preserve">No. </w:t>
            </w:r>
          </w:p>
        </w:tc>
        <w:tc>
          <w:tcPr>
            <w:tcW w:w="1035" w:type="dxa"/>
            <w:tcBorders>
              <w:top w:val="single" w:sz="4" w:space="0" w:color="auto"/>
              <w:bottom w:val="single" w:sz="4" w:space="0" w:color="auto"/>
            </w:tcBorders>
            <w:shd w:val="clear" w:color="auto" w:fill="auto"/>
            <w:vAlign w:val="center"/>
            <w:hideMark/>
          </w:tcPr>
          <w:p w14:paraId="21691FB1"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 xml:space="preserve">Percentage </w:t>
            </w:r>
          </w:p>
        </w:tc>
        <w:tc>
          <w:tcPr>
            <w:tcW w:w="960" w:type="dxa"/>
            <w:tcBorders>
              <w:top w:val="single" w:sz="4" w:space="0" w:color="auto"/>
              <w:bottom w:val="single" w:sz="4" w:space="0" w:color="auto"/>
            </w:tcBorders>
            <w:shd w:val="clear" w:color="auto" w:fill="E1E8EB"/>
            <w:vAlign w:val="center"/>
            <w:hideMark/>
          </w:tcPr>
          <w:p w14:paraId="58F19AAC"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 xml:space="preserve">No. </w:t>
            </w:r>
          </w:p>
        </w:tc>
        <w:tc>
          <w:tcPr>
            <w:tcW w:w="236" w:type="dxa"/>
            <w:tcBorders>
              <w:top w:val="single" w:sz="4" w:space="0" w:color="auto"/>
              <w:bottom w:val="single" w:sz="4" w:space="0" w:color="auto"/>
            </w:tcBorders>
            <w:shd w:val="clear" w:color="auto" w:fill="E1E8EB"/>
            <w:vAlign w:val="center"/>
            <w:hideMark/>
          </w:tcPr>
          <w:p w14:paraId="47C79C5D"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 xml:space="preserve">Percentage </w:t>
            </w:r>
          </w:p>
        </w:tc>
      </w:tr>
      <w:tr w:rsidR="00DD7D8C" w:rsidRPr="00DD7D8C" w14:paraId="0155D6A7" w14:textId="77777777" w:rsidTr="00091F38">
        <w:trPr>
          <w:trHeight w:val="300"/>
        </w:trPr>
        <w:tc>
          <w:tcPr>
            <w:tcW w:w="2620" w:type="dxa"/>
            <w:tcBorders>
              <w:top w:val="single" w:sz="4" w:space="0" w:color="auto"/>
            </w:tcBorders>
            <w:shd w:val="clear" w:color="auto" w:fill="auto"/>
            <w:vAlign w:val="center"/>
            <w:hideMark/>
          </w:tcPr>
          <w:p w14:paraId="0C562465" w14:textId="77777777" w:rsidR="00DD7D8C" w:rsidRPr="00DD7D8C" w:rsidRDefault="00DD7D8C" w:rsidP="00DD7D8C">
            <w:pPr>
              <w:spacing w:after="0" w:line="240" w:lineRule="auto"/>
              <w:rPr>
                <w:rFonts w:ascii="Arial" w:hAnsi="Arial" w:cs="Arial"/>
                <w:sz w:val="16"/>
                <w:szCs w:val="16"/>
              </w:rPr>
            </w:pPr>
            <w:r w:rsidRPr="00DD7D8C">
              <w:rPr>
                <w:rFonts w:ascii="Arial" w:hAnsi="Arial" w:cs="Arial"/>
                <w:sz w:val="16"/>
                <w:szCs w:val="16"/>
              </w:rPr>
              <w:t>Community information</w:t>
            </w:r>
          </w:p>
        </w:tc>
        <w:tc>
          <w:tcPr>
            <w:tcW w:w="960" w:type="dxa"/>
            <w:tcBorders>
              <w:top w:val="single" w:sz="4" w:space="0" w:color="auto"/>
            </w:tcBorders>
            <w:shd w:val="clear" w:color="auto" w:fill="auto"/>
            <w:vAlign w:val="center"/>
            <w:hideMark/>
          </w:tcPr>
          <w:p w14:paraId="5FBEEA64"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88</w:t>
            </w:r>
          </w:p>
        </w:tc>
        <w:tc>
          <w:tcPr>
            <w:tcW w:w="1035" w:type="dxa"/>
            <w:tcBorders>
              <w:top w:val="single" w:sz="4" w:space="0" w:color="auto"/>
            </w:tcBorders>
            <w:shd w:val="clear" w:color="auto" w:fill="auto"/>
            <w:vAlign w:val="center"/>
            <w:hideMark/>
          </w:tcPr>
          <w:p w14:paraId="3A32E4E8"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7.2</w:t>
            </w:r>
          </w:p>
        </w:tc>
        <w:tc>
          <w:tcPr>
            <w:tcW w:w="960" w:type="dxa"/>
            <w:tcBorders>
              <w:top w:val="single" w:sz="4" w:space="0" w:color="auto"/>
            </w:tcBorders>
            <w:shd w:val="clear" w:color="auto" w:fill="auto"/>
            <w:vAlign w:val="center"/>
            <w:hideMark/>
          </w:tcPr>
          <w:p w14:paraId="4D84654F"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22</w:t>
            </w:r>
          </w:p>
        </w:tc>
        <w:tc>
          <w:tcPr>
            <w:tcW w:w="1035" w:type="dxa"/>
            <w:tcBorders>
              <w:top w:val="single" w:sz="4" w:space="0" w:color="auto"/>
            </w:tcBorders>
            <w:shd w:val="clear" w:color="auto" w:fill="auto"/>
            <w:vAlign w:val="center"/>
            <w:hideMark/>
          </w:tcPr>
          <w:p w14:paraId="6B2F570C"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2.9</w:t>
            </w:r>
          </w:p>
        </w:tc>
        <w:tc>
          <w:tcPr>
            <w:tcW w:w="960" w:type="dxa"/>
            <w:tcBorders>
              <w:top w:val="single" w:sz="4" w:space="0" w:color="auto"/>
            </w:tcBorders>
            <w:shd w:val="clear" w:color="auto" w:fill="E1E8EB"/>
            <w:vAlign w:val="center"/>
            <w:hideMark/>
          </w:tcPr>
          <w:p w14:paraId="122B4EEA"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129</w:t>
            </w:r>
          </w:p>
        </w:tc>
        <w:tc>
          <w:tcPr>
            <w:tcW w:w="236" w:type="dxa"/>
            <w:tcBorders>
              <w:top w:val="single" w:sz="4" w:space="0" w:color="auto"/>
            </w:tcBorders>
            <w:shd w:val="clear" w:color="auto" w:fill="E1E8EB"/>
            <w:vAlign w:val="center"/>
            <w:hideMark/>
          </w:tcPr>
          <w:p w14:paraId="227F1BAF"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26.5</w:t>
            </w:r>
          </w:p>
        </w:tc>
      </w:tr>
      <w:tr w:rsidR="00DD7D8C" w:rsidRPr="00DD7D8C" w14:paraId="1D198763" w14:textId="77777777" w:rsidTr="00091F38">
        <w:trPr>
          <w:trHeight w:val="300"/>
        </w:trPr>
        <w:tc>
          <w:tcPr>
            <w:tcW w:w="2620" w:type="dxa"/>
            <w:shd w:val="clear" w:color="auto" w:fill="auto"/>
            <w:vAlign w:val="center"/>
            <w:hideMark/>
          </w:tcPr>
          <w:p w14:paraId="5518827C" w14:textId="77777777" w:rsidR="00DD7D8C" w:rsidRPr="00DD7D8C" w:rsidRDefault="00DD7D8C" w:rsidP="00DD7D8C">
            <w:pPr>
              <w:spacing w:after="0" w:line="240" w:lineRule="auto"/>
              <w:rPr>
                <w:rFonts w:ascii="Arial" w:hAnsi="Arial" w:cs="Arial"/>
                <w:sz w:val="16"/>
                <w:szCs w:val="16"/>
              </w:rPr>
            </w:pPr>
            <w:r w:rsidRPr="00DD7D8C">
              <w:rPr>
                <w:rFonts w:ascii="Arial" w:hAnsi="Arial" w:cs="Arial"/>
                <w:sz w:val="16"/>
                <w:szCs w:val="16"/>
              </w:rPr>
              <w:t>Data matched</w:t>
            </w:r>
          </w:p>
        </w:tc>
        <w:tc>
          <w:tcPr>
            <w:tcW w:w="960" w:type="dxa"/>
            <w:shd w:val="clear" w:color="auto" w:fill="auto"/>
            <w:vAlign w:val="center"/>
            <w:hideMark/>
          </w:tcPr>
          <w:p w14:paraId="2852A345"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939</w:t>
            </w:r>
          </w:p>
        </w:tc>
        <w:tc>
          <w:tcPr>
            <w:tcW w:w="1035" w:type="dxa"/>
            <w:shd w:val="clear" w:color="auto" w:fill="auto"/>
            <w:vAlign w:val="center"/>
            <w:hideMark/>
          </w:tcPr>
          <w:p w14:paraId="054E534E"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77</w:t>
            </w:r>
          </w:p>
        </w:tc>
        <w:tc>
          <w:tcPr>
            <w:tcW w:w="960" w:type="dxa"/>
            <w:shd w:val="clear" w:color="auto" w:fill="auto"/>
            <w:vAlign w:val="center"/>
            <w:hideMark/>
          </w:tcPr>
          <w:p w14:paraId="28DE8485"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645</w:t>
            </w:r>
          </w:p>
        </w:tc>
        <w:tc>
          <w:tcPr>
            <w:tcW w:w="1035" w:type="dxa"/>
            <w:shd w:val="clear" w:color="auto" w:fill="auto"/>
            <w:vAlign w:val="center"/>
            <w:hideMark/>
          </w:tcPr>
          <w:p w14:paraId="7B8EAA18"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86.5</w:t>
            </w:r>
          </w:p>
        </w:tc>
        <w:tc>
          <w:tcPr>
            <w:tcW w:w="960" w:type="dxa"/>
            <w:shd w:val="clear" w:color="auto" w:fill="E1E8EB"/>
            <w:vAlign w:val="center"/>
            <w:hideMark/>
          </w:tcPr>
          <w:p w14:paraId="2B205B5F"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313</w:t>
            </w:r>
          </w:p>
        </w:tc>
        <w:tc>
          <w:tcPr>
            <w:tcW w:w="236" w:type="dxa"/>
            <w:shd w:val="clear" w:color="auto" w:fill="E1E8EB"/>
            <w:vAlign w:val="center"/>
            <w:hideMark/>
          </w:tcPr>
          <w:p w14:paraId="135E20B5"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64.3</w:t>
            </w:r>
          </w:p>
        </w:tc>
      </w:tr>
      <w:tr w:rsidR="00DD7D8C" w:rsidRPr="00DD7D8C" w14:paraId="1D202988" w14:textId="77777777" w:rsidTr="00091F38">
        <w:trPr>
          <w:trHeight w:val="300"/>
        </w:trPr>
        <w:tc>
          <w:tcPr>
            <w:tcW w:w="2620" w:type="dxa"/>
            <w:shd w:val="clear" w:color="auto" w:fill="auto"/>
            <w:vAlign w:val="center"/>
            <w:hideMark/>
          </w:tcPr>
          <w:p w14:paraId="776BAD50" w14:textId="696FCB3F" w:rsidR="00DD7D8C" w:rsidRPr="00DD7D8C" w:rsidRDefault="00DD7D8C" w:rsidP="00DD7D8C">
            <w:pPr>
              <w:spacing w:after="0" w:line="240" w:lineRule="auto"/>
              <w:rPr>
                <w:rFonts w:ascii="Arial" w:hAnsi="Arial" w:cs="Arial"/>
                <w:sz w:val="16"/>
                <w:szCs w:val="16"/>
              </w:rPr>
            </w:pPr>
            <w:r w:rsidRPr="00DD7D8C">
              <w:rPr>
                <w:rFonts w:ascii="Arial" w:hAnsi="Arial" w:cs="Arial"/>
                <w:sz w:val="16"/>
                <w:szCs w:val="16"/>
              </w:rPr>
              <w:t>Self</w:t>
            </w:r>
            <w:r w:rsidR="003E7C79">
              <w:rPr>
                <w:rFonts w:ascii="Arial" w:hAnsi="Arial" w:cs="Arial"/>
                <w:sz w:val="16"/>
                <w:szCs w:val="16"/>
              </w:rPr>
              <w:t>–</w:t>
            </w:r>
            <w:r w:rsidRPr="00DD7D8C">
              <w:rPr>
                <w:rFonts w:ascii="Arial" w:hAnsi="Arial" w:cs="Arial"/>
                <w:sz w:val="16"/>
                <w:szCs w:val="16"/>
              </w:rPr>
              <w:t xml:space="preserve">disclosure </w:t>
            </w:r>
          </w:p>
        </w:tc>
        <w:tc>
          <w:tcPr>
            <w:tcW w:w="960" w:type="dxa"/>
            <w:shd w:val="clear" w:color="auto" w:fill="auto"/>
            <w:vAlign w:val="center"/>
            <w:hideMark/>
          </w:tcPr>
          <w:p w14:paraId="78E4D9C9"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107</w:t>
            </w:r>
          </w:p>
        </w:tc>
        <w:tc>
          <w:tcPr>
            <w:tcW w:w="1035" w:type="dxa"/>
            <w:shd w:val="clear" w:color="auto" w:fill="auto"/>
            <w:vAlign w:val="center"/>
            <w:hideMark/>
          </w:tcPr>
          <w:p w14:paraId="7E83DA71"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8.8</w:t>
            </w:r>
          </w:p>
        </w:tc>
        <w:tc>
          <w:tcPr>
            <w:tcW w:w="960" w:type="dxa"/>
            <w:shd w:val="clear" w:color="auto" w:fill="auto"/>
            <w:vAlign w:val="center"/>
            <w:hideMark/>
          </w:tcPr>
          <w:p w14:paraId="23602CF2"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28</w:t>
            </w:r>
          </w:p>
        </w:tc>
        <w:tc>
          <w:tcPr>
            <w:tcW w:w="1035" w:type="dxa"/>
            <w:shd w:val="clear" w:color="auto" w:fill="auto"/>
            <w:vAlign w:val="center"/>
            <w:hideMark/>
          </w:tcPr>
          <w:p w14:paraId="3BA8F830"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3.8</w:t>
            </w:r>
          </w:p>
        </w:tc>
        <w:tc>
          <w:tcPr>
            <w:tcW w:w="960" w:type="dxa"/>
            <w:shd w:val="clear" w:color="auto" w:fill="E1E8EB"/>
            <w:vAlign w:val="center"/>
            <w:hideMark/>
          </w:tcPr>
          <w:p w14:paraId="5C460CB9"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18</w:t>
            </w:r>
          </w:p>
        </w:tc>
        <w:tc>
          <w:tcPr>
            <w:tcW w:w="236" w:type="dxa"/>
            <w:shd w:val="clear" w:color="auto" w:fill="E1E8EB"/>
            <w:vAlign w:val="center"/>
            <w:hideMark/>
          </w:tcPr>
          <w:p w14:paraId="0662F365"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3.7</w:t>
            </w:r>
          </w:p>
        </w:tc>
      </w:tr>
      <w:tr w:rsidR="00DD7D8C" w:rsidRPr="00DD7D8C" w14:paraId="757906EB" w14:textId="77777777" w:rsidTr="00091F38">
        <w:trPr>
          <w:trHeight w:val="300"/>
        </w:trPr>
        <w:tc>
          <w:tcPr>
            <w:tcW w:w="2620" w:type="dxa"/>
            <w:tcBorders>
              <w:bottom w:val="single" w:sz="4" w:space="0" w:color="auto"/>
            </w:tcBorders>
            <w:shd w:val="clear" w:color="auto" w:fill="auto"/>
            <w:vAlign w:val="center"/>
            <w:hideMark/>
          </w:tcPr>
          <w:p w14:paraId="75E616F4" w14:textId="77777777" w:rsidR="00DD7D8C" w:rsidRPr="00DD7D8C" w:rsidRDefault="00DD7D8C" w:rsidP="00DD7D8C">
            <w:pPr>
              <w:spacing w:after="0" w:line="240" w:lineRule="auto"/>
              <w:rPr>
                <w:rFonts w:ascii="Arial" w:hAnsi="Arial" w:cs="Arial"/>
                <w:sz w:val="16"/>
                <w:szCs w:val="16"/>
              </w:rPr>
            </w:pPr>
            <w:r w:rsidRPr="00DD7D8C">
              <w:rPr>
                <w:rFonts w:ascii="Arial" w:hAnsi="Arial" w:cs="Arial"/>
                <w:sz w:val="16"/>
                <w:szCs w:val="16"/>
              </w:rPr>
              <w:t>Other referrals</w:t>
            </w:r>
          </w:p>
        </w:tc>
        <w:tc>
          <w:tcPr>
            <w:tcW w:w="960" w:type="dxa"/>
            <w:tcBorders>
              <w:bottom w:val="single" w:sz="4" w:space="0" w:color="auto"/>
            </w:tcBorders>
            <w:shd w:val="clear" w:color="auto" w:fill="auto"/>
            <w:vAlign w:val="center"/>
            <w:hideMark/>
          </w:tcPr>
          <w:p w14:paraId="170B7299"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86</w:t>
            </w:r>
          </w:p>
        </w:tc>
        <w:tc>
          <w:tcPr>
            <w:tcW w:w="1035" w:type="dxa"/>
            <w:tcBorders>
              <w:bottom w:val="single" w:sz="4" w:space="0" w:color="auto"/>
            </w:tcBorders>
            <w:shd w:val="clear" w:color="auto" w:fill="auto"/>
            <w:vAlign w:val="center"/>
            <w:hideMark/>
          </w:tcPr>
          <w:p w14:paraId="2D38170C"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7</w:t>
            </w:r>
          </w:p>
        </w:tc>
        <w:tc>
          <w:tcPr>
            <w:tcW w:w="960" w:type="dxa"/>
            <w:tcBorders>
              <w:bottom w:val="single" w:sz="4" w:space="0" w:color="auto"/>
            </w:tcBorders>
            <w:shd w:val="clear" w:color="auto" w:fill="auto"/>
            <w:vAlign w:val="center"/>
            <w:hideMark/>
          </w:tcPr>
          <w:p w14:paraId="5BD8FB6D"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51</w:t>
            </w:r>
          </w:p>
        </w:tc>
        <w:tc>
          <w:tcPr>
            <w:tcW w:w="1035" w:type="dxa"/>
            <w:tcBorders>
              <w:bottom w:val="single" w:sz="4" w:space="0" w:color="auto"/>
            </w:tcBorders>
            <w:shd w:val="clear" w:color="auto" w:fill="auto"/>
            <w:vAlign w:val="center"/>
            <w:hideMark/>
          </w:tcPr>
          <w:p w14:paraId="2E327D29"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6.8</w:t>
            </w:r>
          </w:p>
        </w:tc>
        <w:tc>
          <w:tcPr>
            <w:tcW w:w="960" w:type="dxa"/>
            <w:tcBorders>
              <w:bottom w:val="single" w:sz="4" w:space="0" w:color="auto"/>
            </w:tcBorders>
            <w:shd w:val="clear" w:color="auto" w:fill="E1E8EB"/>
            <w:vAlign w:val="center"/>
            <w:hideMark/>
          </w:tcPr>
          <w:p w14:paraId="61F84B56"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27</w:t>
            </w:r>
          </w:p>
        </w:tc>
        <w:tc>
          <w:tcPr>
            <w:tcW w:w="236" w:type="dxa"/>
            <w:tcBorders>
              <w:bottom w:val="single" w:sz="4" w:space="0" w:color="auto"/>
            </w:tcBorders>
            <w:shd w:val="clear" w:color="auto" w:fill="E1E8EB"/>
            <w:vAlign w:val="center"/>
            <w:hideMark/>
          </w:tcPr>
          <w:p w14:paraId="0D6EF9FD" w14:textId="77777777" w:rsidR="00DD7D8C" w:rsidRPr="00DD7D8C" w:rsidRDefault="00DD7D8C" w:rsidP="00CB755B">
            <w:pPr>
              <w:spacing w:after="0" w:line="240" w:lineRule="auto"/>
              <w:jc w:val="right"/>
              <w:rPr>
                <w:rFonts w:ascii="Arial" w:hAnsi="Arial" w:cs="Arial"/>
                <w:sz w:val="16"/>
                <w:szCs w:val="16"/>
              </w:rPr>
            </w:pPr>
            <w:r w:rsidRPr="00DD7D8C">
              <w:rPr>
                <w:rFonts w:ascii="Arial" w:hAnsi="Arial" w:cs="Arial"/>
                <w:sz w:val="16"/>
                <w:szCs w:val="16"/>
              </w:rPr>
              <w:t>5.5</w:t>
            </w:r>
          </w:p>
        </w:tc>
      </w:tr>
      <w:tr w:rsidR="00DD7D8C" w:rsidRPr="00DD7D8C" w14:paraId="203A19B5" w14:textId="77777777" w:rsidTr="00091F38">
        <w:trPr>
          <w:trHeight w:val="315"/>
        </w:trPr>
        <w:tc>
          <w:tcPr>
            <w:tcW w:w="2620" w:type="dxa"/>
            <w:tcBorders>
              <w:top w:val="single" w:sz="4" w:space="0" w:color="auto"/>
              <w:bottom w:val="single" w:sz="4" w:space="0" w:color="auto"/>
            </w:tcBorders>
            <w:shd w:val="clear" w:color="auto" w:fill="auto"/>
            <w:vAlign w:val="center"/>
            <w:hideMark/>
          </w:tcPr>
          <w:p w14:paraId="3F0B656D" w14:textId="385042F1" w:rsidR="00DD7D8C" w:rsidRPr="00CB755B" w:rsidRDefault="00DD7D8C" w:rsidP="00DD7D8C">
            <w:pPr>
              <w:spacing w:after="0" w:line="240" w:lineRule="auto"/>
              <w:rPr>
                <w:rFonts w:ascii="Arial" w:hAnsi="Arial" w:cs="Arial"/>
                <w:b/>
                <w:color w:val="auto"/>
                <w:sz w:val="16"/>
                <w:szCs w:val="16"/>
              </w:rPr>
            </w:pPr>
            <w:r w:rsidRPr="00CB755B">
              <w:rPr>
                <w:rFonts w:ascii="Arial" w:hAnsi="Arial" w:cs="Arial"/>
                <w:b/>
                <w:color w:val="auto"/>
                <w:sz w:val="16"/>
                <w:szCs w:val="16"/>
              </w:rPr>
              <w:t>Total identified*</w:t>
            </w:r>
          </w:p>
        </w:tc>
        <w:tc>
          <w:tcPr>
            <w:tcW w:w="960" w:type="dxa"/>
            <w:tcBorders>
              <w:top w:val="single" w:sz="4" w:space="0" w:color="auto"/>
              <w:bottom w:val="single" w:sz="4" w:space="0" w:color="auto"/>
            </w:tcBorders>
            <w:shd w:val="clear" w:color="auto" w:fill="auto"/>
            <w:vAlign w:val="center"/>
            <w:hideMark/>
          </w:tcPr>
          <w:p w14:paraId="333ECA69" w14:textId="77777777" w:rsidR="00DD7D8C" w:rsidRPr="00CB755B" w:rsidRDefault="00DD7D8C" w:rsidP="00CB755B">
            <w:pPr>
              <w:spacing w:after="0" w:line="240" w:lineRule="auto"/>
              <w:jc w:val="right"/>
              <w:rPr>
                <w:rFonts w:ascii="Arial" w:hAnsi="Arial" w:cs="Arial"/>
                <w:b/>
                <w:sz w:val="16"/>
                <w:szCs w:val="16"/>
              </w:rPr>
            </w:pPr>
            <w:r w:rsidRPr="00CB755B">
              <w:rPr>
                <w:rFonts w:ascii="Arial" w:hAnsi="Arial" w:cs="Arial"/>
                <w:b/>
                <w:sz w:val="16"/>
                <w:szCs w:val="16"/>
              </w:rPr>
              <w:t>1,220</w:t>
            </w:r>
          </w:p>
        </w:tc>
        <w:tc>
          <w:tcPr>
            <w:tcW w:w="1035" w:type="dxa"/>
            <w:tcBorders>
              <w:top w:val="single" w:sz="4" w:space="0" w:color="auto"/>
              <w:bottom w:val="single" w:sz="4" w:space="0" w:color="auto"/>
            </w:tcBorders>
            <w:shd w:val="clear" w:color="auto" w:fill="auto"/>
            <w:vAlign w:val="center"/>
            <w:hideMark/>
          </w:tcPr>
          <w:p w14:paraId="0AE7E062" w14:textId="77DB5BAF" w:rsidR="00DD7D8C" w:rsidRPr="00CB755B" w:rsidRDefault="00DD7D8C" w:rsidP="00CB755B">
            <w:pPr>
              <w:spacing w:after="0" w:line="240" w:lineRule="auto"/>
              <w:jc w:val="right"/>
              <w:rPr>
                <w:rFonts w:ascii="Arial" w:hAnsi="Arial" w:cs="Arial"/>
                <w:b/>
                <w:sz w:val="16"/>
                <w:szCs w:val="16"/>
              </w:rPr>
            </w:pPr>
            <w:r w:rsidRPr="00CB755B">
              <w:rPr>
                <w:rFonts w:ascii="Arial" w:hAnsi="Arial" w:cs="Arial"/>
                <w:b/>
                <w:sz w:val="16"/>
                <w:szCs w:val="16"/>
              </w:rPr>
              <w:t>100.00</w:t>
            </w:r>
          </w:p>
        </w:tc>
        <w:tc>
          <w:tcPr>
            <w:tcW w:w="960" w:type="dxa"/>
            <w:tcBorders>
              <w:top w:val="single" w:sz="4" w:space="0" w:color="auto"/>
              <w:bottom w:val="single" w:sz="4" w:space="0" w:color="auto"/>
            </w:tcBorders>
            <w:shd w:val="clear" w:color="auto" w:fill="auto"/>
            <w:vAlign w:val="center"/>
            <w:hideMark/>
          </w:tcPr>
          <w:p w14:paraId="7C97D8F4" w14:textId="77777777" w:rsidR="00DD7D8C" w:rsidRPr="00CB755B" w:rsidRDefault="00DD7D8C" w:rsidP="00CB755B">
            <w:pPr>
              <w:spacing w:after="0" w:line="240" w:lineRule="auto"/>
              <w:jc w:val="right"/>
              <w:rPr>
                <w:rFonts w:ascii="Arial" w:hAnsi="Arial" w:cs="Arial"/>
                <w:b/>
                <w:sz w:val="16"/>
                <w:szCs w:val="16"/>
              </w:rPr>
            </w:pPr>
            <w:r w:rsidRPr="00CB755B">
              <w:rPr>
                <w:rFonts w:ascii="Arial" w:hAnsi="Arial" w:cs="Arial"/>
                <w:b/>
                <w:sz w:val="16"/>
                <w:szCs w:val="16"/>
              </w:rPr>
              <w:t>746</w:t>
            </w:r>
          </w:p>
        </w:tc>
        <w:tc>
          <w:tcPr>
            <w:tcW w:w="1035" w:type="dxa"/>
            <w:tcBorders>
              <w:top w:val="single" w:sz="4" w:space="0" w:color="auto"/>
              <w:bottom w:val="single" w:sz="4" w:space="0" w:color="auto"/>
            </w:tcBorders>
            <w:shd w:val="clear" w:color="auto" w:fill="auto"/>
            <w:vAlign w:val="center"/>
            <w:hideMark/>
          </w:tcPr>
          <w:p w14:paraId="686B022C" w14:textId="35592F87" w:rsidR="00DD7D8C" w:rsidRPr="00CB755B" w:rsidRDefault="00DD7D8C" w:rsidP="00CB755B">
            <w:pPr>
              <w:spacing w:after="0" w:line="240" w:lineRule="auto"/>
              <w:jc w:val="right"/>
              <w:rPr>
                <w:rFonts w:ascii="Arial" w:hAnsi="Arial" w:cs="Arial"/>
                <w:b/>
                <w:sz w:val="16"/>
                <w:szCs w:val="16"/>
              </w:rPr>
            </w:pPr>
            <w:r w:rsidRPr="00CB755B">
              <w:rPr>
                <w:rFonts w:ascii="Arial" w:hAnsi="Arial" w:cs="Arial"/>
                <w:b/>
                <w:sz w:val="16"/>
                <w:szCs w:val="16"/>
              </w:rPr>
              <w:t>100.00</w:t>
            </w:r>
          </w:p>
        </w:tc>
        <w:tc>
          <w:tcPr>
            <w:tcW w:w="960" w:type="dxa"/>
            <w:tcBorders>
              <w:top w:val="single" w:sz="4" w:space="0" w:color="auto"/>
              <w:bottom w:val="single" w:sz="4" w:space="0" w:color="auto"/>
            </w:tcBorders>
            <w:shd w:val="clear" w:color="auto" w:fill="E1E8EB"/>
            <w:vAlign w:val="center"/>
            <w:hideMark/>
          </w:tcPr>
          <w:p w14:paraId="6C3F43CC" w14:textId="77777777" w:rsidR="00DD7D8C" w:rsidRPr="00CB755B" w:rsidRDefault="00DD7D8C" w:rsidP="00CB755B">
            <w:pPr>
              <w:spacing w:after="0" w:line="240" w:lineRule="auto"/>
              <w:jc w:val="right"/>
              <w:rPr>
                <w:rFonts w:ascii="Arial" w:hAnsi="Arial" w:cs="Arial"/>
                <w:b/>
                <w:sz w:val="16"/>
                <w:szCs w:val="16"/>
              </w:rPr>
            </w:pPr>
            <w:r w:rsidRPr="00CB755B">
              <w:rPr>
                <w:rFonts w:ascii="Arial" w:hAnsi="Arial" w:cs="Arial"/>
                <w:b/>
                <w:sz w:val="16"/>
                <w:szCs w:val="16"/>
              </w:rPr>
              <w:t>487</w:t>
            </w:r>
          </w:p>
        </w:tc>
        <w:tc>
          <w:tcPr>
            <w:tcW w:w="236" w:type="dxa"/>
            <w:tcBorders>
              <w:top w:val="single" w:sz="4" w:space="0" w:color="auto"/>
              <w:bottom w:val="single" w:sz="4" w:space="0" w:color="auto"/>
            </w:tcBorders>
            <w:shd w:val="clear" w:color="auto" w:fill="E1E8EB"/>
            <w:vAlign w:val="center"/>
            <w:hideMark/>
          </w:tcPr>
          <w:p w14:paraId="5218E5F0" w14:textId="398117B3" w:rsidR="00DD7D8C" w:rsidRPr="00CB755B" w:rsidRDefault="00DD7D8C" w:rsidP="00CB755B">
            <w:pPr>
              <w:spacing w:after="0" w:line="240" w:lineRule="auto"/>
              <w:jc w:val="right"/>
              <w:rPr>
                <w:rFonts w:ascii="Arial" w:hAnsi="Arial" w:cs="Arial"/>
                <w:b/>
                <w:sz w:val="16"/>
                <w:szCs w:val="16"/>
              </w:rPr>
            </w:pPr>
            <w:r w:rsidRPr="00CB755B">
              <w:rPr>
                <w:rFonts w:ascii="Arial" w:hAnsi="Arial" w:cs="Arial"/>
                <w:b/>
                <w:sz w:val="16"/>
                <w:szCs w:val="16"/>
              </w:rPr>
              <w:t>100.00</w:t>
            </w:r>
          </w:p>
        </w:tc>
      </w:tr>
    </w:tbl>
    <w:p w14:paraId="616D7FE2" w14:textId="4E8B323E" w:rsidR="00DD7D8C" w:rsidRDefault="00DD7D8C" w:rsidP="00FE3E87">
      <w:pPr>
        <w:spacing w:after="0" w:line="240" w:lineRule="auto"/>
        <w:rPr>
          <w:rFonts w:cstheme="minorHAnsi"/>
          <w:sz w:val="16"/>
        </w:rPr>
      </w:pPr>
      <w:r w:rsidRPr="00DD7D8C">
        <w:rPr>
          <w:rFonts w:cstheme="minorHAnsi"/>
          <w:sz w:val="16"/>
        </w:rPr>
        <w:t xml:space="preserve">The total number of received cases includes new cases identified in the prior financial year which remained open at the end of that financial year. In </w:t>
      </w:r>
      <w:r w:rsidR="00D76ED2">
        <w:rPr>
          <w:rFonts w:cstheme="minorHAnsi"/>
          <w:sz w:val="16"/>
        </w:rPr>
        <w:t>2020</w:t>
      </w:r>
      <w:r w:rsidR="00D76ED2">
        <w:rPr>
          <w:rFonts w:cstheme="minorHAnsi"/>
          <w:sz w:val="16"/>
        </w:rPr>
        <w:noBreakHyphen/>
        <w:t>21</w:t>
      </w:r>
      <w:r w:rsidRPr="00DD7D8C">
        <w:rPr>
          <w:rFonts w:cstheme="minorHAnsi"/>
          <w:sz w:val="16"/>
        </w:rPr>
        <w:t xml:space="preserve"> there were 126 cases carried forward from </w:t>
      </w:r>
      <w:r w:rsidR="00D76ED2">
        <w:rPr>
          <w:rFonts w:cstheme="minorHAnsi"/>
          <w:sz w:val="16"/>
        </w:rPr>
        <w:t>2019</w:t>
      </w:r>
      <w:r w:rsidR="00D76ED2">
        <w:rPr>
          <w:rFonts w:cstheme="minorHAnsi"/>
          <w:sz w:val="16"/>
        </w:rPr>
        <w:noBreakHyphen/>
        <w:t>20</w:t>
      </w:r>
      <w:r w:rsidRPr="00DD7D8C">
        <w:rPr>
          <w:rFonts w:cstheme="minorHAnsi"/>
          <w:sz w:val="16"/>
        </w:rPr>
        <w:t xml:space="preserve"> year.</w:t>
      </w:r>
    </w:p>
    <w:p w14:paraId="2A8ECA7E" w14:textId="77777777" w:rsidR="00FE3E87" w:rsidRPr="00FE3E87" w:rsidRDefault="00FE3E87" w:rsidP="00091F38">
      <w:pPr>
        <w:pStyle w:val="SingleParagraph"/>
      </w:pPr>
    </w:p>
    <w:p w14:paraId="2032556D" w14:textId="2F87C28B" w:rsidR="009812FE" w:rsidRPr="00091F38" w:rsidRDefault="009812FE" w:rsidP="00091F38">
      <w:pPr>
        <w:pStyle w:val="TableMainHeading"/>
      </w:pPr>
      <w:bookmarkStart w:id="223" w:name="_Toc89939963"/>
      <w:r w:rsidRPr="00091F38">
        <w:t xml:space="preserve">Table </w:t>
      </w:r>
      <w:fldSimple w:instr=" STYLEREF 1 \s ">
        <w:r w:rsidR="0019342F">
          <w:rPr>
            <w:noProof/>
          </w:rPr>
          <w:t>4</w:t>
        </w:r>
      </w:fldSimple>
      <w:r w:rsidRPr="00091F38">
        <w:t>.</w:t>
      </w:r>
      <w:fldSimple w:instr=" SEQ Table \* ARABIC \s 1 ">
        <w:r w:rsidR="0019342F">
          <w:rPr>
            <w:noProof/>
          </w:rPr>
          <w:t>8</w:t>
        </w:r>
      </w:fldSimple>
      <w:r w:rsidRPr="00091F38">
        <w:t xml:space="preserve">: Outcomes of completed residential real estate compliance investigations, </w:t>
      </w:r>
      <w:r w:rsidR="00C17F09">
        <w:t>2018</w:t>
      </w:r>
      <w:r w:rsidR="00C17F09">
        <w:noBreakHyphen/>
        <w:t>19</w:t>
      </w:r>
      <w:r w:rsidRPr="00091F38">
        <w:t xml:space="preserve"> to </w:t>
      </w:r>
      <w:r w:rsidR="00D76ED2" w:rsidRPr="00091F38">
        <w:t>2020</w:t>
      </w:r>
      <w:r w:rsidR="00D76ED2" w:rsidRPr="00091F38">
        <w:noBreakHyphen/>
        <w:t>21</w:t>
      </w:r>
      <w:r w:rsidRPr="00091F38">
        <w:t>, by source</w:t>
      </w:r>
      <w:bookmarkEnd w:id="223"/>
    </w:p>
    <w:tbl>
      <w:tblPr>
        <w:tblW w:w="5148" w:type="pct"/>
        <w:tblLayout w:type="fixed"/>
        <w:tblLook w:val="04A0" w:firstRow="1" w:lastRow="0" w:firstColumn="1" w:lastColumn="0" w:noHBand="0" w:noVBand="1"/>
      </w:tblPr>
      <w:tblGrid>
        <w:gridCol w:w="1138"/>
        <w:gridCol w:w="1275"/>
        <w:gridCol w:w="992"/>
        <w:gridCol w:w="1275"/>
        <w:gridCol w:w="994"/>
        <w:gridCol w:w="1275"/>
        <w:gridCol w:w="989"/>
      </w:tblGrid>
      <w:tr w:rsidR="004F145A" w:rsidRPr="00DD7D8C" w14:paraId="2B66223F" w14:textId="77777777" w:rsidTr="004D0AF0">
        <w:trPr>
          <w:trHeight w:val="316"/>
        </w:trPr>
        <w:tc>
          <w:tcPr>
            <w:tcW w:w="717" w:type="pct"/>
            <w:tcBorders>
              <w:top w:val="single" w:sz="4" w:space="0" w:color="auto"/>
            </w:tcBorders>
            <w:shd w:val="clear" w:color="auto" w:fill="auto"/>
            <w:vAlign w:val="center"/>
          </w:tcPr>
          <w:p w14:paraId="6C098BFD" w14:textId="6EB6863A" w:rsidR="0077638A" w:rsidRPr="00DD7D8C" w:rsidRDefault="0077638A" w:rsidP="00DD7D8C">
            <w:pPr>
              <w:spacing w:after="0" w:line="240" w:lineRule="auto"/>
              <w:rPr>
                <w:rFonts w:ascii="Arial" w:hAnsi="Arial" w:cs="Arial"/>
                <w:sz w:val="16"/>
                <w:szCs w:val="16"/>
              </w:rPr>
            </w:pPr>
          </w:p>
        </w:tc>
        <w:tc>
          <w:tcPr>
            <w:tcW w:w="1428" w:type="pct"/>
            <w:gridSpan w:val="2"/>
            <w:tcBorders>
              <w:top w:val="single" w:sz="4" w:space="0" w:color="auto"/>
              <w:bottom w:val="single" w:sz="4" w:space="0" w:color="auto"/>
            </w:tcBorders>
            <w:shd w:val="clear" w:color="auto" w:fill="auto"/>
            <w:vAlign w:val="center"/>
            <w:hideMark/>
          </w:tcPr>
          <w:p w14:paraId="454C484B" w14:textId="6CAE1AD8" w:rsidR="0077638A" w:rsidRPr="00DD7D8C" w:rsidRDefault="00C17F09" w:rsidP="00DD7D8C">
            <w:pPr>
              <w:spacing w:after="0" w:line="240" w:lineRule="auto"/>
              <w:jc w:val="center"/>
              <w:rPr>
                <w:rFonts w:ascii="Arial" w:hAnsi="Arial" w:cs="Arial"/>
                <w:sz w:val="16"/>
                <w:szCs w:val="16"/>
              </w:rPr>
            </w:pPr>
            <w:r>
              <w:rPr>
                <w:rFonts w:ascii="Arial" w:hAnsi="Arial" w:cs="Arial"/>
                <w:sz w:val="16"/>
                <w:szCs w:val="16"/>
              </w:rPr>
              <w:t>2018</w:t>
            </w:r>
            <w:r>
              <w:rPr>
                <w:rFonts w:ascii="Arial" w:hAnsi="Arial" w:cs="Arial"/>
                <w:sz w:val="16"/>
                <w:szCs w:val="16"/>
              </w:rPr>
              <w:noBreakHyphen/>
              <w:t>19</w:t>
            </w:r>
          </w:p>
        </w:tc>
        <w:tc>
          <w:tcPr>
            <w:tcW w:w="1429" w:type="pct"/>
            <w:gridSpan w:val="2"/>
            <w:tcBorders>
              <w:top w:val="single" w:sz="4" w:space="0" w:color="auto"/>
              <w:bottom w:val="single" w:sz="4" w:space="0" w:color="auto"/>
            </w:tcBorders>
            <w:shd w:val="clear" w:color="auto" w:fill="auto"/>
            <w:vAlign w:val="center"/>
            <w:hideMark/>
          </w:tcPr>
          <w:p w14:paraId="1A7E47EE" w14:textId="78111EB2" w:rsidR="0077638A" w:rsidRPr="00DD7D8C" w:rsidRDefault="00D76ED2" w:rsidP="00DD7D8C">
            <w:pPr>
              <w:spacing w:after="0" w:line="240" w:lineRule="auto"/>
              <w:jc w:val="center"/>
              <w:rPr>
                <w:rFonts w:ascii="Arial" w:hAnsi="Arial" w:cs="Arial"/>
                <w:sz w:val="16"/>
                <w:szCs w:val="16"/>
              </w:rPr>
            </w:pPr>
            <w:r>
              <w:rPr>
                <w:rFonts w:ascii="Arial" w:hAnsi="Arial" w:cs="Arial"/>
                <w:sz w:val="16"/>
                <w:szCs w:val="16"/>
              </w:rPr>
              <w:t>2019</w:t>
            </w:r>
            <w:r>
              <w:rPr>
                <w:rFonts w:ascii="Arial" w:hAnsi="Arial" w:cs="Arial"/>
                <w:sz w:val="16"/>
                <w:szCs w:val="16"/>
              </w:rPr>
              <w:noBreakHyphen/>
              <w:t>20</w:t>
            </w:r>
          </w:p>
        </w:tc>
        <w:tc>
          <w:tcPr>
            <w:tcW w:w="1427" w:type="pct"/>
            <w:gridSpan w:val="2"/>
            <w:tcBorders>
              <w:top w:val="single" w:sz="4" w:space="0" w:color="auto"/>
              <w:bottom w:val="single" w:sz="4" w:space="0" w:color="auto"/>
            </w:tcBorders>
            <w:shd w:val="clear" w:color="auto" w:fill="E1E8EB"/>
            <w:vAlign w:val="center"/>
            <w:hideMark/>
          </w:tcPr>
          <w:p w14:paraId="799A3166" w14:textId="4ED5942D" w:rsidR="0077638A" w:rsidRPr="00DD7D8C" w:rsidRDefault="00D76ED2" w:rsidP="00DD7D8C">
            <w:pPr>
              <w:spacing w:after="0" w:line="240" w:lineRule="auto"/>
              <w:jc w:val="center"/>
              <w:rPr>
                <w:rFonts w:ascii="Arial" w:hAnsi="Arial" w:cs="Arial"/>
                <w:sz w:val="16"/>
                <w:szCs w:val="16"/>
              </w:rPr>
            </w:pPr>
            <w:r>
              <w:rPr>
                <w:rFonts w:ascii="Arial" w:hAnsi="Arial" w:cs="Arial"/>
                <w:sz w:val="16"/>
                <w:szCs w:val="16"/>
              </w:rPr>
              <w:t>2020</w:t>
            </w:r>
            <w:r>
              <w:rPr>
                <w:rFonts w:ascii="Arial" w:hAnsi="Arial" w:cs="Arial"/>
                <w:sz w:val="16"/>
                <w:szCs w:val="16"/>
              </w:rPr>
              <w:noBreakHyphen/>
              <w:t>21</w:t>
            </w:r>
          </w:p>
        </w:tc>
      </w:tr>
      <w:tr w:rsidR="00FE3E87" w:rsidRPr="00DD7D8C" w14:paraId="1C17C083" w14:textId="77777777" w:rsidTr="004D0AF0">
        <w:trPr>
          <w:trHeight w:val="474"/>
        </w:trPr>
        <w:tc>
          <w:tcPr>
            <w:tcW w:w="717" w:type="pct"/>
            <w:tcBorders>
              <w:bottom w:val="single" w:sz="4" w:space="0" w:color="auto"/>
            </w:tcBorders>
            <w:shd w:val="clear" w:color="auto" w:fill="auto"/>
            <w:vAlign w:val="center"/>
          </w:tcPr>
          <w:p w14:paraId="083C9F09" w14:textId="3235C762" w:rsidR="0077638A" w:rsidRPr="00DD7D8C" w:rsidRDefault="0077638A" w:rsidP="00CD61CA">
            <w:pPr>
              <w:spacing w:after="0"/>
              <w:rPr>
                <w:rFonts w:ascii="Arial" w:hAnsi="Arial" w:cs="Arial"/>
                <w:sz w:val="16"/>
                <w:szCs w:val="16"/>
              </w:rPr>
            </w:pPr>
            <w:r w:rsidRPr="0077638A">
              <w:rPr>
                <w:rFonts w:ascii="Arial" w:hAnsi="Arial" w:cs="Arial"/>
                <w:sz w:val="16"/>
                <w:szCs w:val="16"/>
              </w:rPr>
              <w:t>Source</w:t>
            </w:r>
          </w:p>
        </w:tc>
        <w:tc>
          <w:tcPr>
            <w:tcW w:w="803" w:type="pct"/>
            <w:tcBorders>
              <w:top w:val="single" w:sz="4" w:space="0" w:color="auto"/>
              <w:bottom w:val="single" w:sz="4" w:space="0" w:color="auto"/>
            </w:tcBorders>
            <w:shd w:val="clear" w:color="auto" w:fill="auto"/>
            <w:vAlign w:val="center"/>
            <w:hideMark/>
          </w:tcPr>
          <w:p w14:paraId="18ADCF13" w14:textId="77777777" w:rsidR="0077638A" w:rsidRPr="00DD7D8C" w:rsidRDefault="0077638A" w:rsidP="00DD7D8C">
            <w:pPr>
              <w:spacing w:after="0" w:line="240" w:lineRule="auto"/>
              <w:jc w:val="right"/>
              <w:rPr>
                <w:rFonts w:ascii="Arial" w:hAnsi="Arial" w:cs="Arial"/>
                <w:sz w:val="16"/>
                <w:szCs w:val="16"/>
              </w:rPr>
            </w:pPr>
            <w:r w:rsidRPr="00DD7D8C">
              <w:rPr>
                <w:rFonts w:ascii="Arial" w:hAnsi="Arial" w:cs="Arial"/>
                <w:sz w:val="16"/>
                <w:szCs w:val="16"/>
              </w:rPr>
              <w:t>No. of completed investigations</w:t>
            </w:r>
          </w:p>
        </w:tc>
        <w:tc>
          <w:tcPr>
            <w:tcW w:w="625" w:type="pct"/>
            <w:tcBorders>
              <w:top w:val="single" w:sz="4" w:space="0" w:color="auto"/>
              <w:bottom w:val="single" w:sz="4" w:space="0" w:color="auto"/>
            </w:tcBorders>
            <w:shd w:val="clear" w:color="auto" w:fill="auto"/>
            <w:vAlign w:val="center"/>
            <w:hideMark/>
          </w:tcPr>
          <w:p w14:paraId="5EEDC539" w14:textId="77777777" w:rsidR="0077638A" w:rsidRPr="00DD7D8C" w:rsidRDefault="0077638A" w:rsidP="00DD7D8C">
            <w:pPr>
              <w:spacing w:after="0" w:line="240" w:lineRule="auto"/>
              <w:jc w:val="right"/>
              <w:rPr>
                <w:rFonts w:ascii="Arial" w:hAnsi="Arial" w:cs="Arial"/>
                <w:sz w:val="16"/>
                <w:szCs w:val="16"/>
              </w:rPr>
            </w:pPr>
            <w:r w:rsidRPr="00DD7D8C">
              <w:rPr>
                <w:rFonts w:ascii="Arial" w:hAnsi="Arial" w:cs="Arial"/>
                <w:sz w:val="16"/>
                <w:szCs w:val="16"/>
              </w:rPr>
              <w:t>No. of breaches</w:t>
            </w:r>
          </w:p>
        </w:tc>
        <w:tc>
          <w:tcPr>
            <w:tcW w:w="803" w:type="pct"/>
            <w:tcBorders>
              <w:top w:val="single" w:sz="4" w:space="0" w:color="auto"/>
              <w:bottom w:val="single" w:sz="4" w:space="0" w:color="auto"/>
            </w:tcBorders>
            <w:shd w:val="clear" w:color="auto" w:fill="auto"/>
            <w:vAlign w:val="center"/>
            <w:hideMark/>
          </w:tcPr>
          <w:p w14:paraId="62B3F3D2" w14:textId="77777777" w:rsidR="0077638A" w:rsidRPr="00DD7D8C" w:rsidRDefault="0077638A" w:rsidP="00DD7D8C">
            <w:pPr>
              <w:spacing w:after="0" w:line="240" w:lineRule="auto"/>
              <w:jc w:val="right"/>
              <w:rPr>
                <w:rFonts w:ascii="Arial" w:hAnsi="Arial" w:cs="Arial"/>
                <w:sz w:val="16"/>
                <w:szCs w:val="16"/>
              </w:rPr>
            </w:pPr>
            <w:r w:rsidRPr="00DD7D8C">
              <w:rPr>
                <w:rFonts w:ascii="Arial" w:hAnsi="Arial" w:cs="Arial"/>
                <w:sz w:val="16"/>
                <w:szCs w:val="16"/>
              </w:rPr>
              <w:t>No. of completed investigations</w:t>
            </w:r>
          </w:p>
        </w:tc>
        <w:tc>
          <w:tcPr>
            <w:tcW w:w="625" w:type="pct"/>
            <w:tcBorders>
              <w:top w:val="single" w:sz="4" w:space="0" w:color="auto"/>
              <w:bottom w:val="single" w:sz="4" w:space="0" w:color="auto"/>
            </w:tcBorders>
            <w:shd w:val="clear" w:color="auto" w:fill="auto"/>
            <w:vAlign w:val="center"/>
            <w:hideMark/>
          </w:tcPr>
          <w:p w14:paraId="2C9DB082" w14:textId="77777777" w:rsidR="0077638A" w:rsidRPr="00DD7D8C" w:rsidRDefault="0077638A" w:rsidP="00DD7D8C">
            <w:pPr>
              <w:spacing w:after="0" w:line="240" w:lineRule="auto"/>
              <w:jc w:val="right"/>
              <w:rPr>
                <w:rFonts w:ascii="Arial" w:hAnsi="Arial" w:cs="Arial"/>
                <w:sz w:val="16"/>
                <w:szCs w:val="16"/>
              </w:rPr>
            </w:pPr>
            <w:r w:rsidRPr="00DD7D8C">
              <w:rPr>
                <w:rFonts w:ascii="Arial" w:hAnsi="Arial" w:cs="Arial"/>
                <w:sz w:val="16"/>
                <w:szCs w:val="16"/>
              </w:rPr>
              <w:t>No. of breaches</w:t>
            </w:r>
          </w:p>
        </w:tc>
        <w:tc>
          <w:tcPr>
            <w:tcW w:w="803" w:type="pct"/>
            <w:tcBorders>
              <w:top w:val="single" w:sz="4" w:space="0" w:color="auto"/>
              <w:bottom w:val="single" w:sz="4" w:space="0" w:color="auto"/>
            </w:tcBorders>
            <w:shd w:val="clear" w:color="auto" w:fill="E1E8EB"/>
            <w:vAlign w:val="center"/>
            <w:hideMark/>
          </w:tcPr>
          <w:p w14:paraId="38893050" w14:textId="77777777" w:rsidR="0077638A" w:rsidRPr="00DD7D8C" w:rsidRDefault="0077638A" w:rsidP="00DD7D8C">
            <w:pPr>
              <w:spacing w:after="0" w:line="240" w:lineRule="auto"/>
              <w:jc w:val="right"/>
              <w:rPr>
                <w:rFonts w:ascii="Arial" w:hAnsi="Arial" w:cs="Arial"/>
                <w:sz w:val="16"/>
                <w:szCs w:val="16"/>
              </w:rPr>
            </w:pPr>
            <w:r w:rsidRPr="00DD7D8C">
              <w:rPr>
                <w:rFonts w:ascii="Arial" w:hAnsi="Arial" w:cs="Arial"/>
                <w:sz w:val="16"/>
                <w:szCs w:val="16"/>
              </w:rPr>
              <w:t>No. of completed investigations</w:t>
            </w:r>
          </w:p>
        </w:tc>
        <w:tc>
          <w:tcPr>
            <w:tcW w:w="624" w:type="pct"/>
            <w:tcBorders>
              <w:top w:val="single" w:sz="4" w:space="0" w:color="auto"/>
              <w:bottom w:val="single" w:sz="4" w:space="0" w:color="auto"/>
            </w:tcBorders>
            <w:shd w:val="clear" w:color="auto" w:fill="E1E8EB"/>
            <w:vAlign w:val="center"/>
            <w:hideMark/>
          </w:tcPr>
          <w:p w14:paraId="020F32AD" w14:textId="77777777" w:rsidR="0077638A" w:rsidRPr="00DD7D8C" w:rsidRDefault="0077638A" w:rsidP="00DD7D8C">
            <w:pPr>
              <w:spacing w:after="0" w:line="240" w:lineRule="auto"/>
              <w:jc w:val="right"/>
              <w:rPr>
                <w:rFonts w:ascii="Arial" w:hAnsi="Arial" w:cs="Arial"/>
                <w:sz w:val="16"/>
                <w:szCs w:val="16"/>
              </w:rPr>
            </w:pPr>
            <w:r w:rsidRPr="00DD7D8C">
              <w:rPr>
                <w:rFonts w:ascii="Arial" w:hAnsi="Arial" w:cs="Arial"/>
                <w:sz w:val="16"/>
                <w:szCs w:val="16"/>
              </w:rPr>
              <w:t>No. of breaches</w:t>
            </w:r>
          </w:p>
        </w:tc>
      </w:tr>
      <w:tr w:rsidR="00FE3E87" w:rsidRPr="00DD7D8C" w14:paraId="353732CE" w14:textId="77777777" w:rsidTr="004D0AF0">
        <w:trPr>
          <w:trHeight w:val="316"/>
        </w:trPr>
        <w:tc>
          <w:tcPr>
            <w:tcW w:w="717" w:type="pct"/>
            <w:tcBorders>
              <w:top w:val="single" w:sz="4" w:space="0" w:color="auto"/>
            </w:tcBorders>
            <w:shd w:val="clear" w:color="auto" w:fill="auto"/>
            <w:noWrap/>
            <w:vAlign w:val="center"/>
            <w:hideMark/>
          </w:tcPr>
          <w:p w14:paraId="564114C4" w14:textId="77777777" w:rsidR="00DD7D8C" w:rsidRPr="00DD7D8C" w:rsidRDefault="00DD7D8C" w:rsidP="00DD7D8C">
            <w:pPr>
              <w:spacing w:after="0" w:line="240" w:lineRule="auto"/>
              <w:rPr>
                <w:rFonts w:ascii="Arial" w:hAnsi="Arial" w:cs="Arial"/>
                <w:sz w:val="16"/>
                <w:szCs w:val="16"/>
              </w:rPr>
            </w:pPr>
            <w:r w:rsidRPr="00DD7D8C">
              <w:rPr>
                <w:rFonts w:ascii="Arial" w:hAnsi="Arial" w:cs="Arial"/>
                <w:sz w:val="16"/>
                <w:szCs w:val="16"/>
              </w:rPr>
              <w:t xml:space="preserve">Community information </w:t>
            </w:r>
          </w:p>
        </w:tc>
        <w:tc>
          <w:tcPr>
            <w:tcW w:w="803" w:type="pct"/>
            <w:tcBorders>
              <w:top w:val="single" w:sz="4" w:space="0" w:color="auto"/>
            </w:tcBorders>
            <w:shd w:val="clear" w:color="auto" w:fill="auto"/>
            <w:vAlign w:val="center"/>
            <w:hideMark/>
          </w:tcPr>
          <w:p w14:paraId="19C6965F"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86</w:t>
            </w:r>
          </w:p>
        </w:tc>
        <w:tc>
          <w:tcPr>
            <w:tcW w:w="625" w:type="pct"/>
            <w:tcBorders>
              <w:top w:val="single" w:sz="4" w:space="0" w:color="auto"/>
            </w:tcBorders>
            <w:shd w:val="clear" w:color="auto" w:fill="auto"/>
            <w:vAlign w:val="center"/>
            <w:hideMark/>
          </w:tcPr>
          <w:p w14:paraId="728374F4"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12</w:t>
            </w:r>
          </w:p>
        </w:tc>
        <w:tc>
          <w:tcPr>
            <w:tcW w:w="803" w:type="pct"/>
            <w:tcBorders>
              <w:top w:val="single" w:sz="4" w:space="0" w:color="auto"/>
            </w:tcBorders>
            <w:shd w:val="clear" w:color="auto" w:fill="auto"/>
            <w:vAlign w:val="center"/>
            <w:hideMark/>
          </w:tcPr>
          <w:p w14:paraId="382AA88E"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18</w:t>
            </w:r>
          </w:p>
        </w:tc>
        <w:tc>
          <w:tcPr>
            <w:tcW w:w="625" w:type="pct"/>
            <w:tcBorders>
              <w:top w:val="single" w:sz="4" w:space="0" w:color="auto"/>
            </w:tcBorders>
            <w:shd w:val="clear" w:color="auto" w:fill="auto"/>
            <w:vAlign w:val="center"/>
            <w:hideMark/>
          </w:tcPr>
          <w:p w14:paraId="5791296D"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2</w:t>
            </w:r>
          </w:p>
        </w:tc>
        <w:tc>
          <w:tcPr>
            <w:tcW w:w="803" w:type="pct"/>
            <w:tcBorders>
              <w:top w:val="single" w:sz="4" w:space="0" w:color="auto"/>
            </w:tcBorders>
            <w:shd w:val="clear" w:color="auto" w:fill="E1E8EB"/>
            <w:vAlign w:val="center"/>
            <w:hideMark/>
          </w:tcPr>
          <w:p w14:paraId="76EF0C44"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125</w:t>
            </w:r>
          </w:p>
        </w:tc>
        <w:tc>
          <w:tcPr>
            <w:tcW w:w="624" w:type="pct"/>
            <w:tcBorders>
              <w:top w:val="single" w:sz="4" w:space="0" w:color="auto"/>
            </w:tcBorders>
            <w:shd w:val="clear" w:color="auto" w:fill="E1E8EB"/>
            <w:vAlign w:val="center"/>
            <w:hideMark/>
          </w:tcPr>
          <w:p w14:paraId="4BB68C75"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0</w:t>
            </w:r>
          </w:p>
        </w:tc>
      </w:tr>
      <w:tr w:rsidR="00FE3E87" w:rsidRPr="00DD7D8C" w14:paraId="2F18FCE7" w14:textId="77777777" w:rsidTr="004D0AF0">
        <w:trPr>
          <w:trHeight w:val="316"/>
        </w:trPr>
        <w:tc>
          <w:tcPr>
            <w:tcW w:w="717" w:type="pct"/>
            <w:shd w:val="clear" w:color="auto" w:fill="auto"/>
            <w:noWrap/>
            <w:vAlign w:val="center"/>
            <w:hideMark/>
          </w:tcPr>
          <w:p w14:paraId="21A4DB8F" w14:textId="77777777" w:rsidR="00DD7D8C" w:rsidRPr="00DD7D8C" w:rsidRDefault="00DD7D8C" w:rsidP="00DD7D8C">
            <w:pPr>
              <w:spacing w:after="0" w:line="240" w:lineRule="auto"/>
              <w:rPr>
                <w:rFonts w:ascii="Arial" w:hAnsi="Arial" w:cs="Arial"/>
                <w:sz w:val="16"/>
                <w:szCs w:val="16"/>
              </w:rPr>
            </w:pPr>
            <w:r w:rsidRPr="00DD7D8C">
              <w:rPr>
                <w:rFonts w:ascii="Arial" w:hAnsi="Arial" w:cs="Arial"/>
                <w:sz w:val="16"/>
                <w:szCs w:val="16"/>
              </w:rPr>
              <w:t xml:space="preserve">Data matching </w:t>
            </w:r>
          </w:p>
        </w:tc>
        <w:tc>
          <w:tcPr>
            <w:tcW w:w="803" w:type="pct"/>
            <w:shd w:val="clear" w:color="auto" w:fill="auto"/>
            <w:vAlign w:val="center"/>
            <w:hideMark/>
          </w:tcPr>
          <w:p w14:paraId="4C87C4CE"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810</w:t>
            </w:r>
          </w:p>
        </w:tc>
        <w:tc>
          <w:tcPr>
            <w:tcW w:w="625" w:type="pct"/>
            <w:shd w:val="clear" w:color="auto" w:fill="auto"/>
            <w:vAlign w:val="center"/>
            <w:hideMark/>
          </w:tcPr>
          <w:p w14:paraId="0F95F419"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484</w:t>
            </w:r>
          </w:p>
        </w:tc>
        <w:tc>
          <w:tcPr>
            <w:tcW w:w="803" w:type="pct"/>
            <w:shd w:val="clear" w:color="auto" w:fill="auto"/>
            <w:vAlign w:val="center"/>
            <w:hideMark/>
          </w:tcPr>
          <w:p w14:paraId="06C20DB8"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537</w:t>
            </w:r>
          </w:p>
        </w:tc>
        <w:tc>
          <w:tcPr>
            <w:tcW w:w="625" w:type="pct"/>
            <w:shd w:val="clear" w:color="auto" w:fill="auto"/>
            <w:vAlign w:val="center"/>
            <w:hideMark/>
          </w:tcPr>
          <w:p w14:paraId="5D950CE1"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236</w:t>
            </w:r>
          </w:p>
        </w:tc>
        <w:tc>
          <w:tcPr>
            <w:tcW w:w="803" w:type="pct"/>
            <w:shd w:val="clear" w:color="auto" w:fill="E1E8EB"/>
            <w:vAlign w:val="center"/>
            <w:hideMark/>
          </w:tcPr>
          <w:p w14:paraId="3A1C070E"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248</w:t>
            </w:r>
          </w:p>
        </w:tc>
        <w:tc>
          <w:tcPr>
            <w:tcW w:w="624" w:type="pct"/>
            <w:shd w:val="clear" w:color="auto" w:fill="E1E8EB"/>
            <w:vAlign w:val="center"/>
            <w:hideMark/>
          </w:tcPr>
          <w:p w14:paraId="60476C77"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76</w:t>
            </w:r>
          </w:p>
        </w:tc>
      </w:tr>
      <w:tr w:rsidR="00FE3E87" w:rsidRPr="00DD7D8C" w14:paraId="6FB488E7" w14:textId="77777777" w:rsidTr="004D0AF0">
        <w:trPr>
          <w:trHeight w:val="316"/>
        </w:trPr>
        <w:tc>
          <w:tcPr>
            <w:tcW w:w="717" w:type="pct"/>
            <w:shd w:val="clear" w:color="auto" w:fill="auto"/>
            <w:noWrap/>
            <w:vAlign w:val="center"/>
            <w:hideMark/>
          </w:tcPr>
          <w:p w14:paraId="6CAB046E" w14:textId="6A38FDBF" w:rsidR="00DD7D8C" w:rsidRPr="00DD7D8C" w:rsidRDefault="00DD7D8C" w:rsidP="00DD7D8C">
            <w:pPr>
              <w:spacing w:after="0" w:line="240" w:lineRule="auto"/>
              <w:rPr>
                <w:rFonts w:ascii="Arial" w:hAnsi="Arial" w:cs="Arial"/>
                <w:sz w:val="16"/>
                <w:szCs w:val="16"/>
              </w:rPr>
            </w:pPr>
            <w:r w:rsidRPr="00DD7D8C">
              <w:rPr>
                <w:rFonts w:ascii="Arial" w:hAnsi="Arial" w:cs="Arial"/>
                <w:sz w:val="16"/>
                <w:szCs w:val="16"/>
              </w:rPr>
              <w:t>Self</w:t>
            </w:r>
            <w:r w:rsidR="003E7C79">
              <w:rPr>
                <w:rFonts w:ascii="Arial" w:hAnsi="Arial" w:cs="Arial"/>
                <w:sz w:val="16"/>
                <w:szCs w:val="16"/>
              </w:rPr>
              <w:t>–</w:t>
            </w:r>
            <w:r w:rsidRPr="00DD7D8C">
              <w:rPr>
                <w:rFonts w:ascii="Arial" w:hAnsi="Arial" w:cs="Arial"/>
                <w:sz w:val="16"/>
                <w:szCs w:val="16"/>
              </w:rPr>
              <w:t xml:space="preserve">disclosure </w:t>
            </w:r>
          </w:p>
        </w:tc>
        <w:tc>
          <w:tcPr>
            <w:tcW w:w="803" w:type="pct"/>
            <w:shd w:val="clear" w:color="auto" w:fill="auto"/>
            <w:vAlign w:val="center"/>
            <w:hideMark/>
          </w:tcPr>
          <w:p w14:paraId="77D5D9FB"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103</w:t>
            </w:r>
          </w:p>
        </w:tc>
        <w:tc>
          <w:tcPr>
            <w:tcW w:w="625" w:type="pct"/>
            <w:shd w:val="clear" w:color="auto" w:fill="auto"/>
            <w:vAlign w:val="center"/>
            <w:hideMark/>
          </w:tcPr>
          <w:p w14:paraId="62187349"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76</w:t>
            </w:r>
          </w:p>
        </w:tc>
        <w:tc>
          <w:tcPr>
            <w:tcW w:w="803" w:type="pct"/>
            <w:shd w:val="clear" w:color="auto" w:fill="auto"/>
            <w:vAlign w:val="center"/>
            <w:hideMark/>
          </w:tcPr>
          <w:p w14:paraId="5F0B9028"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21</w:t>
            </w:r>
          </w:p>
        </w:tc>
        <w:tc>
          <w:tcPr>
            <w:tcW w:w="625" w:type="pct"/>
            <w:shd w:val="clear" w:color="auto" w:fill="auto"/>
            <w:vAlign w:val="center"/>
            <w:hideMark/>
          </w:tcPr>
          <w:p w14:paraId="59A64A29"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8</w:t>
            </w:r>
          </w:p>
        </w:tc>
        <w:tc>
          <w:tcPr>
            <w:tcW w:w="803" w:type="pct"/>
            <w:shd w:val="clear" w:color="auto" w:fill="E1E8EB"/>
            <w:vAlign w:val="center"/>
            <w:hideMark/>
          </w:tcPr>
          <w:p w14:paraId="5B77FBDB"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17</w:t>
            </w:r>
          </w:p>
        </w:tc>
        <w:tc>
          <w:tcPr>
            <w:tcW w:w="624" w:type="pct"/>
            <w:shd w:val="clear" w:color="auto" w:fill="E1E8EB"/>
            <w:vAlign w:val="center"/>
            <w:hideMark/>
          </w:tcPr>
          <w:p w14:paraId="2505EF28"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6</w:t>
            </w:r>
          </w:p>
        </w:tc>
      </w:tr>
      <w:tr w:rsidR="00FE3E87" w:rsidRPr="00DD7D8C" w14:paraId="2422FCCB" w14:textId="77777777" w:rsidTr="004D0AF0">
        <w:trPr>
          <w:trHeight w:val="316"/>
        </w:trPr>
        <w:tc>
          <w:tcPr>
            <w:tcW w:w="717" w:type="pct"/>
            <w:tcBorders>
              <w:bottom w:val="single" w:sz="4" w:space="0" w:color="auto"/>
            </w:tcBorders>
            <w:shd w:val="clear" w:color="auto" w:fill="auto"/>
            <w:noWrap/>
            <w:vAlign w:val="center"/>
            <w:hideMark/>
          </w:tcPr>
          <w:p w14:paraId="7BF4E8AC" w14:textId="77777777" w:rsidR="00DD7D8C" w:rsidRPr="00DD7D8C" w:rsidRDefault="00DD7D8C" w:rsidP="00DD7D8C">
            <w:pPr>
              <w:spacing w:after="0" w:line="240" w:lineRule="auto"/>
              <w:rPr>
                <w:rFonts w:ascii="Arial" w:hAnsi="Arial" w:cs="Arial"/>
                <w:sz w:val="16"/>
                <w:szCs w:val="16"/>
              </w:rPr>
            </w:pPr>
            <w:r w:rsidRPr="00DD7D8C">
              <w:rPr>
                <w:rFonts w:ascii="Arial" w:hAnsi="Arial" w:cs="Arial"/>
                <w:sz w:val="16"/>
                <w:szCs w:val="16"/>
              </w:rPr>
              <w:t xml:space="preserve">Other referrals </w:t>
            </w:r>
          </w:p>
        </w:tc>
        <w:tc>
          <w:tcPr>
            <w:tcW w:w="803" w:type="pct"/>
            <w:tcBorders>
              <w:bottom w:val="single" w:sz="4" w:space="0" w:color="auto"/>
            </w:tcBorders>
            <w:shd w:val="clear" w:color="auto" w:fill="auto"/>
            <w:vAlign w:val="center"/>
            <w:hideMark/>
          </w:tcPr>
          <w:p w14:paraId="7D8EF7E8"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69</w:t>
            </w:r>
          </w:p>
        </w:tc>
        <w:tc>
          <w:tcPr>
            <w:tcW w:w="625" w:type="pct"/>
            <w:tcBorders>
              <w:bottom w:val="single" w:sz="4" w:space="0" w:color="auto"/>
            </w:tcBorders>
            <w:shd w:val="clear" w:color="auto" w:fill="auto"/>
            <w:vAlign w:val="center"/>
            <w:hideMark/>
          </w:tcPr>
          <w:p w14:paraId="70C96EFF"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28</w:t>
            </w:r>
          </w:p>
        </w:tc>
        <w:tc>
          <w:tcPr>
            <w:tcW w:w="803" w:type="pct"/>
            <w:tcBorders>
              <w:bottom w:val="single" w:sz="4" w:space="0" w:color="auto"/>
            </w:tcBorders>
            <w:shd w:val="clear" w:color="auto" w:fill="auto"/>
            <w:vAlign w:val="center"/>
            <w:hideMark/>
          </w:tcPr>
          <w:p w14:paraId="7AB4263E"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44</w:t>
            </w:r>
          </w:p>
        </w:tc>
        <w:tc>
          <w:tcPr>
            <w:tcW w:w="625" w:type="pct"/>
            <w:tcBorders>
              <w:bottom w:val="single" w:sz="4" w:space="0" w:color="auto"/>
            </w:tcBorders>
            <w:shd w:val="clear" w:color="auto" w:fill="auto"/>
            <w:vAlign w:val="center"/>
            <w:hideMark/>
          </w:tcPr>
          <w:p w14:paraId="6C2C113B"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13</w:t>
            </w:r>
          </w:p>
        </w:tc>
        <w:tc>
          <w:tcPr>
            <w:tcW w:w="803" w:type="pct"/>
            <w:tcBorders>
              <w:bottom w:val="single" w:sz="4" w:space="0" w:color="auto"/>
            </w:tcBorders>
            <w:shd w:val="clear" w:color="auto" w:fill="E1E8EB"/>
            <w:vAlign w:val="center"/>
            <w:hideMark/>
          </w:tcPr>
          <w:p w14:paraId="719DF63F"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14</w:t>
            </w:r>
          </w:p>
        </w:tc>
        <w:tc>
          <w:tcPr>
            <w:tcW w:w="624" w:type="pct"/>
            <w:tcBorders>
              <w:bottom w:val="single" w:sz="4" w:space="0" w:color="auto"/>
            </w:tcBorders>
            <w:shd w:val="clear" w:color="auto" w:fill="E1E8EB"/>
            <w:vAlign w:val="center"/>
            <w:hideMark/>
          </w:tcPr>
          <w:p w14:paraId="53FCCBCB" w14:textId="77777777" w:rsidR="00DD7D8C" w:rsidRPr="00DD7D8C" w:rsidRDefault="00DD7D8C" w:rsidP="00DD7D8C">
            <w:pPr>
              <w:spacing w:after="0" w:line="240" w:lineRule="auto"/>
              <w:jc w:val="right"/>
              <w:rPr>
                <w:rFonts w:ascii="Arial" w:hAnsi="Arial" w:cs="Arial"/>
                <w:sz w:val="16"/>
                <w:szCs w:val="16"/>
              </w:rPr>
            </w:pPr>
            <w:r w:rsidRPr="00DD7D8C">
              <w:rPr>
                <w:rFonts w:ascii="Arial" w:hAnsi="Arial" w:cs="Arial"/>
                <w:sz w:val="16"/>
                <w:szCs w:val="16"/>
              </w:rPr>
              <w:t>1</w:t>
            </w:r>
          </w:p>
        </w:tc>
      </w:tr>
      <w:tr w:rsidR="00FE3E87" w:rsidRPr="00DD7D8C" w14:paraId="47048895" w14:textId="77777777" w:rsidTr="004D0AF0">
        <w:trPr>
          <w:trHeight w:val="332"/>
        </w:trPr>
        <w:tc>
          <w:tcPr>
            <w:tcW w:w="717" w:type="pct"/>
            <w:tcBorders>
              <w:top w:val="single" w:sz="4" w:space="0" w:color="auto"/>
              <w:bottom w:val="single" w:sz="4" w:space="0" w:color="auto"/>
            </w:tcBorders>
            <w:shd w:val="clear" w:color="auto" w:fill="auto"/>
            <w:noWrap/>
            <w:vAlign w:val="center"/>
            <w:hideMark/>
          </w:tcPr>
          <w:p w14:paraId="6D48CD9D" w14:textId="77777777" w:rsidR="00DD7D8C" w:rsidRPr="004F145A" w:rsidRDefault="00DD7D8C" w:rsidP="00DD7D8C">
            <w:pPr>
              <w:spacing w:after="0" w:line="240" w:lineRule="auto"/>
              <w:rPr>
                <w:rFonts w:ascii="Arial" w:hAnsi="Arial" w:cs="Arial"/>
                <w:b/>
                <w:bCs/>
                <w:sz w:val="16"/>
                <w:szCs w:val="16"/>
              </w:rPr>
            </w:pPr>
            <w:r w:rsidRPr="004F145A">
              <w:rPr>
                <w:rFonts w:ascii="Arial" w:hAnsi="Arial" w:cs="Arial"/>
                <w:b/>
                <w:bCs/>
                <w:sz w:val="16"/>
                <w:szCs w:val="16"/>
              </w:rPr>
              <w:t xml:space="preserve">Total </w:t>
            </w:r>
          </w:p>
        </w:tc>
        <w:tc>
          <w:tcPr>
            <w:tcW w:w="803" w:type="pct"/>
            <w:tcBorders>
              <w:top w:val="single" w:sz="4" w:space="0" w:color="auto"/>
              <w:bottom w:val="single" w:sz="4" w:space="0" w:color="auto"/>
            </w:tcBorders>
            <w:shd w:val="clear" w:color="auto" w:fill="auto"/>
            <w:vAlign w:val="center"/>
            <w:hideMark/>
          </w:tcPr>
          <w:p w14:paraId="1D04E005" w14:textId="77777777" w:rsidR="00DD7D8C" w:rsidRPr="004F145A" w:rsidRDefault="00DD7D8C" w:rsidP="00DD7D8C">
            <w:pPr>
              <w:spacing w:after="0" w:line="240" w:lineRule="auto"/>
              <w:jc w:val="right"/>
              <w:rPr>
                <w:rFonts w:ascii="Arial" w:hAnsi="Arial" w:cs="Arial"/>
                <w:b/>
                <w:bCs/>
                <w:sz w:val="16"/>
                <w:szCs w:val="16"/>
              </w:rPr>
            </w:pPr>
            <w:r w:rsidRPr="004F145A">
              <w:rPr>
                <w:rFonts w:ascii="Arial" w:hAnsi="Arial" w:cs="Arial"/>
                <w:b/>
                <w:bCs/>
                <w:sz w:val="16"/>
                <w:szCs w:val="16"/>
              </w:rPr>
              <w:t>1,068</w:t>
            </w:r>
          </w:p>
        </w:tc>
        <w:tc>
          <w:tcPr>
            <w:tcW w:w="625" w:type="pct"/>
            <w:tcBorders>
              <w:top w:val="single" w:sz="4" w:space="0" w:color="auto"/>
              <w:bottom w:val="single" w:sz="4" w:space="0" w:color="auto"/>
            </w:tcBorders>
            <w:shd w:val="clear" w:color="auto" w:fill="auto"/>
            <w:vAlign w:val="center"/>
            <w:hideMark/>
          </w:tcPr>
          <w:p w14:paraId="5F12ED84" w14:textId="77777777" w:rsidR="00DD7D8C" w:rsidRPr="004F145A" w:rsidRDefault="00DD7D8C" w:rsidP="00DD7D8C">
            <w:pPr>
              <w:spacing w:after="0" w:line="240" w:lineRule="auto"/>
              <w:jc w:val="right"/>
              <w:rPr>
                <w:rFonts w:ascii="Arial" w:hAnsi="Arial" w:cs="Arial"/>
                <w:b/>
                <w:bCs/>
                <w:sz w:val="16"/>
                <w:szCs w:val="16"/>
              </w:rPr>
            </w:pPr>
            <w:r w:rsidRPr="004F145A">
              <w:rPr>
                <w:rFonts w:ascii="Arial" w:hAnsi="Arial" w:cs="Arial"/>
                <w:b/>
                <w:bCs/>
                <w:sz w:val="16"/>
                <w:szCs w:val="16"/>
              </w:rPr>
              <w:t>600</w:t>
            </w:r>
          </w:p>
        </w:tc>
        <w:tc>
          <w:tcPr>
            <w:tcW w:w="803" w:type="pct"/>
            <w:tcBorders>
              <w:top w:val="single" w:sz="4" w:space="0" w:color="auto"/>
              <w:bottom w:val="single" w:sz="4" w:space="0" w:color="auto"/>
            </w:tcBorders>
            <w:shd w:val="clear" w:color="auto" w:fill="auto"/>
            <w:vAlign w:val="center"/>
            <w:hideMark/>
          </w:tcPr>
          <w:p w14:paraId="742EC8A7" w14:textId="77777777" w:rsidR="00DD7D8C" w:rsidRPr="004F145A" w:rsidRDefault="00DD7D8C" w:rsidP="00DD7D8C">
            <w:pPr>
              <w:spacing w:after="0" w:line="240" w:lineRule="auto"/>
              <w:jc w:val="right"/>
              <w:rPr>
                <w:rFonts w:ascii="Arial" w:hAnsi="Arial" w:cs="Arial"/>
                <w:b/>
                <w:bCs/>
                <w:sz w:val="16"/>
                <w:szCs w:val="16"/>
              </w:rPr>
            </w:pPr>
            <w:r w:rsidRPr="004F145A">
              <w:rPr>
                <w:rFonts w:ascii="Arial" w:hAnsi="Arial" w:cs="Arial"/>
                <w:b/>
                <w:bCs/>
                <w:sz w:val="16"/>
                <w:szCs w:val="16"/>
              </w:rPr>
              <w:t>620</w:t>
            </w:r>
          </w:p>
        </w:tc>
        <w:tc>
          <w:tcPr>
            <w:tcW w:w="625" w:type="pct"/>
            <w:tcBorders>
              <w:top w:val="single" w:sz="4" w:space="0" w:color="auto"/>
              <w:bottom w:val="single" w:sz="4" w:space="0" w:color="auto"/>
            </w:tcBorders>
            <w:shd w:val="clear" w:color="auto" w:fill="auto"/>
            <w:vAlign w:val="center"/>
            <w:hideMark/>
          </w:tcPr>
          <w:p w14:paraId="41D4977E" w14:textId="77777777" w:rsidR="00DD7D8C" w:rsidRPr="004F145A" w:rsidRDefault="00DD7D8C" w:rsidP="00DD7D8C">
            <w:pPr>
              <w:spacing w:after="0" w:line="240" w:lineRule="auto"/>
              <w:jc w:val="right"/>
              <w:rPr>
                <w:rFonts w:ascii="Arial" w:hAnsi="Arial" w:cs="Arial"/>
                <w:b/>
                <w:bCs/>
                <w:sz w:val="16"/>
                <w:szCs w:val="16"/>
              </w:rPr>
            </w:pPr>
            <w:r w:rsidRPr="004F145A">
              <w:rPr>
                <w:rFonts w:ascii="Arial" w:hAnsi="Arial" w:cs="Arial"/>
                <w:b/>
                <w:bCs/>
                <w:sz w:val="16"/>
                <w:szCs w:val="16"/>
              </w:rPr>
              <w:t>259</w:t>
            </w:r>
          </w:p>
        </w:tc>
        <w:tc>
          <w:tcPr>
            <w:tcW w:w="803" w:type="pct"/>
            <w:tcBorders>
              <w:top w:val="single" w:sz="4" w:space="0" w:color="auto"/>
              <w:bottom w:val="single" w:sz="4" w:space="0" w:color="auto"/>
            </w:tcBorders>
            <w:shd w:val="clear" w:color="auto" w:fill="E1E8EB"/>
            <w:vAlign w:val="center"/>
            <w:hideMark/>
          </w:tcPr>
          <w:p w14:paraId="13C49B1C" w14:textId="77777777" w:rsidR="00DD7D8C" w:rsidRPr="004F145A" w:rsidRDefault="00DD7D8C" w:rsidP="00DD7D8C">
            <w:pPr>
              <w:spacing w:after="0" w:line="240" w:lineRule="auto"/>
              <w:jc w:val="right"/>
              <w:rPr>
                <w:rFonts w:ascii="Arial" w:hAnsi="Arial" w:cs="Arial"/>
                <w:b/>
                <w:bCs/>
                <w:sz w:val="16"/>
                <w:szCs w:val="16"/>
              </w:rPr>
            </w:pPr>
            <w:r w:rsidRPr="004F145A">
              <w:rPr>
                <w:rFonts w:ascii="Arial" w:hAnsi="Arial" w:cs="Arial"/>
                <w:b/>
                <w:bCs/>
                <w:sz w:val="16"/>
                <w:szCs w:val="16"/>
              </w:rPr>
              <w:t>404</w:t>
            </w:r>
          </w:p>
        </w:tc>
        <w:tc>
          <w:tcPr>
            <w:tcW w:w="624" w:type="pct"/>
            <w:tcBorders>
              <w:top w:val="single" w:sz="4" w:space="0" w:color="auto"/>
              <w:bottom w:val="single" w:sz="4" w:space="0" w:color="auto"/>
            </w:tcBorders>
            <w:shd w:val="clear" w:color="auto" w:fill="E1E8EB"/>
            <w:vAlign w:val="center"/>
            <w:hideMark/>
          </w:tcPr>
          <w:p w14:paraId="787F4EF2" w14:textId="77777777" w:rsidR="00DD7D8C" w:rsidRPr="004F145A" w:rsidRDefault="00DD7D8C" w:rsidP="00DD7D8C">
            <w:pPr>
              <w:spacing w:after="0" w:line="240" w:lineRule="auto"/>
              <w:jc w:val="right"/>
              <w:rPr>
                <w:rFonts w:ascii="Arial" w:hAnsi="Arial" w:cs="Arial"/>
                <w:b/>
                <w:bCs/>
                <w:sz w:val="16"/>
                <w:szCs w:val="16"/>
              </w:rPr>
            </w:pPr>
            <w:r w:rsidRPr="004F145A">
              <w:rPr>
                <w:rFonts w:ascii="Arial" w:hAnsi="Arial" w:cs="Arial"/>
                <w:b/>
                <w:bCs/>
                <w:sz w:val="16"/>
                <w:szCs w:val="16"/>
              </w:rPr>
              <w:t>83</w:t>
            </w:r>
          </w:p>
        </w:tc>
      </w:tr>
    </w:tbl>
    <w:p w14:paraId="1796AEBC" w14:textId="77777777" w:rsidR="00DD7D8C" w:rsidRPr="00DD7D8C" w:rsidRDefault="00DD7D8C" w:rsidP="00DD7D8C">
      <w:pPr>
        <w:spacing w:after="0" w:line="240" w:lineRule="auto"/>
        <w:rPr>
          <w:rFonts w:cstheme="minorHAnsi"/>
          <w:sz w:val="16"/>
        </w:rPr>
      </w:pPr>
      <w:r w:rsidRPr="00DD7D8C">
        <w:rPr>
          <w:rFonts w:cstheme="minorHAnsi"/>
          <w:sz w:val="16"/>
        </w:rPr>
        <w:t xml:space="preserve">The number of completed investigations and the number of breaches </w:t>
      </w:r>
      <w:proofErr w:type="gramStart"/>
      <w:r w:rsidRPr="00DD7D8C">
        <w:rPr>
          <w:rFonts w:cstheme="minorHAnsi"/>
          <w:sz w:val="16"/>
        </w:rPr>
        <w:t>are</w:t>
      </w:r>
      <w:proofErr w:type="gramEnd"/>
      <w:r w:rsidRPr="00DD7D8C">
        <w:rPr>
          <w:rFonts w:cstheme="minorHAnsi"/>
          <w:sz w:val="16"/>
        </w:rPr>
        <w:t xml:space="preserve"> not directly comparable. The number of breaches is reported by residential property and the number of completed investigations by case. There may be multiple properties involved in a case or multiple cases per property in the event of joint owners.</w:t>
      </w:r>
    </w:p>
    <w:p w14:paraId="07F44F93" w14:textId="489452C9" w:rsidR="00DD7D8C" w:rsidRDefault="00DD7D8C" w:rsidP="004D0AF0">
      <w:pPr>
        <w:pStyle w:val="SingleParagraph"/>
      </w:pPr>
    </w:p>
    <w:p w14:paraId="35CB1E3A" w14:textId="5CDC4AE6" w:rsidR="00294D3B" w:rsidRPr="009D66F5" w:rsidRDefault="00294D3B" w:rsidP="00294D3B">
      <w:r w:rsidRPr="009D66F5">
        <w:t xml:space="preserve">During </w:t>
      </w:r>
      <w:r w:rsidR="00D76ED2">
        <w:t>2020</w:t>
      </w:r>
      <w:r w:rsidR="00D76ED2">
        <w:noBreakHyphen/>
        <w:t>21</w:t>
      </w:r>
      <w:r w:rsidR="00931E2C">
        <w:t>,</w:t>
      </w:r>
      <w:r w:rsidRPr="009D66F5">
        <w:t xml:space="preserve"> there was an increase in the number of investigations sourced from the community. This increase may be attributed to the Treasurer</w:t>
      </w:r>
      <w:r w:rsidR="00065800">
        <w:t>’</w:t>
      </w:r>
      <w:r w:rsidRPr="009D66F5">
        <w:t xml:space="preserve">s Tip Off campaign which encouraged the community to alert the ATO </w:t>
      </w:r>
      <w:r w:rsidR="004944D1">
        <w:t xml:space="preserve">of </w:t>
      </w:r>
      <w:r w:rsidRPr="009D66F5">
        <w:t>any concerns about investors doing the wrong thing. Investigations identified from data sources continue to produce the highest number of breaches.</w:t>
      </w:r>
    </w:p>
    <w:p w14:paraId="4C536572" w14:textId="77777777" w:rsidR="00294D3B" w:rsidRPr="00A91410" w:rsidRDefault="00294D3B" w:rsidP="00B12D67">
      <w:pPr>
        <w:pStyle w:val="Heading4"/>
        <w:rPr>
          <w:rFonts w:eastAsiaTheme="minorHAnsi"/>
          <w:lang w:eastAsia="en-US"/>
        </w:rPr>
      </w:pPr>
      <w:r w:rsidRPr="00A91410">
        <w:rPr>
          <w:rFonts w:eastAsiaTheme="minorHAnsi"/>
          <w:lang w:eastAsia="en-US"/>
        </w:rPr>
        <w:t>Infringement notices</w:t>
      </w:r>
    </w:p>
    <w:p w14:paraId="31D557C5" w14:textId="2CB9495C" w:rsidR="00FC5691" w:rsidRPr="00D36BBE" w:rsidRDefault="00294D3B" w:rsidP="004D0AF0">
      <w:pPr>
        <w:rPr>
          <w:rFonts w:ascii="Tahoma" w:hAnsi="Tahoma" w:cs="Tahoma"/>
        </w:rPr>
      </w:pPr>
      <w:r w:rsidRPr="009D66F5">
        <w:t>For the period up to 31</w:t>
      </w:r>
      <w:r w:rsidR="00CA3337">
        <w:t> </w:t>
      </w:r>
      <w:r w:rsidRPr="009D66F5">
        <w:t>December</w:t>
      </w:r>
      <w:r w:rsidR="00CA3337">
        <w:t> </w:t>
      </w:r>
      <w:r w:rsidRPr="009D66F5">
        <w:t xml:space="preserve">2020, there were two levels of infringement notices which impose different financial penalties on a foreign person. A Tier 1 infringement notice may be issued where a foreign person notifies of a breach before an infringement notice is issued, while in cases where the ATO identifies a breach as a result of compliance activity, a Tier 2 infringement notice may be issued. A third tier of infringement notice for alleged contraventions was introduced with legislative reforms on </w:t>
      </w:r>
      <w:r w:rsidR="00837C5E" w:rsidRPr="009D66F5">
        <w:t>1</w:t>
      </w:r>
      <w:r w:rsidR="00CA3337">
        <w:t> </w:t>
      </w:r>
      <w:r w:rsidR="00837C5E" w:rsidRPr="009D66F5">
        <w:t>January</w:t>
      </w:r>
      <w:r w:rsidR="00CA3337">
        <w:t> </w:t>
      </w:r>
      <w:r w:rsidR="00837C5E" w:rsidRPr="009D66F5">
        <w:t>2021 but</w:t>
      </w:r>
      <w:r w:rsidRPr="009D66F5">
        <w:t xml:space="preserve"> has not yet been applied. </w:t>
      </w:r>
    </w:p>
    <w:p w14:paraId="7A6CD245" w14:textId="309E29A0" w:rsidR="009812FE" w:rsidRPr="004D0AF0" w:rsidRDefault="009812FE" w:rsidP="004D0AF0">
      <w:pPr>
        <w:pStyle w:val="TableMainHeading"/>
      </w:pPr>
      <w:bookmarkStart w:id="224" w:name="_Toc89939964"/>
      <w:r w:rsidRPr="004D0AF0">
        <w:lastRenderedPageBreak/>
        <w:t xml:space="preserve">Table </w:t>
      </w:r>
      <w:fldSimple w:instr=" STYLEREF 1 \s ">
        <w:r w:rsidR="0019342F">
          <w:rPr>
            <w:noProof/>
          </w:rPr>
          <w:t>4</w:t>
        </w:r>
      </w:fldSimple>
      <w:r w:rsidRPr="004D0AF0">
        <w:t>.</w:t>
      </w:r>
      <w:fldSimple w:instr=" SEQ Table \* ARABIC \s 1 ">
        <w:r w:rsidR="0019342F">
          <w:rPr>
            <w:noProof/>
          </w:rPr>
          <w:t>9</w:t>
        </w:r>
      </w:fldSimple>
      <w:r w:rsidRPr="004D0AF0">
        <w:t xml:space="preserve">: Infringement notices issued in relation to residential real estate, </w:t>
      </w:r>
      <w:r w:rsidR="00C17F09">
        <w:t>2018</w:t>
      </w:r>
      <w:r w:rsidR="00C17F09">
        <w:noBreakHyphen/>
        <w:t>19</w:t>
      </w:r>
      <w:r w:rsidRPr="004D0AF0">
        <w:t xml:space="preserve"> to </w:t>
      </w:r>
      <w:r w:rsidR="00D76ED2" w:rsidRPr="004D0AF0">
        <w:t>2020</w:t>
      </w:r>
      <w:r w:rsidR="00D76ED2" w:rsidRPr="004D0AF0">
        <w:noBreakHyphen/>
        <w:t>21</w:t>
      </w:r>
      <w:bookmarkEnd w:id="224"/>
    </w:p>
    <w:tbl>
      <w:tblPr>
        <w:tblW w:w="7515" w:type="dxa"/>
        <w:tblLook w:val="04A0" w:firstRow="1" w:lastRow="0" w:firstColumn="1" w:lastColumn="0" w:noHBand="0" w:noVBand="1"/>
      </w:tblPr>
      <w:tblGrid>
        <w:gridCol w:w="1947"/>
        <w:gridCol w:w="711"/>
        <w:gridCol w:w="1252"/>
        <w:gridCol w:w="647"/>
        <w:gridCol w:w="1146"/>
        <w:gridCol w:w="884"/>
        <w:gridCol w:w="928"/>
      </w:tblGrid>
      <w:tr w:rsidR="00A91410" w:rsidRPr="00A91410" w14:paraId="12EFFA25" w14:textId="77777777" w:rsidTr="004D0AF0">
        <w:trPr>
          <w:trHeight w:val="300"/>
        </w:trPr>
        <w:tc>
          <w:tcPr>
            <w:tcW w:w="1947" w:type="dxa"/>
            <w:tcBorders>
              <w:top w:val="nil"/>
            </w:tcBorders>
            <w:shd w:val="clear" w:color="auto" w:fill="auto"/>
            <w:noWrap/>
            <w:vAlign w:val="center"/>
            <w:hideMark/>
          </w:tcPr>
          <w:p w14:paraId="1AF86989" w14:textId="0D3D10C1" w:rsidR="00A91410" w:rsidRPr="00A91410" w:rsidRDefault="00A91410" w:rsidP="00A91410">
            <w:pPr>
              <w:spacing w:after="0" w:line="240" w:lineRule="auto"/>
              <w:jc w:val="left"/>
              <w:rPr>
                <w:rFonts w:ascii="Arial" w:hAnsi="Arial" w:cs="Arial"/>
                <w:sz w:val="16"/>
                <w:szCs w:val="16"/>
              </w:rPr>
            </w:pPr>
          </w:p>
        </w:tc>
        <w:tc>
          <w:tcPr>
            <w:tcW w:w="1963" w:type="dxa"/>
            <w:gridSpan w:val="2"/>
            <w:tcBorders>
              <w:top w:val="single" w:sz="8" w:space="0" w:color="auto"/>
              <w:bottom w:val="single" w:sz="4" w:space="0" w:color="auto"/>
            </w:tcBorders>
            <w:shd w:val="clear" w:color="auto" w:fill="auto"/>
            <w:vAlign w:val="center"/>
            <w:hideMark/>
          </w:tcPr>
          <w:p w14:paraId="46F56E08" w14:textId="26C110D3" w:rsidR="00A91410" w:rsidRPr="00A91410" w:rsidRDefault="00C17F09" w:rsidP="00A91410">
            <w:pPr>
              <w:spacing w:after="0" w:line="240" w:lineRule="auto"/>
              <w:jc w:val="center"/>
              <w:rPr>
                <w:rFonts w:ascii="Arial" w:hAnsi="Arial" w:cs="Arial"/>
                <w:sz w:val="16"/>
                <w:szCs w:val="16"/>
              </w:rPr>
            </w:pPr>
            <w:r>
              <w:rPr>
                <w:rFonts w:ascii="Arial" w:hAnsi="Arial" w:cs="Arial"/>
                <w:sz w:val="16"/>
                <w:szCs w:val="16"/>
              </w:rPr>
              <w:t>2018</w:t>
            </w:r>
            <w:r>
              <w:rPr>
                <w:rFonts w:ascii="Arial" w:hAnsi="Arial" w:cs="Arial"/>
                <w:sz w:val="16"/>
                <w:szCs w:val="16"/>
              </w:rPr>
              <w:noBreakHyphen/>
              <w:t>19</w:t>
            </w:r>
          </w:p>
        </w:tc>
        <w:tc>
          <w:tcPr>
            <w:tcW w:w="1793" w:type="dxa"/>
            <w:gridSpan w:val="2"/>
            <w:tcBorders>
              <w:top w:val="single" w:sz="8" w:space="0" w:color="auto"/>
              <w:left w:val="nil"/>
              <w:bottom w:val="single" w:sz="4" w:space="0" w:color="auto"/>
            </w:tcBorders>
            <w:shd w:val="clear" w:color="auto" w:fill="auto"/>
            <w:vAlign w:val="center"/>
            <w:hideMark/>
          </w:tcPr>
          <w:p w14:paraId="508B0AC3" w14:textId="26BBE023" w:rsidR="00A91410" w:rsidRPr="00A91410" w:rsidRDefault="00D76ED2" w:rsidP="00A91410">
            <w:pPr>
              <w:spacing w:after="0" w:line="240" w:lineRule="auto"/>
              <w:jc w:val="center"/>
              <w:rPr>
                <w:rFonts w:ascii="Arial" w:hAnsi="Arial" w:cs="Arial"/>
                <w:sz w:val="16"/>
                <w:szCs w:val="16"/>
              </w:rPr>
            </w:pPr>
            <w:r>
              <w:rPr>
                <w:rFonts w:ascii="Arial" w:hAnsi="Arial" w:cs="Arial"/>
                <w:sz w:val="16"/>
                <w:szCs w:val="16"/>
              </w:rPr>
              <w:t>2019</w:t>
            </w:r>
            <w:r>
              <w:rPr>
                <w:rFonts w:ascii="Arial" w:hAnsi="Arial" w:cs="Arial"/>
                <w:sz w:val="16"/>
                <w:szCs w:val="16"/>
              </w:rPr>
              <w:noBreakHyphen/>
              <w:t>20</w:t>
            </w:r>
          </w:p>
        </w:tc>
        <w:tc>
          <w:tcPr>
            <w:tcW w:w="1812" w:type="dxa"/>
            <w:gridSpan w:val="2"/>
            <w:tcBorders>
              <w:top w:val="single" w:sz="8" w:space="0" w:color="auto"/>
              <w:bottom w:val="single" w:sz="4" w:space="0" w:color="auto"/>
            </w:tcBorders>
            <w:shd w:val="clear" w:color="auto" w:fill="E1E8EB"/>
            <w:vAlign w:val="center"/>
            <w:hideMark/>
          </w:tcPr>
          <w:p w14:paraId="0128BD3A" w14:textId="1C1FCFD8" w:rsidR="00A91410" w:rsidRPr="00A91410" w:rsidRDefault="00D76ED2" w:rsidP="00A91410">
            <w:pPr>
              <w:spacing w:after="0" w:line="240" w:lineRule="auto"/>
              <w:jc w:val="center"/>
              <w:rPr>
                <w:rFonts w:ascii="Arial" w:hAnsi="Arial" w:cs="Arial"/>
                <w:sz w:val="16"/>
                <w:szCs w:val="16"/>
              </w:rPr>
            </w:pPr>
            <w:r>
              <w:rPr>
                <w:rFonts w:ascii="Arial" w:hAnsi="Arial" w:cs="Arial"/>
                <w:sz w:val="16"/>
                <w:szCs w:val="16"/>
              </w:rPr>
              <w:t>2020</w:t>
            </w:r>
            <w:r>
              <w:rPr>
                <w:rFonts w:ascii="Arial" w:hAnsi="Arial" w:cs="Arial"/>
                <w:sz w:val="16"/>
                <w:szCs w:val="16"/>
              </w:rPr>
              <w:noBreakHyphen/>
              <w:t>21</w:t>
            </w:r>
          </w:p>
        </w:tc>
      </w:tr>
      <w:tr w:rsidR="00A91410" w:rsidRPr="00A91410" w14:paraId="3313937B" w14:textId="77777777" w:rsidTr="004D0AF0">
        <w:trPr>
          <w:trHeight w:val="300"/>
        </w:trPr>
        <w:tc>
          <w:tcPr>
            <w:tcW w:w="1947" w:type="dxa"/>
            <w:tcBorders>
              <w:bottom w:val="single" w:sz="4" w:space="0" w:color="000000"/>
            </w:tcBorders>
            <w:shd w:val="clear" w:color="auto" w:fill="auto"/>
            <w:vAlign w:val="center"/>
            <w:hideMark/>
          </w:tcPr>
          <w:p w14:paraId="1B5C0708" w14:textId="7AB86552" w:rsidR="00A91410" w:rsidRPr="00A91410" w:rsidRDefault="00FC5691" w:rsidP="00A91410">
            <w:pPr>
              <w:spacing w:after="0" w:line="240" w:lineRule="auto"/>
              <w:jc w:val="left"/>
              <w:rPr>
                <w:rFonts w:ascii="Arial" w:hAnsi="Arial" w:cs="Arial"/>
                <w:sz w:val="16"/>
                <w:szCs w:val="16"/>
              </w:rPr>
            </w:pPr>
            <w:r w:rsidRPr="00A91410">
              <w:rPr>
                <w:rFonts w:ascii="Arial" w:hAnsi="Arial" w:cs="Arial"/>
                <w:sz w:val="16"/>
                <w:szCs w:val="16"/>
              </w:rPr>
              <w:t>Penalty type</w:t>
            </w:r>
          </w:p>
        </w:tc>
        <w:tc>
          <w:tcPr>
            <w:tcW w:w="711" w:type="dxa"/>
            <w:tcBorders>
              <w:top w:val="single" w:sz="4" w:space="0" w:color="auto"/>
              <w:bottom w:val="single" w:sz="4" w:space="0" w:color="auto"/>
            </w:tcBorders>
            <w:shd w:val="clear" w:color="auto" w:fill="auto"/>
            <w:vAlign w:val="center"/>
            <w:hideMark/>
          </w:tcPr>
          <w:p w14:paraId="3486759E" w14:textId="77777777" w:rsidR="00A91410" w:rsidRPr="00A91410" w:rsidRDefault="00A91410" w:rsidP="00A91410">
            <w:pPr>
              <w:spacing w:after="0" w:line="240" w:lineRule="auto"/>
              <w:jc w:val="right"/>
              <w:rPr>
                <w:rFonts w:ascii="Arial" w:hAnsi="Arial" w:cs="Arial"/>
                <w:sz w:val="16"/>
                <w:szCs w:val="16"/>
              </w:rPr>
            </w:pPr>
            <w:r w:rsidRPr="00A91410">
              <w:rPr>
                <w:rFonts w:ascii="Arial" w:hAnsi="Arial" w:cs="Arial"/>
                <w:sz w:val="16"/>
                <w:szCs w:val="16"/>
              </w:rPr>
              <w:t xml:space="preserve">No. </w:t>
            </w:r>
          </w:p>
        </w:tc>
        <w:tc>
          <w:tcPr>
            <w:tcW w:w="1252" w:type="dxa"/>
            <w:tcBorders>
              <w:top w:val="single" w:sz="4" w:space="0" w:color="auto"/>
              <w:bottom w:val="single" w:sz="4" w:space="0" w:color="auto"/>
            </w:tcBorders>
            <w:shd w:val="clear" w:color="auto" w:fill="auto"/>
            <w:vAlign w:val="center"/>
            <w:hideMark/>
          </w:tcPr>
          <w:p w14:paraId="255AF6F8" w14:textId="31A105A5" w:rsidR="00A91410" w:rsidRPr="00A91410" w:rsidRDefault="00A91410" w:rsidP="00A91410">
            <w:pPr>
              <w:spacing w:after="0" w:line="240" w:lineRule="auto"/>
              <w:jc w:val="right"/>
              <w:rPr>
                <w:rFonts w:ascii="Arial" w:hAnsi="Arial" w:cs="Arial"/>
                <w:sz w:val="16"/>
                <w:szCs w:val="16"/>
              </w:rPr>
            </w:pPr>
            <w:r w:rsidRPr="00A91410">
              <w:rPr>
                <w:rFonts w:ascii="Arial" w:hAnsi="Arial" w:cs="Arial"/>
                <w:sz w:val="16"/>
                <w:szCs w:val="16"/>
              </w:rPr>
              <w:t xml:space="preserve">Total </w:t>
            </w:r>
            <w:r w:rsidR="009360EE">
              <w:rPr>
                <w:rFonts w:ascii="Arial" w:hAnsi="Arial" w:cs="Arial"/>
                <w:sz w:val="16"/>
                <w:szCs w:val="16"/>
              </w:rPr>
              <w:t>v</w:t>
            </w:r>
            <w:r w:rsidRPr="00A91410">
              <w:rPr>
                <w:rFonts w:ascii="Arial" w:hAnsi="Arial" w:cs="Arial"/>
                <w:sz w:val="16"/>
                <w:szCs w:val="16"/>
              </w:rPr>
              <w:t>alue $</w:t>
            </w:r>
          </w:p>
        </w:tc>
        <w:tc>
          <w:tcPr>
            <w:tcW w:w="647" w:type="dxa"/>
            <w:tcBorders>
              <w:top w:val="single" w:sz="4" w:space="0" w:color="auto"/>
              <w:bottom w:val="single" w:sz="4" w:space="0" w:color="auto"/>
              <w:right w:val="nil"/>
            </w:tcBorders>
            <w:shd w:val="clear" w:color="auto" w:fill="auto"/>
            <w:vAlign w:val="center"/>
            <w:hideMark/>
          </w:tcPr>
          <w:p w14:paraId="2DC14BA5" w14:textId="77777777" w:rsidR="00A91410" w:rsidRPr="00A91410" w:rsidRDefault="00A91410" w:rsidP="00A91410">
            <w:pPr>
              <w:spacing w:after="0" w:line="240" w:lineRule="auto"/>
              <w:jc w:val="right"/>
              <w:rPr>
                <w:rFonts w:ascii="Arial" w:hAnsi="Arial" w:cs="Arial"/>
                <w:sz w:val="16"/>
                <w:szCs w:val="16"/>
              </w:rPr>
            </w:pPr>
            <w:r w:rsidRPr="00A91410">
              <w:rPr>
                <w:rFonts w:ascii="Arial" w:hAnsi="Arial" w:cs="Arial"/>
                <w:sz w:val="16"/>
                <w:szCs w:val="16"/>
              </w:rPr>
              <w:t xml:space="preserve">No. </w:t>
            </w:r>
          </w:p>
        </w:tc>
        <w:tc>
          <w:tcPr>
            <w:tcW w:w="1146" w:type="dxa"/>
            <w:tcBorders>
              <w:top w:val="single" w:sz="4" w:space="0" w:color="auto"/>
              <w:left w:val="nil"/>
              <w:bottom w:val="single" w:sz="4" w:space="0" w:color="auto"/>
            </w:tcBorders>
            <w:shd w:val="clear" w:color="auto" w:fill="auto"/>
            <w:vAlign w:val="center"/>
            <w:hideMark/>
          </w:tcPr>
          <w:p w14:paraId="6B7FB5F8" w14:textId="09625A5E" w:rsidR="00A91410" w:rsidRPr="00A91410" w:rsidRDefault="00A91410" w:rsidP="00A91410">
            <w:pPr>
              <w:spacing w:after="0" w:line="240" w:lineRule="auto"/>
              <w:jc w:val="right"/>
              <w:rPr>
                <w:rFonts w:ascii="Arial" w:hAnsi="Arial" w:cs="Arial"/>
                <w:sz w:val="16"/>
                <w:szCs w:val="16"/>
              </w:rPr>
            </w:pPr>
            <w:r w:rsidRPr="00A91410">
              <w:rPr>
                <w:rFonts w:ascii="Arial" w:hAnsi="Arial" w:cs="Arial"/>
                <w:sz w:val="16"/>
                <w:szCs w:val="16"/>
              </w:rPr>
              <w:t xml:space="preserve">Total </w:t>
            </w:r>
            <w:r w:rsidR="009360EE">
              <w:rPr>
                <w:rFonts w:ascii="Arial" w:hAnsi="Arial" w:cs="Arial"/>
                <w:sz w:val="16"/>
                <w:szCs w:val="16"/>
              </w:rPr>
              <w:t>v</w:t>
            </w:r>
            <w:r w:rsidRPr="00A91410">
              <w:rPr>
                <w:rFonts w:ascii="Arial" w:hAnsi="Arial" w:cs="Arial"/>
                <w:sz w:val="16"/>
                <w:szCs w:val="16"/>
              </w:rPr>
              <w:t>alue $</w:t>
            </w:r>
          </w:p>
        </w:tc>
        <w:tc>
          <w:tcPr>
            <w:tcW w:w="884" w:type="dxa"/>
            <w:tcBorders>
              <w:top w:val="single" w:sz="4" w:space="0" w:color="auto"/>
              <w:bottom w:val="single" w:sz="4" w:space="0" w:color="auto"/>
              <w:right w:val="nil"/>
            </w:tcBorders>
            <w:shd w:val="clear" w:color="auto" w:fill="E1E8EB"/>
            <w:vAlign w:val="center"/>
            <w:hideMark/>
          </w:tcPr>
          <w:p w14:paraId="1D74D60E" w14:textId="77777777" w:rsidR="00A91410" w:rsidRPr="00A91410" w:rsidRDefault="00A91410" w:rsidP="00A91410">
            <w:pPr>
              <w:spacing w:after="0" w:line="240" w:lineRule="auto"/>
              <w:jc w:val="right"/>
              <w:rPr>
                <w:rFonts w:ascii="Arial" w:hAnsi="Arial" w:cs="Arial"/>
                <w:sz w:val="16"/>
                <w:szCs w:val="16"/>
              </w:rPr>
            </w:pPr>
            <w:r w:rsidRPr="00A91410">
              <w:rPr>
                <w:rFonts w:ascii="Arial" w:hAnsi="Arial" w:cs="Arial"/>
                <w:sz w:val="16"/>
                <w:szCs w:val="16"/>
              </w:rPr>
              <w:t xml:space="preserve">No. </w:t>
            </w:r>
          </w:p>
        </w:tc>
        <w:tc>
          <w:tcPr>
            <w:tcW w:w="928" w:type="dxa"/>
            <w:tcBorders>
              <w:top w:val="single" w:sz="4" w:space="0" w:color="auto"/>
              <w:left w:val="nil"/>
              <w:bottom w:val="single" w:sz="4" w:space="0" w:color="auto"/>
            </w:tcBorders>
            <w:shd w:val="clear" w:color="auto" w:fill="E1E8EB"/>
            <w:vAlign w:val="center"/>
            <w:hideMark/>
          </w:tcPr>
          <w:p w14:paraId="2644A8FC" w14:textId="26994581" w:rsidR="00A91410" w:rsidRPr="00A91410" w:rsidRDefault="00A91410" w:rsidP="00A91410">
            <w:pPr>
              <w:spacing w:after="0" w:line="240" w:lineRule="auto"/>
              <w:jc w:val="right"/>
              <w:rPr>
                <w:rFonts w:ascii="Arial" w:hAnsi="Arial" w:cs="Arial"/>
                <w:sz w:val="16"/>
                <w:szCs w:val="16"/>
              </w:rPr>
            </w:pPr>
            <w:r w:rsidRPr="00A91410">
              <w:rPr>
                <w:rFonts w:ascii="Arial" w:hAnsi="Arial" w:cs="Arial"/>
                <w:sz w:val="16"/>
                <w:szCs w:val="16"/>
              </w:rPr>
              <w:t xml:space="preserve">Total </w:t>
            </w:r>
            <w:r w:rsidR="009360EE">
              <w:rPr>
                <w:rFonts w:ascii="Arial" w:hAnsi="Arial" w:cs="Arial"/>
                <w:sz w:val="16"/>
                <w:szCs w:val="16"/>
              </w:rPr>
              <w:t>v</w:t>
            </w:r>
            <w:r w:rsidRPr="00A91410">
              <w:rPr>
                <w:rFonts w:ascii="Arial" w:hAnsi="Arial" w:cs="Arial"/>
                <w:sz w:val="16"/>
                <w:szCs w:val="16"/>
              </w:rPr>
              <w:t>alue $</w:t>
            </w:r>
          </w:p>
        </w:tc>
      </w:tr>
      <w:tr w:rsidR="00A91410" w:rsidRPr="00A91410" w14:paraId="5EA1C601" w14:textId="77777777" w:rsidTr="004D0AF0">
        <w:trPr>
          <w:trHeight w:val="300"/>
        </w:trPr>
        <w:tc>
          <w:tcPr>
            <w:tcW w:w="1947" w:type="dxa"/>
            <w:tcBorders>
              <w:top w:val="single" w:sz="4" w:space="0" w:color="000000"/>
            </w:tcBorders>
            <w:shd w:val="clear" w:color="auto" w:fill="auto"/>
            <w:noWrap/>
            <w:vAlign w:val="center"/>
            <w:hideMark/>
          </w:tcPr>
          <w:p w14:paraId="110D978C" w14:textId="77777777" w:rsidR="00A91410" w:rsidRPr="00A91410" w:rsidRDefault="00A91410" w:rsidP="00A91410">
            <w:pPr>
              <w:spacing w:after="0" w:line="240" w:lineRule="auto"/>
              <w:jc w:val="left"/>
              <w:rPr>
                <w:rFonts w:ascii="Arial" w:hAnsi="Arial" w:cs="Arial"/>
                <w:sz w:val="16"/>
                <w:szCs w:val="16"/>
              </w:rPr>
            </w:pPr>
            <w:r w:rsidRPr="00A91410">
              <w:rPr>
                <w:rFonts w:ascii="Arial" w:hAnsi="Arial" w:cs="Arial"/>
                <w:sz w:val="16"/>
                <w:szCs w:val="16"/>
              </w:rPr>
              <w:t>Tier 1 infringement</w:t>
            </w:r>
          </w:p>
        </w:tc>
        <w:tc>
          <w:tcPr>
            <w:tcW w:w="711" w:type="dxa"/>
            <w:tcBorders>
              <w:top w:val="single" w:sz="4" w:space="0" w:color="auto"/>
              <w:right w:val="nil"/>
            </w:tcBorders>
            <w:shd w:val="clear" w:color="auto" w:fill="auto"/>
            <w:vAlign w:val="center"/>
            <w:hideMark/>
          </w:tcPr>
          <w:p w14:paraId="517BA2BC" w14:textId="77777777" w:rsidR="00A91410" w:rsidRPr="00A91410" w:rsidRDefault="00A91410" w:rsidP="00A91410">
            <w:pPr>
              <w:spacing w:after="0" w:line="240" w:lineRule="auto"/>
              <w:jc w:val="right"/>
              <w:rPr>
                <w:rFonts w:ascii="Arial" w:hAnsi="Arial" w:cs="Arial"/>
                <w:sz w:val="16"/>
                <w:szCs w:val="16"/>
              </w:rPr>
            </w:pPr>
            <w:r w:rsidRPr="00A91410">
              <w:rPr>
                <w:rFonts w:ascii="Arial" w:hAnsi="Arial" w:cs="Arial"/>
                <w:sz w:val="16"/>
                <w:szCs w:val="16"/>
              </w:rPr>
              <w:t>346</w:t>
            </w:r>
          </w:p>
        </w:tc>
        <w:tc>
          <w:tcPr>
            <w:tcW w:w="1252" w:type="dxa"/>
            <w:tcBorders>
              <w:top w:val="nil"/>
              <w:left w:val="nil"/>
            </w:tcBorders>
            <w:shd w:val="clear" w:color="auto" w:fill="auto"/>
            <w:vAlign w:val="center"/>
            <w:hideMark/>
          </w:tcPr>
          <w:p w14:paraId="0F1EEE13" w14:textId="77777777" w:rsidR="00A91410" w:rsidRPr="00A91410" w:rsidRDefault="00A91410" w:rsidP="00A91410">
            <w:pPr>
              <w:spacing w:after="0" w:line="240" w:lineRule="auto"/>
              <w:jc w:val="right"/>
              <w:rPr>
                <w:rFonts w:ascii="Arial" w:hAnsi="Arial" w:cs="Arial"/>
                <w:sz w:val="16"/>
                <w:szCs w:val="16"/>
              </w:rPr>
            </w:pPr>
            <w:r w:rsidRPr="00A91410">
              <w:rPr>
                <w:rFonts w:ascii="Arial" w:hAnsi="Arial" w:cs="Arial"/>
                <w:sz w:val="16"/>
                <w:szCs w:val="16"/>
              </w:rPr>
              <w:t>1,288,000</w:t>
            </w:r>
          </w:p>
        </w:tc>
        <w:tc>
          <w:tcPr>
            <w:tcW w:w="647" w:type="dxa"/>
            <w:tcBorders>
              <w:top w:val="single" w:sz="4" w:space="0" w:color="auto"/>
              <w:right w:val="nil"/>
            </w:tcBorders>
            <w:shd w:val="clear" w:color="auto" w:fill="auto"/>
            <w:vAlign w:val="center"/>
            <w:hideMark/>
          </w:tcPr>
          <w:p w14:paraId="30A01855" w14:textId="77777777" w:rsidR="00A91410" w:rsidRPr="00A91410" w:rsidRDefault="00A91410" w:rsidP="00A91410">
            <w:pPr>
              <w:spacing w:after="0" w:line="240" w:lineRule="auto"/>
              <w:jc w:val="right"/>
              <w:rPr>
                <w:rFonts w:ascii="Arial" w:hAnsi="Arial" w:cs="Arial"/>
                <w:sz w:val="16"/>
                <w:szCs w:val="16"/>
              </w:rPr>
            </w:pPr>
            <w:r w:rsidRPr="00A91410">
              <w:rPr>
                <w:rFonts w:ascii="Arial" w:hAnsi="Arial" w:cs="Arial"/>
                <w:sz w:val="16"/>
                <w:szCs w:val="16"/>
              </w:rPr>
              <w:t>140</w:t>
            </w:r>
          </w:p>
        </w:tc>
        <w:tc>
          <w:tcPr>
            <w:tcW w:w="1146" w:type="dxa"/>
            <w:tcBorders>
              <w:top w:val="nil"/>
              <w:left w:val="nil"/>
            </w:tcBorders>
            <w:shd w:val="clear" w:color="auto" w:fill="auto"/>
            <w:vAlign w:val="center"/>
            <w:hideMark/>
          </w:tcPr>
          <w:p w14:paraId="08D24F05" w14:textId="77777777" w:rsidR="00A91410" w:rsidRPr="00A91410" w:rsidRDefault="00A91410" w:rsidP="00A91410">
            <w:pPr>
              <w:spacing w:after="0" w:line="240" w:lineRule="auto"/>
              <w:jc w:val="right"/>
              <w:rPr>
                <w:rFonts w:ascii="Arial" w:hAnsi="Arial" w:cs="Arial"/>
                <w:sz w:val="16"/>
                <w:szCs w:val="16"/>
              </w:rPr>
            </w:pPr>
            <w:r w:rsidRPr="00A91410">
              <w:rPr>
                <w:rFonts w:ascii="Arial" w:hAnsi="Arial" w:cs="Arial"/>
                <w:sz w:val="16"/>
                <w:szCs w:val="16"/>
              </w:rPr>
              <w:t>499,360</w:t>
            </w:r>
          </w:p>
        </w:tc>
        <w:tc>
          <w:tcPr>
            <w:tcW w:w="884" w:type="dxa"/>
            <w:tcBorders>
              <w:top w:val="single" w:sz="4" w:space="0" w:color="auto"/>
              <w:bottom w:val="nil"/>
              <w:right w:val="nil"/>
            </w:tcBorders>
            <w:shd w:val="clear" w:color="auto" w:fill="E1E8EB"/>
            <w:noWrap/>
            <w:vAlign w:val="bottom"/>
            <w:hideMark/>
          </w:tcPr>
          <w:p w14:paraId="072E3A01" w14:textId="77777777" w:rsidR="00A91410" w:rsidRPr="00FC5691" w:rsidRDefault="00A91410" w:rsidP="00A91410">
            <w:pPr>
              <w:spacing w:after="0" w:line="240" w:lineRule="auto"/>
              <w:jc w:val="right"/>
              <w:rPr>
                <w:rFonts w:ascii="Arial" w:hAnsi="Arial" w:cs="Arial"/>
                <w:sz w:val="16"/>
                <w:szCs w:val="16"/>
              </w:rPr>
            </w:pPr>
            <w:r w:rsidRPr="00FC5691">
              <w:rPr>
                <w:rFonts w:ascii="Arial" w:hAnsi="Arial" w:cs="Arial"/>
                <w:sz w:val="16"/>
                <w:szCs w:val="16"/>
              </w:rPr>
              <w:t>37</w:t>
            </w:r>
          </w:p>
        </w:tc>
        <w:tc>
          <w:tcPr>
            <w:tcW w:w="928" w:type="dxa"/>
            <w:tcBorders>
              <w:top w:val="single" w:sz="4" w:space="0" w:color="auto"/>
              <w:left w:val="nil"/>
              <w:bottom w:val="nil"/>
            </w:tcBorders>
            <w:shd w:val="clear" w:color="auto" w:fill="E1E8EB"/>
            <w:noWrap/>
            <w:vAlign w:val="bottom"/>
            <w:hideMark/>
          </w:tcPr>
          <w:p w14:paraId="1373DAE9" w14:textId="77777777" w:rsidR="00A91410" w:rsidRPr="00FC5691" w:rsidRDefault="00A91410" w:rsidP="00A91410">
            <w:pPr>
              <w:spacing w:after="0" w:line="240" w:lineRule="auto"/>
              <w:jc w:val="right"/>
              <w:rPr>
                <w:rFonts w:ascii="Arial" w:hAnsi="Arial" w:cs="Arial"/>
                <w:sz w:val="16"/>
                <w:szCs w:val="16"/>
              </w:rPr>
            </w:pPr>
            <w:r w:rsidRPr="00FC5691">
              <w:rPr>
                <w:rFonts w:ascii="Arial" w:hAnsi="Arial" w:cs="Arial"/>
                <w:sz w:val="16"/>
                <w:szCs w:val="16"/>
              </w:rPr>
              <w:t>375,336</w:t>
            </w:r>
          </w:p>
        </w:tc>
      </w:tr>
      <w:tr w:rsidR="00A91410" w:rsidRPr="00A91410" w14:paraId="3B4590EB" w14:textId="77777777" w:rsidTr="004D0AF0">
        <w:trPr>
          <w:trHeight w:val="300"/>
        </w:trPr>
        <w:tc>
          <w:tcPr>
            <w:tcW w:w="1947" w:type="dxa"/>
            <w:tcBorders>
              <w:bottom w:val="single" w:sz="4" w:space="0" w:color="auto"/>
            </w:tcBorders>
            <w:shd w:val="clear" w:color="auto" w:fill="auto"/>
            <w:noWrap/>
            <w:vAlign w:val="center"/>
            <w:hideMark/>
          </w:tcPr>
          <w:p w14:paraId="7F35F864" w14:textId="77777777" w:rsidR="00A91410" w:rsidRPr="00A91410" w:rsidRDefault="00A91410" w:rsidP="00A91410">
            <w:pPr>
              <w:spacing w:after="0" w:line="240" w:lineRule="auto"/>
              <w:jc w:val="left"/>
              <w:rPr>
                <w:rFonts w:ascii="Arial" w:hAnsi="Arial" w:cs="Arial"/>
                <w:sz w:val="16"/>
                <w:szCs w:val="16"/>
              </w:rPr>
            </w:pPr>
            <w:r w:rsidRPr="00A91410">
              <w:rPr>
                <w:rFonts w:ascii="Arial" w:hAnsi="Arial" w:cs="Arial"/>
                <w:sz w:val="16"/>
                <w:szCs w:val="16"/>
              </w:rPr>
              <w:t>Tier 2 infringement</w:t>
            </w:r>
          </w:p>
        </w:tc>
        <w:tc>
          <w:tcPr>
            <w:tcW w:w="711" w:type="dxa"/>
            <w:tcBorders>
              <w:bottom w:val="single" w:sz="4" w:space="0" w:color="auto"/>
              <w:right w:val="nil"/>
            </w:tcBorders>
            <w:shd w:val="clear" w:color="auto" w:fill="auto"/>
            <w:vAlign w:val="center"/>
            <w:hideMark/>
          </w:tcPr>
          <w:p w14:paraId="548700F9" w14:textId="77777777" w:rsidR="00A91410" w:rsidRPr="00A91410" w:rsidRDefault="00A91410" w:rsidP="00A91410">
            <w:pPr>
              <w:spacing w:after="0" w:line="240" w:lineRule="auto"/>
              <w:jc w:val="right"/>
              <w:rPr>
                <w:rFonts w:ascii="Arial" w:hAnsi="Arial" w:cs="Arial"/>
                <w:sz w:val="16"/>
                <w:szCs w:val="16"/>
              </w:rPr>
            </w:pPr>
            <w:r w:rsidRPr="00A91410">
              <w:rPr>
                <w:rFonts w:ascii="Arial" w:hAnsi="Arial" w:cs="Arial"/>
                <w:sz w:val="16"/>
                <w:szCs w:val="16"/>
              </w:rPr>
              <w:t>169</w:t>
            </w:r>
          </w:p>
        </w:tc>
        <w:tc>
          <w:tcPr>
            <w:tcW w:w="1252" w:type="dxa"/>
            <w:tcBorders>
              <w:left w:val="nil"/>
              <w:bottom w:val="single" w:sz="4" w:space="0" w:color="auto"/>
            </w:tcBorders>
            <w:shd w:val="clear" w:color="auto" w:fill="auto"/>
            <w:vAlign w:val="center"/>
            <w:hideMark/>
          </w:tcPr>
          <w:p w14:paraId="5A3D38FB" w14:textId="77777777" w:rsidR="00A91410" w:rsidRPr="00A91410" w:rsidRDefault="00A91410" w:rsidP="00A91410">
            <w:pPr>
              <w:spacing w:after="0" w:line="240" w:lineRule="auto"/>
              <w:jc w:val="right"/>
              <w:rPr>
                <w:rFonts w:ascii="Arial" w:hAnsi="Arial" w:cs="Arial"/>
                <w:sz w:val="16"/>
                <w:szCs w:val="16"/>
              </w:rPr>
            </w:pPr>
            <w:r w:rsidRPr="00A91410">
              <w:rPr>
                <w:rFonts w:ascii="Arial" w:hAnsi="Arial" w:cs="Arial"/>
                <w:sz w:val="16"/>
                <w:szCs w:val="16"/>
              </w:rPr>
              <w:t>2,267,320</w:t>
            </w:r>
          </w:p>
        </w:tc>
        <w:tc>
          <w:tcPr>
            <w:tcW w:w="647" w:type="dxa"/>
            <w:tcBorders>
              <w:bottom w:val="single" w:sz="4" w:space="0" w:color="auto"/>
              <w:right w:val="nil"/>
            </w:tcBorders>
            <w:shd w:val="clear" w:color="auto" w:fill="auto"/>
            <w:vAlign w:val="center"/>
            <w:hideMark/>
          </w:tcPr>
          <w:p w14:paraId="79BFDDEE" w14:textId="77777777" w:rsidR="00A91410" w:rsidRPr="00A91410" w:rsidRDefault="00A91410" w:rsidP="00A91410">
            <w:pPr>
              <w:spacing w:after="0" w:line="240" w:lineRule="auto"/>
              <w:jc w:val="right"/>
              <w:rPr>
                <w:rFonts w:ascii="Arial" w:hAnsi="Arial" w:cs="Arial"/>
                <w:sz w:val="16"/>
                <w:szCs w:val="16"/>
              </w:rPr>
            </w:pPr>
            <w:r w:rsidRPr="00A91410">
              <w:rPr>
                <w:rFonts w:ascii="Arial" w:hAnsi="Arial" w:cs="Arial"/>
                <w:sz w:val="16"/>
                <w:szCs w:val="16"/>
              </w:rPr>
              <w:t>36</w:t>
            </w:r>
          </w:p>
        </w:tc>
        <w:tc>
          <w:tcPr>
            <w:tcW w:w="1146" w:type="dxa"/>
            <w:tcBorders>
              <w:left w:val="nil"/>
              <w:bottom w:val="single" w:sz="4" w:space="0" w:color="auto"/>
            </w:tcBorders>
            <w:shd w:val="clear" w:color="auto" w:fill="auto"/>
            <w:vAlign w:val="center"/>
            <w:hideMark/>
          </w:tcPr>
          <w:p w14:paraId="50B1F11D" w14:textId="77777777" w:rsidR="00A91410" w:rsidRPr="00A91410" w:rsidRDefault="00A91410" w:rsidP="00A91410">
            <w:pPr>
              <w:spacing w:after="0" w:line="240" w:lineRule="auto"/>
              <w:jc w:val="right"/>
              <w:rPr>
                <w:rFonts w:ascii="Arial" w:hAnsi="Arial" w:cs="Arial"/>
                <w:sz w:val="16"/>
                <w:szCs w:val="16"/>
              </w:rPr>
            </w:pPr>
            <w:r w:rsidRPr="00A91410">
              <w:rPr>
                <w:rFonts w:ascii="Arial" w:hAnsi="Arial" w:cs="Arial"/>
                <w:sz w:val="16"/>
                <w:szCs w:val="16"/>
              </w:rPr>
              <w:t>804,600</w:t>
            </w:r>
          </w:p>
        </w:tc>
        <w:tc>
          <w:tcPr>
            <w:tcW w:w="884" w:type="dxa"/>
            <w:tcBorders>
              <w:top w:val="nil"/>
              <w:bottom w:val="single" w:sz="4" w:space="0" w:color="auto"/>
              <w:right w:val="nil"/>
            </w:tcBorders>
            <w:shd w:val="clear" w:color="auto" w:fill="E1E8EB"/>
            <w:noWrap/>
            <w:vAlign w:val="bottom"/>
            <w:hideMark/>
          </w:tcPr>
          <w:p w14:paraId="557BD6E7" w14:textId="77777777" w:rsidR="00A91410" w:rsidRPr="00FC5691" w:rsidRDefault="00A91410" w:rsidP="00A91410">
            <w:pPr>
              <w:spacing w:after="0" w:line="240" w:lineRule="auto"/>
              <w:jc w:val="right"/>
              <w:rPr>
                <w:rFonts w:ascii="Arial" w:hAnsi="Arial" w:cs="Arial"/>
                <w:sz w:val="16"/>
                <w:szCs w:val="16"/>
              </w:rPr>
            </w:pPr>
            <w:r w:rsidRPr="00FC5691">
              <w:rPr>
                <w:rFonts w:ascii="Arial" w:hAnsi="Arial" w:cs="Arial"/>
                <w:sz w:val="16"/>
                <w:szCs w:val="16"/>
              </w:rPr>
              <w:t>20</w:t>
            </w:r>
          </w:p>
        </w:tc>
        <w:tc>
          <w:tcPr>
            <w:tcW w:w="928" w:type="dxa"/>
            <w:tcBorders>
              <w:top w:val="nil"/>
              <w:left w:val="nil"/>
              <w:bottom w:val="nil"/>
            </w:tcBorders>
            <w:shd w:val="clear" w:color="auto" w:fill="E1E8EB"/>
            <w:noWrap/>
            <w:vAlign w:val="bottom"/>
            <w:hideMark/>
          </w:tcPr>
          <w:p w14:paraId="0AF02EF1" w14:textId="77777777" w:rsidR="00A91410" w:rsidRPr="00FC5691" w:rsidRDefault="00A91410" w:rsidP="00A91410">
            <w:pPr>
              <w:spacing w:after="0" w:line="240" w:lineRule="auto"/>
              <w:jc w:val="right"/>
              <w:rPr>
                <w:rFonts w:ascii="Arial" w:hAnsi="Arial" w:cs="Arial"/>
                <w:sz w:val="16"/>
                <w:szCs w:val="16"/>
              </w:rPr>
            </w:pPr>
            <w:r w:rsidRPr="00FC5691">
              <w:rPr>
                <w:rFonts w:ascii="Arial" w:hAnsi="Arial" w:cs="Arial"/>
                <w:sz w:val="16"/>
                <w:szCs w:val="16"/>
              </w:rPr>
              <w:t>1,217,040</w:t>
            </w:r>
          </w:p>
        </w:tc>
      </w:tr>
      <w:tr w:rsidR="00A91410" w:rsidRPr="00A91410" w14:paraId="080F2F6B" w14:textId="77777777" w:rsidTr="004D0AF0">
        <w:trPr>
          <w:trHeight w:val="315"/>
        </w:trPr>
        <w:tc>
          <w:tcPr>
            <w:tcW w:w="1947" w:type="dxa"/>
            <w:tcBorders>
              <w:top w:val="single" w:sz="4" w:space="0" w:color="auto"/>
              <w:bottom w:val="single" w:sz="8" w:space="0" w:color="auto"/>
            </w:tcBorders>
            <w:shd w:val="clear" w:color="auto" w:fill="auto"/>
            <w:noWrap/>
            <w:vAlign w:val="bottom"/>
            <w:hideMark/>
          </w:tcPr>
          <w:p w14:paraId="76D55824" w14:textId="77777777" w:rsidR="00A91410" w:rsidRPr="00B06790" w:rsidRDefault="00A91410" w:rsidP="00B06790">
            <w:pPr>
              <w:spacing w:after="0" w:line="240" w:lineRule="auto"/>
              <w:jc w:val="right"/>
              <w:rPr>
                <w:rFonts w:ascii="Arial" w:hAnsi="Arial" w:cs="Arial"/>
                <w:b/>
                <w:bCs/>
                <w:sz w:val="16"/>
                <w:szCs w:val="16"/>
              </w:rPr>
            </w:pPr>
            <w:r w:rsidRPr="00B06790">
              <w:rPr>
                <w:rFonts w:ascii="Arial" w:hAnsi="Arial" w:cs="Arial"/>
                <w:b/>
                <w:bCs/>
                <w:sz w:val="16"/>
                <w:szCs w:val="16"/>
              </w:rPr>
              <w:t xml:space="preserve">Total </w:t>
            </w:r>
          </w:p>
        </w:tc>
        <w:tc>
          <w:tcPr>
            <w:tcW w:w="711" w:type="dxa"/>
            <w:tcBorders>
              <w:top w:val="single" w:sz="4" w:space="0" w:color="auto"/>
              <w:bottom w:val="single" w:sz="8" w:space="0" w:color="auto"/>
              <w:right w:val="nil"/>
            </w:tcBorders>
            <w:shd w:val="clear" w:color="auto" w:fill="auto"/>
            <w:vAlign w:val="bottom"/>
            <w:hideMark/>
          </w:tcPr>
          <w:p w14:paraId="71A355EF" w14:textId="77777777" w:rsidR="00A91410" w:rsidRPr="00B06790" w:rsidRDefault="00A91410" w:rsidP="00B06790">
            <w:pPr>
              <w:spacing w:after="0" w:line="240" w:lineRule="auto"/>
              <w:jc w:val="right"/>
              <w:rPr>
                <w:rFonts w:ascii="Arial" w:hAnsi="Arial" w:cs="Arial"/>
                <w:b/>
                <w:bCs/>
                <w:sz w:val="16"/>
                <w:szCs w:val="16"/>
              </w:rPr>
            </w:pPr>
            <w:r w:rsidRPr="00B06790">
              <w:rPr>
                <w:rFonts w:ascii="Arial" w:hAnsi="Arial" w:cs="Arial"/>
                <w:b/>
                <w:bCs/>
                <w:sz w:val="16"/>
                <w:szCs w:val="16"/>
              </w:rPr>
              <w:t>515</w:t>
            </w:r>
          </w:p>
        </w:tc>
        <w:tc>
          <w:tcPr>
            <w:tcW w:w="1252" w:type="dxa"/>
            <w:tcBorders>
              <w:top w:val="single" w:sz="4" w:space="0" w:color="auto"/>
              <w:left w:val="nil"/>
              <w:bottom w:val="single" w:sz="8" w:space="0" w:color="auto"/>
            </w:tcBorders>
            <w:shd w:val="clear" w:color="auto" w:fill="auto"/>
            <w:vAlign w:val="bottom"/>
            <w:hideMark/>
          </w:tcPr>
          <w:p w14:paraId="2224B194" w14:textId="77777777" w:rsidR="00A91410" w:rsidRPr="00B06790" w:rsidRDefault="00A91410" w:rsidP="00B06790">
            <w:pPr>
              <w:spacing w:after="0" w:line="240" w:lineRule="auto"/>
              <w:jc w:val="right"/>
              <w:rPr>
                <w:rFonts w:ascii="Arial" w:hAnsi="Arial" w:cs="Arial"/>
                <w:b/>
                <w:bCs/>
                <w:sz w:val="16"/>
                <w:szCs w:val="16"/>
              </w:rPr>
            </w:pPr>
            <w:r w:rsidRPr="00B06790">
              <w:rPr>
                <w:rFonts w:ascii="Arial" w:hAnsi="Arial" w:cs="Arial"/>
                <w:b/>
                <w:bCs/>
                <w:sz w:val="16"/>
                <w:szCs w:val="16"/>
              </w:rPr>
              <w:t>3,555,320</w:t>
            </w:r>
          </w:p>
        </w:tc>
        <w:tc>
          <w:tcPr>
            <w:tcW w:w="647" w:type="dxa"/>
            <w:tcBorders>
              <w:top w:val="single" w:sz="4" w:space="0" w:color="auto"/>
              <w:bottom w:val="single" w:sz="8" w:space="0" w:color="auto"/>
              <w:right w:val="nil"/>
            </w:tcBorders>
            <w:shd w:val="clear" w:color="auto" w:fill="auto"/>
            <w:vAlign w:val="bottom"/>
            <w:hideMark/>
          </w:tcPr>
          <w:p w14:paraId="74BD4910" w14:textId="77777777" w:rsidR="00A91410" w:rsidRPr="00B06790" w:rsidRDefault="00A91410" w:rsidP="00B06790">
            <w:pPr>
              <w:spacing w:after="0" w:line="240" w:lineRule="auto"/>
              <w:jc w:val="right"/>
              <w:rPr>
                <w:rFonts w:ascii="Arial" w:hAnsi="Arial" w:cs="Arial"/>
                <w:b/>
                <w:bCs/>
                <w:sz w:val="16"/>
                <w:szCs w:val="16"/>
              </w:rPr>
            </w:pPr>
            <w:r w:rsidRPr="00B06790">
              <w:rPr>
                <w:rFonts w:ascii="Arial" w:hAnsi="Arial" w:cs="Arial"/>
                <w:b/>
                <w:bCs/>
                <w:sz w:val="16"/>
                <w:szCs w:val="16"/>
              </w:rPr>
              <w:t>176</w:t>
            </w:r>
          </w:p>
        </w:tc>
        <w:tc>
          <w:tcPr>
            <w:tcW w:w="1146" w:type="dxa"/>
            <w:tcBorders>
              <w:top w:val="single" w:sz="4" w:space="0" w:color="auto"/>
              <w:left w:val="nil"/>
              <w:bottom w:val="single" w:sz="8" w:space="0" w:color="auto"/>
            </w:tcBorders>
            <w:shd w:val="clear" w:color="auto" w:fill="auto"/>
            <w:vAlign w:val="bottom"/>
            <w:hideMark/>
          </w:tcPr>
          <w:p w14:paraId="1CA8E3E6" w14:textId="77777777" w:rsidR="00A91410" w:rsidRPr="00B06790" w:rsidRDefault="00A91410" w:rsidP="00B06790">
            <w:pPr>
              <w:spacing w:after="0" w:line="240" w:lineRule="auto"/>
              <w:jc w:val="right"/>
              <w:rPr>
                <w:rFonts w:ascii="Arial" w:hAnsi="Arial" w:cs="Arial"/>
                <w:b/>
                <w:bCs/>
                <w:sz w:val="16"/>
                <w:szCs w:val="16"/>
              </w:rPr>
            </w:pPr>
            <w:r w:rsidRPr="00B06790">
              <w:rPr>
                <w:rFonts w:ascii="Arial" w:hAnsi="Arial" w:cs="Arial"/>
                <w:b/>
                <w:bCs/>
                <w:sz w:val="16"/>
                <w:szCs w:val="16"/>
              </w:rPr>
              <w:t>1,303,960</w:t>
            </w:r>
          </w:p>
        </w:tc>
        <w:tc>
          <w:tcPr>
            <w:tcW w:w="884" w:type="dxa"/>
            <w:tcBorders>
              <w:top w:val="single" w:sz="4" w:space="0" w:color="auto"/>
              <w:bottom w:val="single" w:sz="8" w:space="0" w:color="auto"/>
              <w:right w:val="nil"/>
            </w:tcBorders>
            <w:shd w:val="clear" w:color="auto" w:fill="E1E8EB"/>
            <w:noWrap/>
            <w:vAlign w:val="bottom"/>
            <w:hideMark/>
          </w:tcPr>
          <w:p w14:paraId="163BB66A" w14:textId="77777777" w:rsidR="00A91410" w:rsidRPr="00B06790" w:rsidRDefault="00A91410" w:rsidP="00B06790">
            <w:pPr>
              <w:spacing w:after="0" w:line="240" w:lineRule="auto"/>
              <w:jc w:val="right"/>
              <w:rPr>
                <w:rFonts w:ascii="Arial" w:hAnsi="Arial" w:cs="Arial"/>
                <w:b/>
                <w:bCs/>
                <w:sz w:val="16"/>
                <w:szCs w:val="16"/>
              </w:rPr>
            </w:pPr>
            <w:r w:rsidRPr="00B06790">
              <w:rPr>
                <w:rFonts w:ascii="Arial" w:hAnsi="Arial" w:cs="Arial"/>
                <w:b/>
                <w:bCs/>
                <w:sz w:val="16"/>
                <w:szCs w:val="16"/>
              </w:rPr>
              <w:t>57</w:t>
            </w:r>
          </w:p>
        </w:tc>
        <w:tc>
          <w:tcPr>
            <w:tcW w:w="928" w:type="dxa"/>
            <w:tcBorders>
              <w:top w:val="single" w:sz="4" w:space="0" w:color="auto"/>
              <w:left w:val="nil"/>
              <w:bottom w:val="single" w:sz="8" w:space="0" w:color="auto"/>
            </w:tcBorders>
            <w:shd w:val="clear" w:color="auto" w:fill="E1E8EB"/>
            <w:noWrap/>
            <w:vAlign w:val="bottom"/>
            <w:hideMark/>
          </w:tcPr>
          <w:p w14:paraId="0BD1BB68" w14:textId="77777777" w:rsidR="00A91410" w:rsidRPr="00B06790" w:rsidRDefault="00A91410" w:rsidP="00B06790">
            <w:pPr>
              <w:spacing w:after="0" w:line="240" w:lineRule="auto"/>
              <w:jc w:val="right"/>
              <w:rPr>
                <w:rFonts w:ascii="Arial" w:hAnsi="Arial" w:cs="Arial"/>
                <w:b/>
                <w:bCs/>
                <w:sz w:val="16"/>
                <w:szCs w:val="16"/>
              </w:rPr>
            </w:pPr>
            <w:r w:rsidRPr="00B06790">
              <w:rPr>
                <w:rFonts w:ascii="Arial" w:hAnsi="Arial" w:cs="Arial"/>
                <w:b/>
                <w:bCs/>
                <w:sz w:val="16"/>
                <w:szCs w:val="16"/>
              </w:rPr>
              <w:t>1,592,376</w:t>
            </w:r>
          </w:p>
        </w:tc>
      </w:tr>
    </w:tbl>
    <w:p w14:paraId="553DBAC9" w14:textId="2F973B69" w:rsidR="00A91410" w:rsidRPr="00A91410" w:rsidRDefault="00A91410" w:rsidP="00A91410">
      <w:pPr>
        <w:spacing w:after="0" w:line="240" w:lineRule="auto"/>
        <w:rPr>
          <w:rFonts w:cstheme="minorHAnsi"/>
          <w:sz w:val="16"/>
        </w:rPr>
      </w:pPr>
      <w:r w:rsidRPr="00A91410">
        <w:rPr>
          <w:rFonts w:cstheme="minorHAnsi"/>
          <w:sz w:val="16"/>
        </w:rPr>
        <w:t>Tier 1 infringement notices are issued where the breach is self</w:t>
      </w:r>
      <w:r w:rsidR="003E7C79">
        <w:rPr>
          <w:rFonts w:cstheme="minorHAnsi"/>
          <w:sz w:val="16"/>
        </w:rPr>
        <w:t>–</w:t>
      </w:r>
      <w:r w:rsidRPr="00A91410">
        <w:rPr>
          <w:rFonts w:cstheme="minorHAnsi"/>
          <w:sz w:val="16"/>
        </w:rPr>
        <w:t>reported.</w:t>
      </w:r>
    </w:p>
    <w:p w14:paraId="193D1A75" w14:textId="7A3B56AC" w:rsidR="00A91410" w:rsidRPr="00A91410" w:rsidRDefault="00A91410" w:rsidP="00A91410">
      <w:pPr>
        <w:spacing w:after="0" w:line="240" w:lineRule="auto"/>
        <w:rPr>
          <w:rFonts w:cstheme="minorHAnsi"/>
          <w:sz w:val="16"/>
        </w:rPr>
      </w:pPr>
      <w:r w:rsidRPr="00A91410">
        <w:rPr>
          <w:rFonts w:cstheme="minorHAnsi"/>
          <w:sz w:val="16"/>
        </w:rPr>
        <w:t>Tier 2 infringement notices are issued where the breach is identified by the ATO</w:t>
      </w:r>
      <w:r w:rsidR="00065800">
        <w:rPr>
          <w:rFonts w:cstheme="minorHAnsi"/>
          <w:sz w:val="16"/>
        </w:rPr>
        <w:t>’</w:t>
      </w:r>
      <w:r w:rsidRPr="00A91410">
        <w:rPr>
          <w:rFonts w:cstheme="minorHAnsi"/>
          <w:sz w:val="16"/>
        </w:rPr>
        <w:t>s compliance activity.</w:t>
      </w:r>
    </w:p>
    <w:p w14:paraId="2934E9CA" w14:textId="77777777" w:rsidR="00A91410" w:rsidRDefault="00A91410" w:rsidP="004D0AF0">
      <w:pPr>
        <w:pStyle w:val="SingleParagraph"/>
      </w:pPr>
    </w:p>
    <w:p w14:paraId="6AE4B2B6" w14:textId="76534DC6" w:rsidR="00294D3B" w:rsidRPr="009D66F5" w:rsidRDefault="00294D3B" w:rsidP="00294D3B">
      <w:r w:rsidRPr="009D66F5">
        <w:t xml:space="preserve">The decline in infringement notices issued in </w:t>
      </w:r>
      <w:r w:rsidR="00D76ED2">
        <w:t>2019</w:t>
      </w:r>
      <w:r w:rsidR="00D76ED2">
        <w:noBreakHyphen/>
        <w:t>20</w:t>
      </w:r>
      <w:r w:rsidRPr="009D66F5">
        <w:t xml:space="preserve"> and </w:t>
      </w:r>
      <w:r w:rsidR="00D76ED2">
        <w:t>2020</w:t>
      </w:r>
      <w:r w:rsidR="00D76ED2">
        <w:noBreakHyphen/>
        <w:t>21</w:t>
      </w:r>
      <w:r w:rsidRPr="009D66F5">
        <w:t xml:space="preserve"> reflect both the impact of the pause on compliance cases during the peak of </w:t>
      </w:r>
      <w:r w:rsidR="00776645">
        <w:t>COVID-19</w:t>
      </w:r>
      <w:r w:rsidRPr="009D66F5">
        <w:t xml:space="preserve"> and a shift to using more educative tools to generate compliance. In addition, the figures reflect a specific one</w:t>
      </w:r>
      <w:r w:rsidR="003E7C79">
        <w:t>–</w:t>
      </w:r>
      <w:r w:rsidRPr="009D66F5">
        <w:t>off shift away from penalising both joint tenant parties in one transaction.</w:t>
      </w:r>
    </w:p>
    <w:p w14:paraId="62A8E24E" w14:textId="77777777" w:rsidR="00294D3B" w:rsidRPr="00A91410" w:rsidRDefault="00294D3B" w:rsidP="00B12D67">
      <w:pPr>
        <w:pStyle w:val="Heading4"/>
      </w:pPr>
      <w:r w:rsidRPr="00A91410">
        <w:t>Education and preventative work</w:t>
      </w:r>
    </w:p>
    <w:p w14:paraId="03FEC3A6" w14:textId="026A4727" w:rsidR="00294D3B" w:rsidRPr="00A91410" w:rsidRDefault="00294D3B" w:rsidP="00294D3B">
      <w:pPr>
        <w:rPr>
          <w:color w:val="auto"/>
        </w:rPr>
      </w:pPr>
      <w:r w:rsidRPr="00A91410">
        <w:rPr>
          <w:color w:val="auto"/>
        </w:rPr>
        <w:t>The ATO</w:t>
      </w:r>
      <w:r w:rsidR="00065800">
        <w:rPr>
          <w:color w:val="auto"/>
        </w:rPr>
        <w:t>’</w:t>
      </w:r>
      <w:r w:rsidRPr="00A91410">
        <w:rPr>
          <w:color w:val="auto"/>
        </w:rPr>
        <w:t xml:space="preserve">s risk assessments and treatment frameworks acknowledge that education may be the most appropriate compliance tool and may also foster future compliance with foreign investment and broader government obligations. During </w:t>
      </w:r>
      <w:r w:rsidR="00D76ED2">
        <w:rPr>
          <w:color w:val="auto"/>
        </w:rPr>
        <w:t>2020</w:t>
      </w:r>
      <w:r w:rsidR="00D76ED2">
        <w:rPr>
          <w:color w:val="auto"/>
        </w:rPr>
        <w:noBreakHyphen/>
        <w:t>21</w:t>
      </w:r>
      <w:r w:rsidRPr="00A91410">
        <w:rPr>
          <w:color w:val="auto"/>
        </w:rPr>
        <w:t>, resourcing was also invested into developing and refining the ATO</w:t>
      </w:r>
      <w:r w:rsidR="00065800">
        <w:rPr>
          <w:color w:val="auto"/>
        </w:rPr>
        <w:t>’</w:t>
      </w:r>
      <w:r w:rsidRPr="00A91410">
        <w:rPr>
          <w:color w:val="auto"/>
        </w:rPr>
        <w:t xml:space="preserve">s use of automated and proactive campaign style products to communicate with investors. A number of targeted compliance prompter campaigns achieved successful outcomes during the period, including the </w:t>
      </w:r>
      <w:r w:rsidRPr="00A91410">
        <w:rPr>
          <w:i/>
          <w:iCs/>
          <w:color w:val="auto"/>
        </w:rPr>
        <w:t>residential vacant land conditions prompter campaign</w:t>
      </w:r>
      <w:r w:rsidR="009D66F5" w:rsidRPr="00A91410">
        <w:rPr>
          <w:color w:val="auto"/>
        </w:rPr>
        <w:t>.</w:t>
      </w:r>
      <w:r w:rsidRPr="00A91410">
        <w:rPr>
          <w:color w:val="auto"/>
        </w:rPr>
        <w:t xml:space="preserve"> </w:t>
      </w:r>
    </w:p>
    <w:p w14:paraId="5FA46DB3" w14:textId="77777777" w:rsidR="00294D3B" w:rsidRPr="00A91410" w:rsidRDefault="00294D3B" w:rsidP="00B12D67">
      <w:pPr>
        <w:pStyle w:val="Heading4"/>
      </w:pPr>
      <w:r w:rsidRPr="00A91410">
        <w:t xml:space="preserve">Residential vacant land conditions prompter campaign </w:t>
      </w:r>
    </w:p>
    <w:p w14:paraId="42116749" w14:textId="086CAA78" w:rsidR="00294D3B" w:rsidRPr="000D0133" w:rsidRDefault="00294D3B" w:rsidP="000D0133">
      <w:pPr>
        <w:rPr>
          <w:color w:val="auto"/>
        </w:rPr>
      </w:pPr>
      <w:r w:rsidRPr="000D0133">
        <w:rPr>
          <w:color w:val="auto"/>
        </w:rPr>
        <w:t xml:space="preserve">The ATO has developed a </w:t>
      </w:r>
      <w:r w:rsidRPr="000D0133">
        <w:rPr>
          <w:i/>
          <w:iCs/>
          <w:color w:val="auto"/>
        </w:rPr>
        <w:t>residential vacant land conditions prompter campaign</w:t>
      </w:r>
      <w:r w:rsidRPr="000D0133">
        <w:rPr>
          <w:color w:val="auto"/>
        </w:rPr>
        <w:t xml:space="preserve"> to remind investors of their foreign investment obligations and encourage investors to seek a variation to their foreign investment approval if they will not be able to comply with development conditions nearing expiry. The communication outlines the penalties for non</w:t>
      </w:r>
      <w:r w:rsidR="003E7C79">
        <w:rPr>
          <w:color w:val="auto"/>
        </w:rPr>
        <w:t>–</w:t>
      </w:r>
      <w:r w:rsidRPr="000D0133">
        <w:rPr>
          <w:color w:val="auto"/>
        </w:rPr>
        <w:t xml:space="preserve">compliance with conditions and includes instructions assisting clients on how to seek a variation. The campaign is now conducted at regular intervals throughout each year and captures all foreign investors who acquired vacant land who have not yet complied with development conditions. </w:t>
      </w:r>
    </w:p>
    <w:p w14:paraId="30B42DA4" w14:textId="0649B29A" w:rsidR="00294D3B" w:rsidRPr="000D0133" w:rsidRDefault="00294D3B" w:rsidP="000D0133">
      <w:pPr>
        <w:rPr>
          <w:color w:val="auto"/>
        </w:rPr>
      </w:pPr>
      <w:r w:rsidRPr="000D0133">
        <w:rPr>
          <w:color w:val="auto"/>
        </w:rPr>
        <w:t>Analysis of campaign results for those investors who received foreign investment approval between 1</w:t>
      </w:r>
      <w:r w:rsidR="00CA3337">
        <w:rPr>
          <w:color w:val="auto"/>
        </w:rPr>
        <w:t> </w:t>
      </w:r>
      <w:r w:rsidRPr="000D0133">
        <w:rPr>
          <w:color w:val="auto"/>
        </w:rPr>
        <w:t>December</w:t>
      </w:r>
      <w:r w:rsidR="00CA3337">
        <w:rPr>
          <w:color w:val="auto"/>
        </w:rPr>
        <w:t> </w:t>
      </w:r>
      <w:r w:rsidRPr="000D0133">
        <w:rPr>
          <w:color w:val="auto"/>
        </w:rPr>
        <w:t>2015 and</w:t>
      </w:r>
      <w:r w:rsidR="00CA3337">
        <w:rPr>
          <w:color w:val="auto"/>
        </w:rPr>
        <w:t> </w:t>
      </w:r>
      <w:r w:rsidRPr="000D0133">
        <w:rPr>
          <w:color w:val="auto"/>
        </w:rPr>
        <w:t>30</w:t>
      </w:r>
      <w:r w:rsidR="00CA3337">
        <w:rPr>
          <w:color w:val="auto"/>
        </w:rPr>
        <w:t> </w:t>
      </w:r>
      <w:r w:rsidRPr="000D0133">
        <w:rPr>
          <w:color w:val="auto"/>
        </w:rPr>
        <w:t>June</w:t>
      </w:r>
      <w:r w:rsidR="00CA3337">
        <w:rPr>
          <w:color w:val="auto"/>
        </w:rPr>
        <w:t> </w:t>
      </w:r>
      <w:r w:rsidRPr="000D0133">
        <w:rPr>
          <w:color w:val="auto"/>
        </w:rPr>
        <w:t>2017 indicates a pleasing majority of recipients (94</w:t>
      </w:r>
      <w:r w:rsidR="004D0AF0">
        <w:rPr>
          <w:color w:val="auto"/>
        </w:rPr>
        <w:t> </w:t>
      </w:r>
      <w:r w:rsidR="005E1EA7">
        <w:rPr>
          <w:color w:val="auto"/>
        </w:rPr>
        <w:t>per</w:t>
      </w:r>
      <w:r w:rsidR="004D0AF0">
        <w:rPr>
          <w:color w:val="auto"/>
        </w:rPr>
        <w:t> </w:t>
      </w:r>
      <w:r w:rsidR="005E1EA7">
        <w:rPr>
          <w:color w:val="auto"/>
        </w:rPr>
        <w:t>cent</w:t>
      </w:r>
      <w:r w:rsidRPr="000D0133">
        <w:rPr>
          <w:color w:val="auto"/>
        </w:rPr>
        <w:t>) were compliant with development conditions, having completed construction within the required four</w:t>
      </w:r>
      <w:r w:rsidR="003E7C79">
        <w:rPr>
          <w:color w:val="auto"/>
        </w:rPr>
        <w:t>–</w:t>
      </w:r>
      <w:r w:rsidRPr="000D0133">
        <w:rPr>
          <w:color w:val="auto"/>
        </w:rPr>
        <w:t>year time period. This offers assurance that the time period provided by conditions is adequate in length, with 2,382 investors building at least one new dwelling on vacant land to increase Australia</w:t>
      </w:r>
      <w:r w:rsidR="00065800">
        <w:rPr>
          <w:color w:val="auto"/>
        </w:rPr>
        <w:t>’</w:t>
      </w:r>
      <w:r w:rsidRPr="000D0133">
        <w:rPr>
          <w:color w:val="auto"/>
        </w:rPr>
        <w:t xml:space="preserve">s housing stock. Further to this of those who had not yet completed construction, 56 </w:t>
      </w:r>
      <w:r w:rsidR="002D441C">
        <w:rPr>
          <w:color w:val="auto"/>
        </w:rPr>
        <w:t>(2</w:t>
      </w:r>
      <w:r w:rsidR="00CA3337">
        <w:rPr>
          <w:color w:val="auto"/>
        </w:rPr>
        <w:t> </w:t>
      </w:r>
      <w:r w:rsidR="002D441C">
        <w:rPr>
          <w:color w:val="auto"/>
        </w:rPr>
        <w:t>per</w:t>
      </w:r>
      <w:r w:rsidR="00CA3337">
        <w:rPr>
          <w:color w:val="auto"/>
        </w:rPr>
        <w:t> </w:t>
      </w:r>
      <w:r w:rsidR="002D441C">
        <w:rPr>
          <w:color w:val="auto"/>
        </w:rPr>
        <w:t xml:space="preserve">cent) </w:t>
      </w:r>
      <w:r w:rsidRPr="000D0133">
        <w:rPr>
          <w:color w:val="auto"/>
        </w:rPr>
        <w:t>responded to the ATO</w:t>
      </w:r>
      <w:r w:rsidR="00065800">
        <w:rPr>
          <w:color w:val="auto"/>
        </w:rPr>
        <w:t>’</w:t>
      </w:r>
      <w:r w:rsidRPr="000D0133">
        <w:rPr>
          <w:color w:val="auto"/>
        </w:rPr>
        <w:t xml:space="preserve">s prompt to action email and voluntarily applied for a variation to extend their construction period. A common reason for needing more time was that the land had not yet been registered with the relevant state/territory land titles office, preventing construction from commencing. This population will </w:t>
      </w:r>
      <w:r w:rsidRPr="000D0133">
        <w:rPr>
          <w:color w:val="auto"/>
        </w:rPr>
        <w:lastRenderedPageBreak/>
        <w:t>be monitored to ensure new dwellings are completed. The remaining portion (4</w:t>
      </w:r>
      <w:r w:rsidR="00CA3337">
        <w:rPr>
          <w:color w:val="auto"/>
        </w:rPr>
        <w:t> </w:t>
      </w:r>
      <w:r w:rsidR="002D441C">
        <w:rPr>
          <w:color w:val="auto"/>
        </w:rPr>
        <w:t>per</w:t>
      </w:r>
      <w:r w:rsidR="00CA3337">
        <w:rPr>
          <w:color w:val="auto"/>
        </w:rPr>
        <w:t> </w:t>
      </w:r>
      <w:r w:rsidR="002D441C">
        <w:rPr>
          <w:color w:val="auto"/>
        </w:rPr>
        <w:t>cent</w:t>
      </w:r>
      <w:r w:rsidRPr="000D0133">
        <w:rPr>
          <w:color w:val="auto"/>
        </w:rPr>
        <w:t>) will be subjected to compliance action by the ATO, including penalties for non</w:t>
      </w:r>
      <w:r w:rsidR="003E7C79">
        <w:rPr>
          <w:color w:val="auto"/>
        </w:rPr>
        <w:t>–</w:t>
      </w:r>
      <w:r w:rsidRPr="000D0133">
        <w:rPr>
          <w:color w:val="auto"/>
        </w:rPr>
        <w:t xml:space="preserve">compliance. </w:t>
      </w:r>
    </w:p>
    <w:p w14:paraId="5C06C35E" w14:textId="69E4D280" w:rsidR="00294D3B" w:rsidRPr="009C3C44" w:rsidRDefault="00294D3B" w:rsidP="00ED7089">
      <w:pPr>
        <w:rPr>
          <w:rFonts w:ascii="Tahoma" w:hAnsi="Tahoma" w:cs="Tahoma"/>
        </w:rPr>
      </w:pPr>
      <w:r w:rsidRPr="000D0133">
        <w:rPr>
          <w:color w:val="auto"/>
        </w:rPr>
        <w:t>Dealing with this population efficiently in this proactive campaign style has significantly reduced the resources that would otherwise have been required to handle compliance cases, with the campaign issuing over 2</w:t>
      </w:r>
      <w:r w:rsidR="002D441C">
        <w:rPr>
          <w:color w:val="auto"/>
        </w:rPr>
        <w:t>,</w:t>
      </w:r>
      <w:r w:rsidRPr="000D0133">
        <w:rPr>
          <w:color w:val="auto"/>
        </w:rPr>
        <w:t>500 emails negating the need for compliance investigations in all but 109 instances. This is one way the ATO is taking a preventative approach to enable resources to be directed to more serious investigations.</w:t>
      </w:r>
    </w:p>
    <w:p w14:paraId="0A81E184" w14:textId="77777777" w:rsidR="00294D3B" w:rsidRPr="003A0911" w:rsidRDefault="00294D3B" w:rsidP="00B12D67">
      <w:pPr>
        <w:pStyle w:val="Heading4"/>
      </w:pPr>
      <w:r w:rsidRPr="003A0911">
        <w:t>Breaches by location</w:t>
      </w:r>
    </w:p>
    <w:p w14:paraId="33B53BCD" w14:textId="04138422" w:rsidR="00294D3B" w:rsidRPr="003A0911" w:rsidRDefault="00294D3B" w:rsidP="00294D3B">
      <w:pPr>
        <w:rPr>
          <w:color w:val="auto"/>
        </w:rPr>
      </w:pPr>
      <w:r w:rsidRPr="003A0911">
        <w:rPr>
          <w:color w:val="auto"/>
        </w:rPr>
        <w:t xml:space="preserve">Chart 4.1 shows the geographic distribution of properties that were found to be in breach of the foreign investment rules in </w:t>
      </w:r>
      <w:r w:rsidR="00D76ED2">
        <w:rPr>
          <w:color w:val="auto"/>
        </w:rPr>
        <w:t>2020</w:t>
      </w:r>
      <w:r w:rsidR="00D76ED2">
        <w:rPr>
          <w:color w:val="auto"/>
        </w:rPr>
        <w:noBreakHyphen/>
        <w:t>21</w:t>
      </w:r>
      <w:r w:rsidRPr="003A0911">
        <w:rPr>
          <w:color w:val="auto"/>
        </w:rPr>
        <w:t>.</w:t>
      </w:r>
    </w:p>
    <w:p w14:paraId="2FE19B72" w14:textId="506751B6" w:rsidR="00ED7089" w:rsidRPr="009812FE" w:rsidRDefault="00294D3B" w:rsidP="009812FE">
      <w:pPr>
        <w:rPr>
          <w:color w:val="auto"/>
        </w:rPr>
      </w:pPr>
      <w:r w:rsidRPr="003A0911">
        <w:rPr>
          <w:color w:val="auto"/>
        </w:rPr>
        <w:t xml:space="preserve">The proportion of breaches in New South Wales increased from 24.7 per cent in </w:t>
      </w:r>
      <w:r w:rsidR="00D76ED2">
        <w:rPr>
          <w:color w:val="auto"/>
        </w:rPr>
        <w:t>2019</w:t>
      </w:r>
      <w:r w:rsidR="00D76ED2">
        <w:rPr>
          <w:color w:val="auto"/>
        </w:rPr>
        <w:noBreakHyphen/>
        <w:t>20</w:t>
      </w:r>
      <w:r w:rsidRPr="003A0911">
        <w:rPr>
          <w:color w:val="auto"/>
        </w:rPr>
        <w:t xml:space="preserve"> to 26.5</w:t>
      </w:r>
      <w:r w:rsidR="00A04F77">
        <w:rPr>
          <w:color w:val="auto"/>
        </w:rPr>
        <w:t> </w:t>
      </w:r>
      <w:r w:rsidRPr="003A0911">
        <w:rPr>
          <w:color w:val="auto"/>
        </w:rPr>
        <w:t xml:space="preserve">per cent in </w:t>
      </w:r>
      <w:r w:rsidR="00D76ED2">
        <w:rPr>
          <w:color w:val="auto"/>
        </w:rPr>
        <w:t>2020</w:t>
      </w:r>
      <w:r w:rsidR="00D76ED2">
        <w:rPr>
          <w:color w:val="auto"/>
        </w:rPr>
        <w:noBreakHyphen/>
        <w:t>21</w:t>
      </w:r>
      <w:r w:rsidRPr="003A0911">
        <w:rPr>
          <w:color w:val="auto"/>
        </w:rPr>
        <w:t>. The proportion of breaches recorded in Victoria decreased.</w:t>
      </w:r>
    </w:p>
    <w:p w14:paraId="57A8C79A" w14:textId="131829F3" w:rsidR="00D664C5" w:rsidRPr="004D0AF0" w:rsidRDefault="009812FE" w:rsidP="004D0AF0">
      <w:pPr>
        <w:pStyle w:val="ChartMainHeading"/>
      </w:pPr>
      <w:bookmarkStart w:id="225" w:name="_Toc100146845"/>
      <w:r w:rsidRPr="004D0AF0">
        <w:t xml:space="preserve">Chart </w:t>
      </w:r>
      <w:fldSimple w:instr=" STYLEREF 1 \s ">
        <w:r w:rsidR="0019342F">
          <w:rPr>
            <w:noProof/>
          </w:rPr>
          <w:t>4</w:t>
        </w:r>
      </w:fldSimple>
      <w:r w:rsidR="00C02F7D" w:rsidRPr="004D0AF0">
        <w:t>.</w:t>
      </w:r>
      <w:fldSimple w:instr=" SEQ Chart \* ARABIC \s 1 ">
        <w:r w:rsidR="0019342F">
          <w:rPr>
            <w:noProof/>
          </w:rPr>
          <w:t>1</w:t>
        </w:r>
      </w:fldSimple>
      <w:r w:rsidRPr="004D0AF0">
        <w:t xml:space="preserve">: Breaches by location in </w:t>
      </w:r>
      <w:r w:rsidR="00D76ED2" w:rsidRPr="004D0AF0">
        <w:t>2020</w:t>
      </w:r>
      <w:r w:rsidR="00D76ED2" w:rsidRPr="004D0AF0">
        <w:noBreakHyphen/>
        <w:t>21</w:t>
      </w:r>
      <w:bookmarkEnd w:id="225"/>
    </w:p>
    <w:p w14:paraId="7D154285" w14:textId="61BD804E" w:rsidR="00ED7089" w:rsidRPr="00AC6677" w:rsidRDefault="00ED7089" w:rsidP="00ED7089">
      <w:pPr>
        <w:pStyle w:val="ChartGraphic"/>
      </w:pPr>
      <w:r>
        <w:rPr>
          <w:noProof/>
        </w:rPr>
        <w:drawing>
          <wp:inline distT="0" distB="0" distL="0" distR="0" wp14:anchorId="3DF00C0C" wp14:editId="7CD5E4FD">
            <wp:extent cx="3522428" cy="2426900"/>
            <wp:effectExtent l="0" t="0" r="1905" b="0"/>
            <wp:docPr id="10" name="Picture 10" descr="This chart shows the percentage of breaches by state and territory. The highest percentage of breaches were from Victoria (37.35 per cent) followed by New South Wales (26.51 per cent) and Queensland (20.48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chart shows the percentage of breaches by state and territory. The highest percentage of breaches were from Victoria (37.35 per cent) followed by New South Wales (26.51 per cent) and Queensland (20.48 per cent). "/>
                    <pic:cNvPicPr/>
                  </pic:nvPicPr>
                  <pic:blipFill>
                    <a:blip r:embed="rId66"/>
                    <a:stretch>
                      <a:fillRect/>
                    </a:stretch>
                  </pic:blipFill>
                  <pic:spPr>
                    <a:xfrm>
                      <a:off x="0" y="0"/>
                      <a:ext cx="3536905" cy="2436874"/>
                    </a:xfrm>
                    <a:prstGeom prst="rect">
                      <a:avLst/>
                    </a:prstGeom>
                  </pic:spPr>
                </pic:pic>
              </a:graphicData>
            </a:graphic>
          </wp:inline>
        </w:drawing>
      </w:r>
    </w:p>
    <w:p w14:paraId="33A5EDEA" w14:textId="77777777" w:rsidR="00ED7089" w:rsidRDefault="00ED7089" w:rsidP="00ED7089">
      <w:pPr>
        <w:pStyle w:val="ChartandTableFootnoteAlpha"/>
        <w:numPr>
          <w:ilvl w:val="0"/>
          <w:numId w:val="0"/>
        </w:numPr>
      </w:pPr>
      <w:r w:rsidRPr="00BF48CD">
        <w:t>Before republishi</w:t>
      </w:r>
      <w:r w:rsidRPr="009F1AF7">
        <w:t>ng this data or comparing between years, thoroughly review the methodological and data caveats in Appendix B</w:t>
      </w:r>
      <w:r w:rsidRPr="00BF48CD">
        <w:t xml:space="preserve"> </w:t>
      </w:r>
    </w:p>
    <w:p w14:paraId="7612F4EC" w14:textId="77777777" w:rsidR="004D0AF0" w:rsidRDefault="004D0AF0">
      <w:pPr>
        <w:spacing w:after="0" w:line="240" w:lineRule="auto"/>
        <w:jc w:val="left"/>
        <w:rPr>
          <w:color w:val="auto"/>
          <w:sz w:val="18"/>
          <w:szCs w:val="18"/>
        </w:rPr>
        <w:sectPr w:rsidR="004D0AF0" w:rsidSect="00CB7A07">
          <w:headerReference w:type="first" r:id="rId67"/>
          <w:footerReference w:type="first" r:id="rId68"/>
          <w:type w:val="oddPage"/>
          <w:pgSz w:w="11906" w:h="16838" w:code="9"/>
          <w:pgMar w:top="2466" w:right="2098" w:bottom="2466" w:left="2098" w:header="1899" w:footer="1899" w:gutter="0"/>
          <w:cols w:space="708"/>
          <w:titlePg/>
          <w:docGrid w:linePitch="360"/>
        </w:sectPr>
      </w:pPr>
    </w:p>
    <w:p w14:paraId="3DC111E5" w14:textId="5A24211F" w:rsidR="009D7247" w:rsidRPr="004D0AF0" w:rsidRDefault="004D0AF0" w:rsidP="004D0AF0">
      <w:pPr>
        <w:pStyle w:val="Heading1"/>
        <w:numPr>
          <w:ilvl w:val="0"/>
          <w:numId w:val="0"/>
        </w:numPr>
      </w:pPr>
      <w:bookmarkStart w:id="226" w:name="_Toc89872897"/>
      <w:bookmarkStart w:id="227" w:name="_Toc89872944"/>
      <w:bookmarkStart w:id="228" w:name="_Hlk80370682"/>
      <w:r w:rsidRPr="004D0AF0">
        <w:lastRenderedPageBreak/>
        <w:t xml:space="preserve">Appendix </w:t>
      </w:r>
      <w:r>
        <w:t>A</w:t>
      </w:r>
      <w:r w:rsidR="003A0911" w:rsidRPr="004D0AF0">
        <w:t xml:space="preserve">: </w:t>
      </w:r>
      <w:r>
        <w:t>B</w:t>
      </w:r>
      <w:r w:rsidRPr="004D0AF0">
        <w:t xml:space="preserve">oard meetings during </w:t>
      </w:r>
      <w:r w:rsidR="00D76ED2" w:rsidRPr="004D0AF0">
        <w:t>2020</w:t>
      </w:r>
      <w:r w:rsidR="00D76ED2" w:rsidRPr="004D0AF0">
        <w:noBreakHyphen/>
        <w:t>21</w:t>
      </w:r>
      <w:bookmarkEnd w:id="226"/>
      <w:bookmarkEnd w:id="227"/>
    </w:p>
    <w:p w14:paraId="39AA8740" w14:textId="57B3E8C4" w:rsidR="0051536C" w:rsidRPr="00A84283" w:rsidRDefault="0051536C" w:rsidP="0051536C">
      <w:pPr>
        <w:pStyle w:val="TableMainHeading"/>
      </w:pPr>
      <w:bookmarkStart w:id="229" w:name="_Toc73984754"/>
      <w:r w:rsidRPr="00A84283">
        <w:t xml:space="preserve">Table A.1: </w:t>
      </w:r>
      <w:r>
        <w:t>Board</w:t>
      </w:r>
      <w:r w:rsidRPr="00A84283">
        <w:t xml:space="preserve"> meeting attendance during </w:t>
      </w:r>
      <w:bookmarkEnd w:id="229"/>
      <w:r w:rsidR="00D76ED2">
        <w:t>2020</w:t>
      </w:r>
      <w:r w:rsidR="00D76ED2">
        <w:noBreakHyphen/>
        <w:t>21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A.1: Board meeting attendance during 2018–19"/>
        <w:tblDescription w:val="A table that show the total number of meetings each member of the Baord attended during 2018-19 and the number the number they were eligible ot attend. Alice Williams attended 7 out the 9 meetings she was eligible toi attend, Cheryl Edwards and David Peever attended 8 out of 9 meetings, with all other members attending all the meeting they were eligible to attend."/>
      </w:tblPr>
      <w:tblGrid>
        <w:gridCol w:w="3434"/>
        <w:gridCol w:w="2139"/>
        <w:gridCol w:w="2137"/>
      </w:tblGrid>
      <w:tr w:rsidR="0051536C" w:rsidRPr="0037739F" w14:paraId="71EE5317" w14:textId="77777777" w:rsidTr="005A58D0">
        <w:trPr>
          <w:trHeight w:val="227"/>
          <w:tblHeader/>
        </w:trPr>
        <w:tc>
          <w:tcPr>
            <w:tcW w:w="2227" w:type="pct"/>
            <w:tcBorders>
              <w:top w:val="single" w:sz="2" w:space="0" w:color="000000" w:themeColor="text1"/>
              <w:bottom w:val="single" w:sz="2" w:space="0" w:color="000000" w:themeColor="text1"/>
            </w:tcBorders>
          </w:tcPr>
          <w:p w14:paraId="5E137D36" w14:textId="77777777" w:rsidR="0051536C" w:rsidRPr="0037739F" w:rsidRDefault="0051536C" w:rsidP="005A58D0">
            <w:pPr>
              <w:spacing w:after="0"/>
              <w:rPr>
                <w:rFonts w:ascii="Arial" w:hAnsi="Arial" w:cs="Arial"/>
                <w:sz w:val="16"/>
                <w:szCs w:val="16"/>
              </w:rPr>
            </w:pPr>
          </w:p>
        </w:tc>
        <w:tc>
          <w:tcPr>
            <w:tcW w:w="1387" w:type="pct"/>
            <w:tcBorders>
              <w:top w:val="single" w:sz="2" w:space="0" w:color="000000" w:themeColor="text1"/>
              <w:bottom w:val="single" w:sz="2" w:space="0" w:color="000000" w:themeColor="text1"/>
            </w:tcBorders>
          </w:tcPr>
          <w:p w14:paraId="2CB76E17" w14:textId="77777777" w:rsidR="0051536C" w:rsidRPr="00DC1928" w:rsidRDefault="0051536C" w:rsidP="00DC1928">
            <w:pPr>
              <w:pStyle w:val="TableTextCentered"/>
              <w:rPr>
                <w:rFonts w:ascii="Arial" w:hAnsi="Arial" w:cs="Arial"/>
              </w:rPr>
            </w:pPr>
            <w:r w:rsidRPr="00DC1928">
              <w:rPr>
                <w:rFonts w:ascii="Arial" w:hAnsi="Arial" w:cs="Arial"/>
              </w:rPr>
              <w:t>No. of meetings attended</w:t>
            </w:r>
          </w:p>
        </w:tc>
        <w:tc>
          <w:tcPr>
            <w:tcW w:w="1386" w:type="pct"/>
            <w:tcBorders>
              <w:top w:val="single" w:sz="2" w:space="0" w:color="000000" w:themeColor="text1"/>
              <w:bottom w:val="single" w:sz="2" w:space="0" w:color="000000" w:themeColor="text1"/>
            </w:tcBorders>
          </w:tcPr>
          <w:p w14:paraId="14072A4C" w14:textId="77777777" w:rsidR="0051536C" w:rsidRPr="00DC1928" w:rsidRDefault="0051536C" w:rsidP="00DC1928">
            <w:pPr>
              <w:pStyle w:val="TableTextCentered"/>
              <w:rPr>
                <w:rFonts w:ascii="Arial" w:hAnsi="Arial" w:cs="Arial"/>
              </w:rPr>
            </w:pPr>
            <w:r w:rsidRPr="00DC1928">
              <w:rPr>
                <w:rFonts w:ascii="Arial" w:hAnsi="Arial" w:cs="Arial"/>
              </w:rPr>
              <w:t>No. of meetings eligible to attend</w:t>
            </w:r>
          </w:p>
        </w:tc>
      </w:tr>
      <w:tr w:rsidR="0051536C" w:rsidRPr="0037739F" w14:paraId="11CC69EC" w14:textId="77777777" w:rsidTr="005A58D0">
        <w:trPr>
          <w:trHeight w:val="227"/>
        </w:trPr>
        <w:tc>
          <w:tcPr>
            <w:tcW w:w="2227" w:type="pct"/>
            <w:tcBorders>
              <w:top w:val="single" w:sz="2" w:space="0" w:color="000000" w:themeColor="text1"/>
            </w:tcBorders>
          </w:tcPr>
          <w:p w14:paraId="5EF67D02" w14:textId="77777777" w:rsidR="0051536C" w:rsidRPr="0037739F" w:rsidRDefault="0051536C" w:rsidP="005A58D0">
            <w:pPr>
              <w:spacing w:after="0"/>
              <w:jc w:val="left"/>
              <w:rPr>
                <w:rFonts w:ascii="Arial" w:hAnsi="Arial" w:cs="Arial"/>
                <w:sz w:val="16"/>
                <w:szCs w:val="16"/>
              </w:rPr>
            </w:pPr>
            <w:r w:rsidRPr="0037739F">
              <w:rPr>
                <w:rFonts w:ascii="Arial" w:hAnsi="Arial" w:cs="Arial"/>
                <w:sz w:val="16"/>
                <w:szCs w:val="16"/>
              </w:rPr>
              <w:t>David Irvine (Chair)</w:t>
            </w:r>
          </w:p>
        </w:tc>
        <w:tc>
          <w:tcPr>
            <w:tcW w:w="1387" w:type="pct"/>
            <w:tcBorders>
              <w:top w:val="single" w:sz="2" w:space="0" w:color="000000" w:themeColor="text1"/>
            </w:tcBorders>
          </w:tcPr>
          <w:p w14:paraId="3126A60C" w14:textId="50049A03" w:rsidR="0051536C" w:rsidRPr="0037739F" w:rsidRDefault="00B602B8" w:rsidP="00B602B8">
            <w:pPr>
              <w:spacing w:after="0"/>
              <w:jc w:val="center"/>
              <w:rPr>
                <w:rFonts w:ascii="Arial" w:hAnsi="Arial" w:cs="Arial"/>
                <w:sz w:val="16"/>
                <w:szCs w:val="16"/>
              </w:rPr>
            </w:pPr>
            <w:r>
              <w:rPr>
                <w:rFonts w:ascii="Arial" w:hAnsi="Arial" w:cs="Arial"/>
                <w:sz w:val="16"/>
                <w:szCs w:val="16"/>
              </w:rPr>
              <w:t>11</w:t>
            </w:r>
          </w:p>
        </w:tc>
        <w:tc>
          <w:tcPr>
            <w:tcW w:w="1386" w:type="pct"/>
            <w:tcBorders>
              <w:top w:val="single" w:sz="2" w:space="0" w:color="000000" w:themeColor="text1"/>
            </w:tcBorders>
          </w:tcPr>
          <w:p w14:paraId="32BCD88D" w14:textId="62647636" w:rsidR="0051536C" w:rsidRPr="0037739F" w:rsidRDefault="00B602B8" w:rsidP="00B602B8">
            <w:pPr>
              <w:spacing w:after="0"/>
              <w:jc w:val="center"/>
              <w:rPr>
                <w:rFonts w:ascii="Arial" w:hAnsi="Arial" w:cs="Arial"/>
                <w:sz w:val="16"/>
                <w:szCs w:val="16"/>
              </w:rPr>
            </w:pPr>
            <w:r>
              <w:rPr>
                <w:rFonts w:ascii="Arial" w:hAnsi="Arial" w:cs="Arial"/>
                <w:sz w:val="16"/>
                <w:szCs w:val="16"/>
              </w:rPr>
              <w:t>11</w:t>
            </w:r>
          </w:p>
        </w:tc>
      </w:tr>
      <w:tr w:rsidR="0051536C" w:rsidRPr="0037739F" w14:paraId="0020AD67" w14:textId="77777777" w:rsidTr="005A58D0">
        <w:trPr>
          <w:trHeight w:val="227"/>
        </w:trPr>
        <w:tc>
          <w:tcPr>
            <w:tcW w:w="2227" w:type="pct"/>
          </w:tcPr>
          <w:p w14:paraId="237315AB" w14:textId="60F5A648" w:rsidR="0051536C" w:rsidRPr="0037739F" w:rsidRDefault="0051536C" w:rsidP="0051536C">
            <w:pPr>
              <w:spacing w:after="0"/>
              <w:jc w:val="left"/>
              <w:rPr>
                <w:rFonts w:ascii="Arial" w:hAnsi="Arial" w:cs="Arial"/>
                <w:sz w:val="16"/>
                <w:szCs w:val="16"/>
              </w:rPr>
            </w:pPr>
            <w:r w:rsidRPr="0037739F">
              <w:rPr>
                <w:rFonts w:ascii="Arial" w:hAnsi="Arial" w:cs="Arial"/>
                <w:sz w:val="16"/>
                <w:szCs w:val="16"/>
              </w:rPr>
              <w:t>David Peever</w:t>
            </w:r>
          </w:p>
        </w:tc>
        <w:tc>
          <w:tcPr>
            <w:tcW w:w="1387" w:type="pct"/>
          </w:tcPr>
          <w:p w14:paraId="1112FBDE" w14:textId="07D41B42" w:rsidR="0051536C" w:rsidRPr="0037739F" w:rsidRDefault="00B602B8" w:rsidP="00B602B8">
            <w:pPr>
              <w:spacing w:after="0"/>
              <w:jc w:val="center"/>
              <w:rPr>
                <w:rFonts w:ascii="Arial" w:hAnsi="Arial" w:cs="Arial"/>
                <w:sz w:val="16"/>
                <w:szCs w:val="16"/>
              </w:rPr>
            </w:pPr>
            <w:r>
              <w:rPr>
                <w:rFonts w:ascii="Arial" w:hAnsi="Arial" w:cs="Arial"/>
                <w:sz w:val="16"/>
                <w:szCs w:val="16"/>
              </w:rPr>
              <w:t>8</w:t>
            </w:r>
          </w:p>
        </w:tc>
        <w:tc>
          <w:tcPr>
            <w:tcW w:w="1386" w:type="pct"/>
          </w:tcPr>
          <w:p w14:paraId="205536B6" w14:textId="6F267A88" w:rsidR="0051536C" w:rsidRPr="0037739F" w:rsidRDefault="00B602B8" w:rsidP="00B602B8">
            <w:pPr>
              <w:spacing w:after="0"/>
              <w:jc w:val="center"/>
              <w:rPr>
                <w:rFonts w:ascii="Arial" w:hAnsi="Arial" w:cs="Arial"/>
                <w:sz w:val="16"/>
                <w:szCs w:val="16"/>
              </w:rPr>
            </w:pPr>
            <w:r>
              <w:rPr>
                <w:rFonts w:ascii="Arial" w:hAnsi="Arial" w:cs="Arial"/>
                <w:sz w:val="16"/>
                <w:szCs w:val="16"/>
              </w:rPr>
              <w:t>8</w:t>
            </w:r>
          </w:p>
        </w:tc>
      </w:tr>
      <w:tr w:rsidR="0051536C" w:rsidRPr="0037739F" w14:paraId="659EDE15" w14:textId="77777777" w:rsidTr="005A58D0">
        <w:trPr>
          <w:trHeight w:val="227"/>
        </w:trPr>
        <w:tc>
          <w:tcPr>
            <w:tcW w:w="2227" w:type="pct"/>
          </w:tcPr>
          <w:p w14:paraId="170B97E9" w14:textId="582B02D6" w:rsidR="0051536C" w:rsidRPr="0037739F" w:rsidRDefault="0051536C" w:rsidP="0051536C">
            <w:pPr>
              <w:spacing w:after="0"/>
              <w:jc w:val="left"/>
              <w:rPr>
                <w:rFonts w:ascii="Arial" w:hAnsi="Arial" w:cs="Arial"/>
                <w:sz w:val="16"/>
                <w:szCs w:val="16"/>
              </w:rPr>
            </w:pPr>
            <w:r w:rsidRPr="0037739F">
              <w:rPr>
                <w:rFonts w:ascii="Arial" w:hAnsi="Arial" w:cs="Arial"/>
                <w:sz w:val="16"/>
                <w:szCs w:val="16"/>
              </w:rPr>
              <w:t>Cheryl Edwardes</w:t>
            </w:r>
          </w:p>
        </w:tc>
        <w:tc>
          <w:tcPr>
            <w:tcW w:w="1387" w:type="pct"/>
          </w:tcPr>
          <w:p w14:paraId="32CF8FD3" w14:textId="136C228F" w:rsidR="0051536C" w:rsidRPr="0037739F" w:rsidRDefault="00B602B8" w:rsidP="00B602B8">
            <w:pPr>
              <w:spacing w:after="0"/>
              <w:jc w:val="center"/>
              <w:rPr>
                <w:rFonts w:ascii="Arial" w:hAnsi="Arial" w:cs="Arial"/>
                <w:sz w:val="16"/>
                <w:szCs w:val="16"/>
              </w:rPr>
            </w:pPr>
            <w:r>
              <w:rPr>
                <w:rFonts w:ascii="Arial" w:hAnsi="Arial" w:cs="Arial"/>
                <w:sz w:val="16"/>
                <w:szCs w:val="16"/>
              </w:rPr>
              <w:t>11</w:t>
            </w:r>
          </w:p>
        </w:tc>
        <w:tc>
          <w:tcPr>
            <w:tcW w:w="1386" w:type="pct"/>
          </w:tcPr>
          <w:p w14:paraId="5FCD64BF" w14:textId="1AE17CCD" w:rsidR="0051536C" w:rsidRPr="0037739F" w:rsidRDefault="00B602B8" w:rsidP="00B602B8">
            <w:pPr>
              <w:spacing w:after="0"/>
              <w:jc w:val="center"/>
              <w:rPr>
                <w:rFonts w:ascii="Arial" w:hAnsi="Arial" w:cs="Arial"/>
                <w:sz w:val="16"/>
                <w:szCs w:val="16"/>
              </w:rPr>
            </w:pPr>
            <w:r>
              <w:rPr>
                <w:rFonts w:ascii="Arial" w:hAnsi="Arial" w:cs="Arial"/>
                <w:sz w:val="16"/>
                <w:szCs w:val="16"/>
              </w:rPr>
              <w:t>11</w:t>
            </w:r>
          </w:p>
        </w:tc>
      </w:tr>
      <w:tr w:rsidR="0051536C" w:rsidRPr="0037739F" w14:paraId="2BE30BBF" w14:textId="77777777" w:rsidTr="005A58D0">
        <w:trPr>
          <w:trHeight w:val="227"/>
        </w:trPr>
        <w:tc>
          <w:tcPr>
            <w:tcW w:w="2227" w:type="pct"/>
          </w:tcPr>
          <w:p w14:paraId="6A084E43" w14:textId="77777777" w:rsidR="0051536C" w:rsidRPr="0037739F" w:rsidRDefault="0051536C" w:rsidP="0051536C">
            <w:pPr>
              <w:spacing w:after="0"/>
              <w:jc w:val="left"/>
              <w:rPr>
                <w:rFonts w:ascii="Arial" w:hAnsi="Arial" w:cs="Arial"/>
                <w:sz w:val="16"/>
                <w:szCs w:val="16"/>
              </w:rPr>
            </w:pPr>
            <w:r w:rsidRPr="0037739F">
              <w:rPr>
                <w:rFonts w:ascii="Arial" w:hAnsi="Arial" w:cs="Arial"/>
                <w:sz w:val="16"/>
                <w:szCs w:val="16"/>
              </w:rPr>
              <w:t>Teresa Dyson</w:t>
            </w:r>
          </w:p>
        </w:tc>
        <w:tc>
          <w:tcPr>
            <w:tcW w:w="1387" w:type="pct"/>
          </w:tcPr>
          <w:p w14:paraId="5BAF3DC6" w14:textId="7C1EC29C" w:rsidR="0051536C" w:rsidRPr="0037739F" w:rsidRDefault="00B602B8" w:rsidP="00B602B8">
            <w:pPr>
              <w:spacing w:after="0"/>
              <w:jc w:val="center"/>
              <w:rPr>
                <w:rFonts w:ascii="Arial" w:hAnsi="Arial" w:cs="Arial"/>
                <w:sz w:val="16"/>
                <w:szCs w:val="16"/>
              </w:rPr>
            </w:pPr>
            <w:r>
              <w:rPr>
                <w:rFonts w:ascii="Arial" w:hAnsi="Arial" w:cs="Arial"/>
                <w:sz w:val="16"/>
                <w:szCs w:val="16"/>
              </w:rPr>
              <w:t>11</w:t>
            </w:r>
          </w:p>
        </w:tc>
        <w:tc>
          <w:tcPr>
            <w:tcW w:w="1386" w:type="pct"/>
          </w:tcPr>
          <w:p w14:paraId="6CE1C22C" w14:textId="0754EA14" w:rsidR="0051536C" w:rsidRPr="0037739F" w:rsidRDefault="00B602B8" w:rsidP="00B602B8">
            <w:pPr>
              <w:spacing w:after="0"/>
              <w:jc w:val="center"/>
              <w:rPr>
                <w:rFonts w:ascii="Arial" w:hAnsi="Arial" w:cs="Arial"/>
                <w:sz w:val="16"/>
                <w:szCs w:val="16"/>
              </w:rPr>
            </w:pPr>
            <w:r>
              <w:rPr>
                <w:rFonts w:ascii="Arial" w:hAnsi="Arial" w:cs="Arial"/>
                <w:sz w:val="16"/>
                <w:szCs w:val="16"/>
              </w:rPr>
              <w:t>11</w:t>
            </w:r>
          </w:p>
        </w:tc>
      </w:tr>
      <w:tr w:rsidR="0051536C" w:rsidRPr="0037739F" w14:paraId="784B6E5A" w14:textId="77777777" w:rsidTr="005A58D0">
        <w:trPr>
          <w:trHeight w:val="227"/>
        </w:trPr>
        <w:tc>
          <w:tcPr>
            <w:tcW w:w="2227" w:type="pct"/>
          </w:tcPr>
          <w:p w14:paraId="4046584E" w14:textId="6CB41CA4" w:rsidR="0051536C" w:rsidRPr="0037739F" w:rsidRDefault="0051536C" w:rsidP="0051536C">
            <w:pPr>
              <w:spacing w:after="0"/>
              <w:jc w:val="left"/>
              <w:rPr>
                <w:rFonts w:ascii="Arial" w:hAnsi="Arial" w:cs="Arial"/>
                <w:sz w:val="16"/>
                <w:szCs w:val="16"/>
              </w:rPr>
            </w:pPr>
            <w:r>
              <w:rPr>
                <w:rFonts w:ascii="Arial" w:hAnsi="Arial" w:cs="Arial"/>
                <w:sz w:val="16"/>
                <w:szCs w:val="16"/>
              </w:rPr>
              <w:t>Nick Minchin</w:t>
            </w:r>
          </w:p>
        </w:tc>
        <w:tc>
          <w:tcPr>
            <w:tcW w:w="1387" w:type="pct"/>
          </w:tcPr>
          <w:p w14:paraId="65B691D5" w14:textId="53C53DE3" w:rsidR="0051536C" w:rsidRPr="0037739F" w:rsidRDefault="00B602B8" w:rsidP="00B602B8">
            <w:pPr>
              <w:spacing w:after="0"/>
              <w:jc w:val="center"/>
              <w:rPr>
                <w:rFonts w:ascii="Arial" w:hAnsi="Arial" w:cs="Arial"/>
                <w:sz w:val="16"/>
                <w:szCs w:val="16"/>
              </w:rPr>
            </w:pPr>
            <w:r>
              <w:rPr>
                <w:rFonts w:ascii="Arial" w:hAnsi="Arial" w:cs="Arial"/>
                <w:sz w:val="16"/>
                <w:szCs w:val="16"/>
              </w:rPr>
              <w:t>1</w:t>
            </w:r>
            <w:r w:rsidR="005A16AB">
              <w:rPr>
                <w:rFonts w:ascii="Arial" w:hAnsi="Arial" w:cs="Arial"/>
                <w:sz w:val="16"/>
                <w:szCs w:val="16"/>
              </w:rPr>
              <w:t>0</w:t>
            </w:r>
          </w:p>
        </w:tc>
        <w:tc>
          <w:tcPr>
            <w:tcW w:w="1386" w:type="pct"/>
          </w:tcPr>
          <w:p w14:paraId="28058EFE" w14:textId="47B15D96" w:rsidR="0051536C" w:rsidRPr="0037739F" w:rsidRDefault="00B602B8" w:rsidP="00B602B8">
            <w:pPr>
              <w:spacing w:after="0"/>
              <w:jc w:val="center"/>
              <w:rPr>
                <w:rFonts w:ascii="Arial" w:hAnsi="Arial" w:cs="Arial"/>
                <w:sz w:val="16"/>
                <w:szCs w:val="16"/>
              </w:rPr>
            </w:pPr>
            <w:r>
              <w:rPr>
                <w:rFonts w:ascii="Arial" w:hAnsi="Arial" w:cs="Arial"/>
                <w:sz w:val="16"/>
                <w:szCs w:val="16"/>
              </w:rPr>
              <w:t>1</w:t>
            </w:r>
            <w:r w:rsidR="005A16AB">
              <w:rPr>
                <w:rFonts w:ascii="Arial" w:hAnsi="Arial" w:cs="Arial"/>
                <w:sz w:val="16"/>
                <w:szCs w:val="16"/>
              </w:rPr>
              <w:t>1</w:t>
            </w:r>
          </w:p>
        </w:tc>
      </w:tr>
      <w:tr w:rsidR="0051536C" w:rsidRPr="0037739F" w14:paraId="4C02A450" w14:textId="77777777" w:rsidTr="005A58D0">
        <w:trPr>
          <w:trHeight w:val="227"/>
        </w:trPr>
        <w:tc>
          <w:tcPr>
            <w:tcW w:w="2227" w:type="pct"/>
          </w:tcPr>
          <w:p w14:paraId="00D568DD" w14:textId="77777777" w:rsidR="0051536C" w:rsidRPr="0037739F" w:rsidRDefault="0051536C" w:rsidP="0051536C">
            <w:pPr>
              <w:spacing w:after="0"/>
              <w:jc w:val="left"/>
              <w:rPr>
                <w:rFonts w:ascii="Arial" w:hAnsi="Arial" w:cs="Arial"/>
                <w:sz w:val="16"/>
                <w:szCs w:val="16"/>
              </w:rPr>
            </w:pPr>
            <w:r>
              <w:rPr>
                <w:rFonts w:ascii="Arial" w:hAnsi="Arial" w:cs="Arial"/>
                <w:sz w:val="16"/>
                <w:szCs w:val="16"/>
              </w:rPr>
              <w:t>Margaret (Meg) McDonald</w:t>
            </w:r>
          </w:p>
        </w:tc>
        <w:tc>
          <w:tcPr>
            <w:tcW w:w="1387" w:type="pct"/>
          </w:tcPr>
          <w:p w14:paraId="162484A2" w14:textId="47C46896" w:rsidR="0051536C" w:rsidRPr="0037739F" w:rsidRDefault="00B602B8" w:rsidP="00B602B8">
            <w:pPr>
              <w:spacing w:after="0"/>
              <w:jc w:val="center"/>
              <w:rPr>
                <w:rFonts w:ascii="Arial" w:hAnsi="Arial" w:cs="Arial"/>
                <w:sz w:val="16"/>
                <w:szCs w:val="16"/>
              </w:rPr>
            </w:pPr>
            <w:r>
              <w:rPr>
                <w:rFonts w:ascii="Arial" w:hAnsi="Arial" w:cs="Arial"/>
                <w:sz w:val="16"/>
                <w:szCs w:val="16"/>
              </w:rPr>
              <w:t>11</w:t>
            </w:r>
          </w:p>
        </w:tc>
        <w:tc>
          <w:tcPr>
            <w:tcW w:w="1386" w:type="pct"/>
          </w:tcPr>
          <w:p w14:paraId="120103FC" w14:textId="5D612581" w:rsidR="0051536C" w:rsidRPr="0037739F" w:rsidRDefault="00B602B8" w:rsidP="00B602B8">
            <w:pPr>
              <w:spacing w:after="0"/>
              <w:jc w:val="center"/>
              <w:rPr>
                <w:rFonts w:ascii="Arial" w:hAnsi="Arial" w:cs="Arial"/>
                <w:sz w:val="16"/>
                <w:szCs w:val="16"/>
              </w:rPr>
            </w:pPr>
            <w:r>
              <w:rPr>
                <w:rFonts w:ascii="Arial" w:hAnsi="Arial" w:cs="Arial"/>
                <w:sz w:val="16"/>
                <w:szCs w:val="16"/>
              </w:rPr>
              <w:t>11</w:t>
            </w:r>
          </w:p>
        </w:tc>
      </w:tr>
      <w:tr w:rsidR="0051536C" w:rsidRPr="0037739F" w14:paraId="0615BEEE" w14:textId="77777777" w:rsidTr="00A81E1B">
        <w:trPr>
          <w:trHeight w:val="227"/>
        </w:trPr>
        <w:tc>
          <w:tcPr>
            <w:tcW w:w="2227" w:type="pct"/>
          </w:tcPr>
          <w:p w14:paraId="1C667761" w14:textId="4D2B90CA" w:rsidR="0051536C" w:rsidRPr="0037739F" w:rsidRDefault="0051536C" w:rsidP="0051536C">
            <w:pPr>
              <w:spacing w:after="0"/>
              <w:jc w:val="left"/>
              <w:rPr>
                <w:rFonts w:ascii="Arial" w:hAnsi="Arial" w:cs="Arial"/>
                <w:sz w:val="16"/>
                <w:szCs w:val="16"/>
              </w:rPr>
            </w:pPr>
            <w:r>
              <w:rPr>
                <w:rFonts w:ascii="Arial" w:hAnsi="Arial" w:cs="Arial"/>
                <w:sz w:val="16"/>
                <w:szCs w:val="16"/>
              </w:rPr>
              <w:t>Steven Skala</w:t>
            </w:r>
          </w:p>
        </w:tc>
        <w:tc>
          <w:tcPr>
            <w:tcW w:w="1387" w:type="pct"/>
          </w:tcPr>
          <w:p w14:paraId="21FE8C06" w14:textId="61FE65A8" w:rsidR="0051536C" w:rsidRPr="0037739F" w:rsidRDefault="00B602B8" w:rsidP="00B602B8">
            <w:pPr>
              <w:spacing w:after="0"/>
              <w:jc w:val="center"/>
              <w:rPr>
                <w:rFonts w:ascii="Arial" w:hAnsi="Arial" w:cs="Arial"/>
                <w:sz w:val="16"/>
                <w:szCs w:val="16"/>
              </w:rPr>
            </w:pPr>
            <w:r>
              <w:rPr>
                <w:rFonts w:ascii="Arial" w:hAnsi="Arial" w:cs="Arial"/>
                <w:sz w:val="16"/>
                <w:szCs w:val="16"/>
              </w:rPr>
              <w:t>9</w:t>
            </w:r>
          </w:p>
        </w:tc>
        <w:tc>
          <w:tcPr>
            <w:tcW w:w="1386" w:type="pct"/>
          </w:tcPr>
          <w:p w14:paraId="3D4E761B" w14:textId="778EB82B" w:rsidR="0051536C" w:rsidRPr="0037739F" w:rsidRDefault="00B602B8" w:rsidP="00B602B8">
            <w:pPr>
              <w:spacing w:after="0"/>
              <w:jc w:val="center"/>
              <w:rPr>
                <w:rFonts w:ascii="Arial" w:hAnsi="Arial" w:cs="Arial"/>
                <w:sz w:val="16"/>
                <w:szCs w:val="16"/>
              </w:rPr>
            </w:pPr>
            <w:r>
              <w:rPr>
                <w:rFonts w:ascii="Arial" w:hAnsi="Arial" w:cs="Arial"/>
                <w:sz w:val="16"/>
                <w:szCs w:val="16"/>
              </w:rPr>
              <w:t>9</w:t>
            </w:r>
          </w:p>
        </w:tc>
      </w:tr>
      <w:tr w:rsidR="0051536C" w:rsidRPr="0037739F" w14:paraId="0FFBD2FA" w14:textId="77777777" w:rsidTr="00A81E1B">
        <w:trPr>
          <w:trHeight w:val="227"/>
        </w:trPr>
        <w:tc>
          <w:tcPr>
            <w:tcW w:w="2227" w:type="pct"/>
            <w:tcBorders>
              <w:bottom w:val="single" w:sz="4" w:space="0" w:color="auto"/>
            </w:tcBorders>
          </w:tcPr>
          <w:p w14:paraId="0B4A7121" w14:textId="7D2AC6AB" w:rsidR="0051536C" w:rsidRPr="001E2AB7" w:rsidRDefault="0051536C" w:rsidP="0051536C">
            <w:pPr>
              <w:spacing w:after="0"/>
              <w:jc w:val="left"/>
              <w:rPr>
                <w:rFonts w:ascii="Arial" w:hAnsi="Arial" w:cs="Arial"/>
                <w:color w:val="auto"/>
                <w:sz w:val="16"/>
                <w:szCs w:val="16"/>
              </w:rPr>
            </w:pPr>
            <w:r w:rsidRPr="001E2AB7">
              <w:rPr>
                <w:rFonts w:ascii="Arial" w:hAnsi="Arial" w:cs="Arial"/>
                <w:color w:val="auto"/>
                <w:sz w:val="16"/>
                <w:szCs w:val="16"/>
              </w:rPr>
              <w:t>Tom Hamilton</w:t>
            </w:r>
          </w:p>
        </w:tc>
        <w:tc>
          <w:tcPr>
            <w:tcW w:w="1387" w:type="pct"/>
            <w:tcBorders>
              <w:bottom w:val="single" w:sz="4" w:space="0" w:color="auto"/>
            </w:tcBorders>
          </w:tcPr>
          <w:p w14:paraId="41E2A919" w14:textId="748E911C" w:rsidR="0051536C" w:rsidRPr="001E2AB7" w:rsidRDefault="001E2AB7" w:rsidP="00B602B8">
            <w:pPr>
              <w:spacing w:after="0"/>
              <w:jc w:val="center"/>
              <w:rPr>
                <w:rFonts w:ascii="Arial" w:hAnsi="Arial" w:cs="Arial"/>
                <w:color w:val="auto"/>
                <w:sz w:val="16"/>
                <w:szCs w:val="16"/>
              </w:rPr>
            </w:pPr>
            <w:r w:rsidRPr="001E2AB7">
              <w:rPr>
                <w:rFonts w:ascii="Arial" w:hAnsi="Arial" w:cs="Arial"/>
                <w:color w:val="auto"/>
                <w:sz w:val="16"/>
                <w:szCs w:val="16"/>
              </w:rPr>
              <w:t>7</w:t>
            </w:r>
          </w:p>
        </w:tc>
        <w:tc>
          <w:tcPr>
            <w:tcW w:w="1386" w:type="pct"/>
            <w:tcBorders>
              <w:bottom w:val="single" w:sz="4" w:space="0" w:color="auto"/>
            </w:tcBorders>
          </w:tcPr>
          <w:p w14:paraId="2F7E0112" w14:textId="73052922" w:rsidR="0051536C" w:rsidRPr="001E2AB7" w:rsidRDefault="001E2AB7" w:rsidP="00B602B8">
            <w:pPr>
              <w:spacing w:after="0"/>
              <w:jc w:val="center"/>
              <w:rPr>
                <w:rFonts w:ascii="Arial" w:hAnsi="Arial" w:cs="Arial"/>
                <w:color w:val="auto"/>
                <w:sz w:val="16"/>
                <w:szCs w:val="16"/>
              </w:rPr>
            </w:pPr>
            <w:r w:rsidRPr="001E2AB7">
              <w:rPr>
                <w:rFonts w:ascii="Arial" w:hAnsi="Arial" w:cs="Arial"/>
                <w:color w:val="auto"/>
                <w:sz w:val="16"/>
                <w:szCs w:val="16"/>
              </w:rPr>
              <w:t>7</w:t>
            </w:r>
          </w:p>
        </w:tc>
      </w:tr>
    </w:tbl>
    <w:p w14:paraId="2E95830E" w14:textId="26A4AA4C" w:rsidR="001E2AB7" w:rsidRDefault="001E2AB7" w:rsidP="0051536C">
      <w:pPr>
        <w:pStyle w:val="Caveat"/>
        <w:keepNext/>
        <w:keepLines/>
      </w:pPr>
      <w:r>
        <w:t xml:space="preserve">Where possible, the Board continued to hold its monthly meetings in person, however, due to </w:t>
      </w:r>
      <w:r w:rsidR="00776645">
        <w:t>COVID-19</w:t>
      </w:r>
      <w:r>
        <w:t xml:space="preserve"> travel restrictions, also used teleconference.</w:t>
      </w:r>
    </w:p>
    <w:bookmarkEnd w:id="228"/>
    <w:p w14:paraId="5F71DCE0" w14:textId="2BEE2848" w:rsidR="003A5400" w:rsidRDefault="003A5400">
      <w:pPr>
        <w:spacing w:after="0" w:line="240" w:lineRule="auto"/>
        <w:jc w:val="left"/>
        <w:rPr>
          <w:b/>
          <w:bCs/>
          <w:sz w:val="32"/>
          <w:szCs w:val="32"/>
        </w:rPr>
      </w:pPr>
      <w:r>
        <w:rPr>
          <w:b/>
          <w:bCs/>
          <w:sz w:val="32"/>
          <w:szCs w:val="32"/>
        </w:rPr>
        <w:br w:type="page"/>
      </w:r>
    </w:p>
    <w:p w14:paraId="062745DA" w14:textId="73B67F2E" w:rsidR="003A5400" w:rsidRPr="00DC1928" w:rsidRDefault="00DC1928" w:rsidP="00DC1928">
      <w:pPr>
        <w:pStyle w:val="Heading1"/>
        <w:numPr>
          <w:ilvl w:val="0"/>
          <w:numId w:val="0"/>
        </w:numPr>
      </w:pPr>
      <w:bookmarkStart w:id="230" w:name="_Toc89872898"/>
      <w:bookmarkStart w:id="231" w:name="_Toc89872945"/>
      <w:r w:rsidRPr="00DC1928">
        <w:lastRenderedPageBreak/>
        <w:t xml:space="preserve">Appendix </w:t>
      </w:r>
      <w:r>
        <w:t>B</w:t>
      </w:r>
      <w:r w:rsidR="003A0911" w:rsidRPr="00DC1928">
        <w:t xml:space="preserve">: </w:t>
      </w:r>
      <w:r>
        <w:t>M</w:t>
      </w:r>
      <w:r w:rsidRPr="00DC1928">
        <w:t>ethodological and data caveats</w:t>
      </w:r>
      <w:bookmarkEnd w:id="230"/>
      <w:bookmarkEnd w:id="231"/>
    </w:p>
    <w:p w14:paraId="357C1CE2" w14:textId="77777777" w:rsidR="00597834" w:rsidRDefault="00597834" w:rsidP="00597834">
      <w:r w:rsidRPr="00CE2FB6">
        <w:t>This appendix provides an overview of the main methodological and data caveats that apply to applications and approvals data in this Annual Report. Care should be taken when making comparisons with earlier years or alternate data sources on foreign investment.</w:t>
      </w:r>
    </w:p>
    <w:p w14:paraId="55F4051D" w14:textId="1F9B99BC" w:rsidR="00784C19" w:rsidRDefault="00784C19" w:rsidP="00784C19">
      <w:pPr>
        <w:pStyle w:val="Heading2"/>
      </w:pPr>
      <w:bookmarkStart w:id="232" w:name="_Toc89872899"/>
      <w:bookmarkStart w:id="233" w:name="_Toc89872946"/>
      <w:r>
        <w:t>Methodological Overview</w:t>
      </w:r>
      <w:bookmarkEnd w:id="232"/>
      <w:bookmarkEnd w:id="233"/>
    </w:p>
    <w:p w14:paraId="21326B43" w14:textId="77777777" w:rsidR="00784C19" w:rsidRDefault="00784C19" w:rsidP="00784C19">
      <w:pPr>
        <w:pStyle w:val="Bullet"/>
      </w:pPr>
      <w:r w:rsidRPr="00A84283">
        <w:t>The statistics contained in this Annual Report do not measure total foreign investment made in any year, nor do they measure changes in net foreign ownership levels in Australia. They reflect investor intentions (not actual purchases) to acquire Australian assets</w:t>
      </w:r>
      <w:r>
        <w:t xml:space="preserve"> that are subject to the Act</w:t>
      </w:r>
      <w:r w:rsidRPr="00A84283">
        <w:t>. They can be skewed by very large investment proposals and multiple competing proposals for the same target.</w:t>
      </w:r>
    </w:p>
    <w:p w14:paraId="2649A43C" w14:textId="77777777" w:rsidR="00784C19" w:rsidRDefault="00784C19" w:rsidP="00784C19">
      <w:pPr>
        <w:pStyle w:val="Bullet"/>
      </w:pPr>
      <w:r w:rsidRPr="00A84283">
        <w:t xml:space="preserve">The data does not necessarily reflect a change from domestic to foreign ownership as in some </w:t>
      </w:r>
      <w:r>
        <w:t>proposal</w:t>
      </w:r>
      <w:r w:rsidRPr="00A84283">
        <w:t>s both the seller and the</w:t>
      </w:r>
      <w:r>
        <w:t xml:space="preserve"> purchaser are foreign persons.</w:t>
      </w:r>
    </w:p>
    <w:p w14:paraId="722E62CB" w14:textId="77777777" w:rsidR="00784C19" w:rsidRPr="00A84283" w:rsidRDefault="00784C19" w:rsidP="00784C19">
      <w:pPr>
        <w:pStyle w:val="Bullet"/>
      </w:pPr>
      <w:r w:rsidRPr="00A84283">
        <w:t>The statistics may include some transactions that do not actually proceed. They include:</w:t>
      </w:r>
    </w:p>
    <w:p w14:paraId="7890ED25" w14:textId="3D3C5A4C" w:rsidR="00784C19" w:rsidRPr="00A84283" w:rsidRDefault="00784C19" w:rsidP="00784C19">
      <w:pPr>
        <w:pStyle w:val="Dash"/>
      </w:pPr>
      <w:r w:rsidRPr="00A84283">
        <w:t>approvals in a given year but which are not actually implemented in that year or at all</w:t>
      </w:r>
    </w:p>
    <w:p w14:paraId="6AE697C1" w14:textId="23206842" w:rsidR="00784C19" w:rsidRPr="00A84283" w:rsidRDefault="00784C19" w:rsidP="00784C19">
      <w:pPr>
        <w:pStyle w:val="Dash"/>
      </w:pPr>
      <w:r w:rsidRPr="00A84283">
        <w:t>approvals for multiple competing potential acquirers of the same target (including for potential consortium participants that are yet to determine their final maximum percentage interest)</w:t>
      </w:r>
    </w:p>
    <w:p w14:paraId="2B58B5EF" w14:textId="05D1437A" w:rsidR="00784C19" w:rsidRPr="00A84283" w:rsidRDefault="00784C19" w:rsidP="00784C19">
      <w:pPr>
        <w:pStyle w:val="Dash"/>
      </w:pPr>
      <w:r w:rsidRPr="00A84283">
        <w:t>approvals for shares, units or other interests, where only a portion of those intended may be acquired</w:t>
      </w:r>
    </w:p>
    <w:p w14:paraId="05485E2E" w14:textId="17E3F143" w:rsidR="00784C19" w:rsidRPr="00A84283" w:rsidRDefault="00784C19" w:rsidP="00784C19">
      <w:pPr>
        <w:pStyle w:val="Dash"/>
      </w:pPr>
      <w:r w:rsidRPr="00A84283">
        <w:t>proposed investment programs covered by an</w:t>
      </w:r>
      <w:r w:rsidRPr="00A84283" w:rsidDel="00A7684A">
        <w:t xml:space="preserve"> </w:t>
      </w:r>
      <w:r w:rsidR="00A7684A">
        <w:t>EC</w:t>
      </w:r>
      <w:r w:rsidRPr="00A84283">
        <w:t>, where the program is not fully implemented.</w:t>
      </w:r>
    </w:p>
    <w:p w14:paraId="4451C1B5" w14:textId="3F57A778" w:rsidR="00784C19" w:rsidRDefault="00784C19" w:rsidP="00784C19">
      <w:pPr>
        <w:pStyle w:val="Bullet"/>
      </w:pPr>
      <w:r>
        <w:t>Hence t</w:t>
      </w:r>
      <w:r w:rsidRPr="00A84283">
        <w:t>here are substantial differences between these st</w:t>
      </w:r>
      <w:r>
        <w:t>atistics on proposed investment</w:t>
      </w:r>
      <w:r w:rsidRPr="00A84283">
        <w:t xml:space="preserve"> and actual investment flows. The latter are captured by the </w:t>
      </w:r>
      <w:r>
        <w:t>ABS</w:t>
      </w:r>
      <w:r w:rsidRPr="00A84283">
        <w:t xml:space="preserve">, which covers investment transactions between </w:t>
      </w:r>
      <w:r>
        <w:t xml:space="preserve">Australian residents </w:t>
      </w:r>
      <w:r w:rsidRPr="00A84283">
        <w:t>and non</w:t>
      </w:r>
      <w:r w:rsidR="003E7C79">
        <w:t>–</w:t>
      </w:r>
      <w:r w:rsidRPr="00A84283">
        <w:t>residents.</w:t>
      </w:r>
    </w:p>
    <w:p w14:paraId="0F812309" w14:textId="4A5FBF26" w:rsidR="00784C19" w:rsidRDefault="00784C19" w:rsidP="00784C19">
      <w:pPr>
        <w:pStyle w:val="Bullet"/>
      </w:pPr>
      <w:r w:rsidRPr="008063D6">
        <w:t xml:space="preserve">Foreign investment application fees are collected when an application is submitted to the </w:t>
      </w:r>
      <w:r w:rsidR="006A2E70">
        <w:t>Treasury</w:t>
      </w:r>
      <w:r w:rsidRPr="008063D6">
        <w:t xml:space="preserve">. The revenue recognised is based on the receipt of the application and/or payment during the reporting period (including fees paid under New Dwelling </w:t>
      </w:r>
      <w:r w:rsidR="00B75EDE">
        <w:t xml:space="preserve">ECs </w:t>
      </w:r>
      <w:r w:rsidRPr="008063D6">
        <w:t xml:space="preserve">for acquired properties) less an estimate of future outflows relating to </w:t>
      </w:r>
      <w:r>
        <w:t>application</w:t>
      </w:r>
      <w:r w:rsidRPr="008063D6">
        <w:t>s where the fee might be waived.</w:t>
      </w:r>
    </w:p>
    <w:p w14:paraId="7E1B71F8" w14:textId="26B432F6" w:rsidR="008559E1" w:rsidRDefault="008559E1">
      <w:pPr>
        <w:spacing w:after="0" w:line="240" w:lineRule="auto"/>
        <w:jc w:val="left"/>
      </w:pPr>
      <w:r>
        <w:br w:type="page"/>
      </w:r>
    </w:p>
    <w:p w14:paraId="6829C16C" w14:textId="77777777" w:rsidR="00784C19" w:rsidRPr="00A84283" w:rsidRDefault="00784C19" w:rsidP="00784C19">
      <w:pPr>
        <w:pStyle w:val="Heading2"/>
      </w:pPr>
      <w:bookmarkStart w:id="234" w:name="_Toc75244073"/>
      <w:bookmarkStart w:id="235" w:name="_Toc89872900"/>
      <w:bookmarkStart w:id="236" w:name="_Toc89872947"/>
      <w:r>
        <w:lastRenderedPageBreak/>
        <w:t>General Caveats</w:t>
      </w:r>
      <w:bookmarkEnd w:id="234"/>
      <w:bookmarkEnd w:id="235"/>
      <w:bookmarkEnd w:id="236"/>
    </w:p>
    <w:p w14:paraId="24EE2C12" w14:textId="77777777" w:rsidR="00784C19" w:rsidRPr="00A84283" w:rsidRDefault="00784C19" w:rsidP="00784C19">
      <w:pPr>
        <w:pStyle w:val="Bullet"/>
      </w:pPr>
      <w:r w:rsidRPr="00A84283">
        <w:t>Data capture, systems and reporting methodologies change over time.</w:t>
      </w:r>
    </w:p>
    <w:p w14:paraId="601D6E3A" w14:textId="77777777" w:rsidR="00784C19" w:rsidRPr="00525D45" w:rsidRDefault="00784C19" w:rsidP="00784C19">
      <w:pPr>
        <w:pStyle w:val="Bullet"/>
      </w:pPr>
      <w:r w:rsidRPr="00525D45">
        <w:t>Data presented for earlier years may have been revised since last published.</w:t>
      </w:r>
    </w:p>
    <w:p w14:paraId="641A900B" w14:textId="771C8FC7" w:rsidR="00784C19" w:rsidRPr="00525D45" w:rsidRDefault="00784C19" w:rsidP="00784C19">
      <w:pPr>
        <w:pStyle w:val="Bullet"/>
      </w:pPr>
      <w:r w:rsidRPr="00525D45">
        <w:t xml:space="preserve">An approval category that was not available during a financial year is denoted by </w:t>
      </w:r>
      <w:r w:rsidR="00065800">
        <w:t>‘</w:t>
      </w:r>
      <w:proofErr w:type="spellStart"/>
      <w:r w:rsidRPr="00525D45">
        <w:t>na</w:t>
      </w:r>
      <w:proofErr w:type="spellEnd"/>
      <w:r w:rsidR="00065800">
        <w:t>’</w:t>
      </w:r>
      <w:r w:rsidRPr="00525D45">
        <w:t>.</w:t>
      </w:r>
    </w:p>
    <w:p w14:paraId="6A14E231" w14:textId="77777777" w:rsidR="00784C19" w:rsidRDefault="00784C19" w:rsidP="00784C19">
      <w:pPr>
        <w:pStyle w:val="Bullet"/>
      </w:pPr>
      <w:r w:rsidRPr="00525D45">
        <w:t xml:space="preserve">A proposed investment value is not attributed to new business approvals, corporate </w:t>
      </w:r>
      <w:r w:rsidRPr="003964C1">
        <w:t>reorganisations approvals, or variations.</w:t>
      </w:r>
    </w:p>
    <w:p w14:paraId="3E3656BB" w14:textId="77777777" w:rsidR="00784C19" w:rsidRPr="003964C1" w:rsidRDefault="00784C19" w:rsidP="00784C19">
      <w:pPr>
        <w:pStyle w:val="Bullet"/>
      </w:pPr>
      <w:r>
        <w:t>A r</w:t>
      </w:r>
      <w:r w:rsidRPr="00144EA2">
        <w:t xml:space="preserve">etrospective approval may be given when </w:t>
      </w:r>
      <w:r>
        <w:t>a foreign person failed</w:t>
      </w:r>
      <w:r w:rsidRPr="00144EA2">
        <w:t xml:space="preserve"> to seek foreign investment approval but would have received approval had they </w:t>
      </w:r>
      <w:r>
        <w:t xml:space="preserve">previously </w:t>
      </w:r>
      <w:r w:rsidRPr="00144EA2">
        <w:t>submitted an applicati</w:t>
      </w:r>
      <w:r>
        <w:t>on</w:t>
      </w:r>
      <w:r w:rsidRPr="00144EA2">
        <w:t>. Retrospective applications remain liable to pay the relevant application fee and an infringement notice.</w:t>
      </w:r>
    </w:p>
    <w:p w14:paraId="45AA111C" w14:textId="77777777" w:rsidR="00784C19" w:rsidRDefault="00784C19" w:rsidP="00784C19">
      <w:pPr>
        <w:pStyle w:val="Bullet"/>
      </w:pPr>
      <w:r w:rsidRPr="003964C1">
        <w:t>Totals presented throughout the report may not add due to rounding.</w:t>
      </w:r>
    </w:p>
    <w:p w14:paraId="285F3C76" w14:textId="77777777" w:rsidR="00784C19" w:rsidRPr="00351E58" w:rsidRDefault="00784C19" w:rsidP="00784C19">
      <w:pPr>
        <w:pStyle w:val="Bullet"/>
      </w:pPr>
      <w:r w:rsidRPr="00351E58">
        <w:t xml:space="preserve">Variations are only included in </w:t>
      </w:r>
      <w:r>
        <w:t>T</w:t>
      </w:r>
      <w:r w:rsidRPr="00351E58">
        <w:t xml:space="preserve">ables </w:t>
      </w:r>
      <w:r w:rsidRPr="00ED7089">
        <w:t>3.18</w:t>
      </w:r>
      <w:r w:rsidRPr="00351E58">
        <w:t xml:space="preserve"> and </w:t>
      </w:r>
      <w:r w:rsidRPr="00ED7089">
        <w:t>3.19</w:t>
      </w:r>
      <w:r w:rsidRPr="00351E58">
        <w:t>.</w:t>
      </w:r>
    </w:p>
    <w:p w14:paraId="689F33CF" w14:textId="77777777" w:rsidR="00784C19" w:rsidRPr="00717B61" w:rsidRDefault="00784C19" w:rsidP="00DC1928">
      <w:pPr>
        <w:pStyle w:val="Heading3"/>
      </w:pPr>
      <w:bookmarkStart w:id="237" w:name="_Toc80368809"/>
      <w:bookmarkStart w:id="238" w:name="_Toc87014340"/>
      <w:bookmarkStart w:id="239" w:name="_Toc89851725"/>
      <w:r w:rsidRPr="00717B61">
        <w:t>Country of Control</w:t>
      </w:r>
      <w:bookmarkEnd w:id="237"/>
      <w:bookmarkEnd w:id="238"/>
      <w:bookmarkEnd w:id="239"/>
    </w:p>
    <w:p w14:paraId="3E938E33" w14:textId="77777777" w:rsidR="00784C19" w:rsidRPr="00B57CCF" w:rsidRDefault="00784C19" w:rsidP="00784C19">
      <w:pPr>
        <w:pStyle w:val="Bullet"/>
      </w:pPr>
      <w:r w:rsidRPr="00B57CCF">
        <w:t xml:space="preserve">Country </w:t>
      </w:r>
      <w:r>
        <w:t xml:space="preserve">of control figures in Table </w:t>
      </w:r>
      <w:r w:rsidRPr="00ED7089">
        <w:t>3.17</w:t>
      </w:r>
      <w:r w:rsidRPr="00B57CCF">
        <w:t xml:space="preserve"> indicate the total number of approvals in which investors from the particular country have a disclosed beneficial interest in or where widely held interests have been allocated to a country based on factors such as the largest interest holder or country of control of the investor. Approvals involving investment originating from more than one country are generally counted as one approval for each of the countries concerned where they include investment from foreign persons greater than five per cent or where there is shared control. For consortium approvals, or where there is shared control, the proposed investment may be counted against a number of countries with the investment value apportioned between those countries involved.</w:t>
      </w:r>
      <w:r w:rsidRPr="00B57CCF">
        <w:rPr>
          <w:rFonts w:eastAsia="Calibri"/>
          <w:noProof/>
        </w:rPr>
        <w:t xml:space="preserve"> </w:t>
      </w:r>
    </w:p>
    <w:p w14:paraId="3DC319FD" w14:textId="77777777" w:rsidR="00784C19" w:rsidRDefault="00784C19" w:rsidP="00784C19">
      <w:pPr>
        <w:pStyle w:val="Bullet"/>
      </w:pPr>
      <w:r>
        <w:t>The t</w:t>
      </w:r>
      <w:r w:rsidRPr="006D6210">
        <w:t xml:space="preserve">otal number of approvals in </w:t>
      </w:r>
      <w:r>
        <w:t>T</w:t>
      </w:r>
      <w:r w:rsidRPr="006D6210">
        <w:t>able</w:t>
      </w:r>
      <w:r>
        <w:t xml:space="preserve"> </w:t>
      </w:r>
      <w:r w:rsidRPr="00ED7089">
        <w:t>3.17</w:t>
      </w:r>
      <w:r w:rsidRPr="006D6210">
        <w:t xml:space="preserve"> may </w:t>
      </w:r>
      <w:r>
        <w:t>differ from</w:t>
      </w:r>
      <w:r w:rsidRPr="006D6210">
        <w:t xml:space="preserve"> the total number of approvals in Tables </w:t>
      </w:r>
      <w:r w:rsidRPr="00ED7089">
        <w:t>3.1</w:t>
      </w:r>
      <w:r w:rsidRPr="00784C19">
        <w:t xml:space="preserve">, </w:t>
      </w:r>
      <w:r w:rsidRPr="00ED7089">
        <w:t>3.5</w:t>
      </w:r>
      <w:r w:rsidRPr="006D6210">
        <w:t xml:space="preserve">, and </w:t>
      </w:r>
      <w:r w:rsidRPr="00ED7089">
        <w:t>3.7</w:t>
      </w:r>
      <w:r w:rsidRPr="006D6210">
        <w:t xml:space="preserve"> as the data is recorded by </w:t>
      </w:r>
      <w:r>
        <w:t>country</w:t>
      </w:r>
      <w:r w:rsidRPr="006D6210">
        <w:t>. For instance, one application from two investor countries will app</w:t>
      </w:r>
      <w:r>
        <w:t xml:space="preserve">ear as one approval </w:t>
      </w:r>
      <w:r w:rsidRPr="006D6210">
        <w:t xml:space="preserve">per country (that is, it will be reflected as </w:t>
      </w:r>
      <w:r>
        <w:t>two</w:t>
      </w:r>
      <w:r w:rsidRPr="006D6210">
        <w:t xml:space="preserve"> approvals</w:t>
      </w:r>
      <w:r>
        <w:t>).</w:t>
      </w:r>
    </w:p>
    <w:p w14:paraId="00C8C220" w14:textId="77777777" w:rsidR="00784C19" w:rsidRPr="00F53E39" w:rsidRDefault="00784C19" w:rsidP="00784C19">
      <w:pPr>
        <w:pStyle w:val="Bullet"/>
      </w:pPr>
      <w:r w:rsidRPr="00F53E39">
        <w:t xml:space="preserve">Data on specific </w:t>
      </w:r>
      <w:r>
        <w:t>countries</w:t>
      </w:r>
      <w:r w:rsidRPr="00F53E39">
        <w:t xml:space="preserve"> includes their overseas territories. Data on China excludes Special Administrative Regions and Taiwan.</w:t>
      </w:r>
    </w:p>
    <w:p w14:paraId="30CBF67B" w14:textId="77777777" w:rsidR="00784C19" w:rsidRPr="00F53E39" w:rsidRDefault="00784C19" w:rsidP="00784C19">
      <w:pPr>
        <w:pStyle w:val="Bullet"/>
      </w:pPr>
      <w:r>
        <w:t>Australia</w:t>
      </w:r>
      <w:r w:rsidRPr="00F53E39">
        <w:t xml:space="preserve"> appears in the list of countries due to approvals where:</w:t>
      </w:r>
    </w:p>
    <w:p w14:paraId="1BBB90A6" w14:textId="1D7008AE" w:rsidR="00784C19" w:rsidRPr="00F53E39" w:rsidRDefault="00784C19" w:rsidP="00784C19">
      <w:pPr>
        <w:pStyle w:val="Dash"/>
      </w:pPr>
      <w:r w:rsidRPr="00F53E39">
        <w:t>Australians hold disclosed beneficial interests in the investor</w:t>
      </w:r>
    </w:p>
    <w:p w14:paraId="05A8E59F" w14:textId="49DF7C91" w:rsidR="00784C19" w:rsidRPr="00F53E39" w:rsidRDefault="00784C19" w:rsidP="00784C19">
      <w:pPr>
        <w:pStyle w:val="Dash"/>
      </w:pPr>
      <w:r w:rsidRPr="00F53E39">
        <w:t>widely held interests have been allocated to Australia based on other factors such as locat</w:t>
      </w:r>
      <w:r>
        <w:t>ion or control of the investor</w:t>
      </w:r>
    </w:p>
    <w:p w14:paraId="3B7DAE29" w14:textId="42DF1CC7" w:rsidR="00784C19" w:rsidRPr="00F53E39" w:rsidRDefault="00784C19" w:rsidP="00784C19">
      <w:pPr>
        <w:pStyle w:val="Dash"/>
      </w:pPr>
      <w:r w:rsidRPr="00F53E39">
        <w:lastRenderedPageBreak/>
        <w:t xml:space="preserve">an Australian investor(s) jointly intends to make a proposed investment with a foreign </w:t>
      </w:r>
      <w:r>
        <w:t>person through a new entity</w:t>
      </w:r>
    </w:p>
    <w:p w14:paraId="5F8F2F3A" w14:textId="77777777" w:rsidR="00784C19" w:rsidRDefault="00784C19" w:rsidP="00784C19">
      <w:pPr>
        <w:pStyle w:val="Dash"/>
      </w:pPr>
      <w:r w:rsidRPr="00F53E39">
        <w:t>an Australian investor(s) intends to jointly establish a new business with a foreign government investor.</w:t>
      </w:r>
    </w:p>
    <w:p w14:paraId="13139B71" w14:textId="77777777" w:rsidR="00784C19" w:rsidRPr="00717B61" w:rsidRDefault="00784C19" w:rsidP="00DC1928">
      <w:pPr>
        <w:pStyle w:val="Heading3"/>
      </w:pPr>
      <w:bookmarkStart w:id="240" w:name="_Toc80368810"/>
      <w:bookmarkStart w:id="241" w:name="_Toc87014341"/>
      <w:bookmarkStart w:id="242" w:name="_Toc89851726"/>
      <w:r w:rsidRPr="00717B61">
        <w:t>Industry Sectors</w:t>
      </w:r>
      <w:bookmarkEnd w:id="240"/>
      <w:bookmarkEnd w:id="241"/>
      <w:bookmarkEnd w:id="242"/>
    </w:p>
    <w:p w14:paraId="723EE995" w14:textId="77777777" w:rsidR="00784C19" w:rsidRPr="003964C1" w:rsidRDefault="00784C19" w:rsidP="00784C19">
      <w:pPr>
        <w:pStyle w:val="Bullet"/>
      </w:pPr>
      <w:r w:rsidRPr="003964C1">
        <w:t>Figures on approvals by industry sector in this report are recorded by target acquired, reflecting the industry sector of the target. For example, one application to acquire two</w:t>
      </w:r>
      <w:r>
        <w:t> </w:t>
      </w:r>
      <w:r w:rsidRPr="003964C1">
        <w:t>targets (under the single agreement) that operate in separate sectors will appear as two</w:t>
      </w:r>
      <w:r>
        <w:t> </w:t>
      </w:r>
      <w:r w:rsidRPr="003964C1">
        <w:t xml:space="preserve">approvals, with one approval recorded per sector. If they operate in the same sector, this will appear as two approvals recorded against the sector. Hence the total number of approvals in </w:t>
      </w:r>
      <w:r>
        <w:t>T</w:t>
      </w:r>
      <w:r w:rsidRPr="003964C1">
        <w:t>able</w:t>
      </w:r>
      <w:r>
        <w:t> </w:t>
      </w:r>
      <w:r w:rsidRPr="00ED7089">
        <w:t>3.7</w:t>
      </w:r>
      <w:r w:rsidRPr="003964C1">
        <w:t xml:space="preserve"> may be greater than or equal to the total number of approvals in </w:t>
      </w:r>
      <w:r>
        <w:t>T</w:t>
      </w:r>
      <w:r w:rsidRPr="003964C1">
        <w:t>able</w:t>
      </w:r>
      <w:r>
        <w:t>s </w:t>
      </w:r>
      <w:r w:rsidRPr="00ED7089">
        <w:t>3.1</w:t>
      </w:r>
      <w:r w:rsidRPr="003964C1">
        <w:t xml:space="preserve"> and </w:t>
      </w:r>
      <w:r w:rsidRPr="00ED7089">
        <w:t>3.3</w:t>
      </w:r>
      <w:r w:rsidRPr="003964C1">
        <w:t>.</w:t>
      </w:r>
    </w:p>
    <w:p w14:paraId="7293E76C" w14:textId="77777777" w:rsidR="00784C19" w:rsidRPr="003964C1" w:rsidRDefault="00784C19" w:rsidP="00784C19">
      <w:pPr>
        <w:pStyle w:val="Bullet"/>
      </w:pPr>
      <w:r w:rsidRPr="003964C1">
        <w:t xml:space="preserve">Proposed acquisitions of diversified company groups are classified into a single industry sector according to the major activity of the group, such as in a diversified mining company with interests in various minerals. </w:t>
      </w:r>
    </w:p>
    <w:p w14:paraId="2F220276" w14:textId="77777777" w:rsidR="00784C19" w:rsidRPr="003964C1" w:rsidRDefault="00784C19" w:rsidP="00784C19">
      <w:pPr>
        <w:pStyle w:val="Bullet"/>
      </w:pPr>
      <w:r w:rsidRPr="003964C1">
        <w:t>Proposed acquisitions of land, including land entities and mining, production or exploration entities, are classified as follows:</w:t>
      </w:r>
    </w:p>
    <w:p w14:paraId="46C535D2" w14:textId="660FF2B9" w:rsidR="00784C19" w:rsidRPr="003964C1" w:rsidRDefault="00784C19" w:rsidP="00784C19">
      <w:pPr>
        <w:pStyle w:val="Dash"/>
      </w:pPr>
      <w:r w:rsidRPr="003964C1">
        <w:t>commercial land and residential land are reported in the real estate sector</w:t>
      </w:r>
    </w:p>
    <w:p w14:paraId="16AE81AC" w14:textId="12C18FE0" w:rsidR="00784C19" w:rsidRPr="003964C1" w:rsidRDefault="00784C19" w:rsidP="00784C19">
      <w:pPr>
        <w:pStyle w:val="Dash"/>
      </w:pPr>
      <w:r w:rsidRPr="003964C1">
        <w:t>agricultural land is included in the agriculture, forestry and fishing sector and within this industry, is allocated based on actual use, or if not currently being used for a primary production business, based on its likely use as agricultural land</w:t>
      </w:r>
    </w:p>
    <w:p w14:paraId="3FB168CB" w14:textId="77777777" w:rsidR="00784C19" w:rsidRPr="003964C1" w:rsidRDefault="00784C19" w:rsidP="00784C19">
      <w:pPr>
        <w:pStyle w:val="Dash"/>
      </w:pPr>
      <w:r w:rsidRPr="003964C1">
        <w:t>tenements are included in the mineral exploration and development sector and within this industry are allocated based on the mineral, oil or gas that can be recovered</w:t>
      </w:r>
      <w:r>
        <w:t>.</w:t>
      </w:r>
    </w:p>
    <w:p w14:paraId="140E0E43" w14:textId="16ED09AB" w:rsidR="00784C19" w:rsidRDefault="00784C19" w:rsidP="00784C19">
      <w:pPr>
        <w:pStyle w:val="Bullet"/>
      </w:pPr>
      <w:r w:rsidRPr="003964C1">
        <w:t xml:space="preserve">One </w:t>
      </w:r>
      <w:r w:rsidR="00A7684A">
        <w:t>N</w:t>
      </w:r>
      <w:r w:rsidRPr="003964C1">
        <w:t xml:space="preserve">ew </w:t>
      </w:r>
      <w:r w:rsidR="00A7684A">
        <w:t>D</w:t>
      </w:r>
      <w:r w:rsidRPr="003964C1">
        <w:t xml:space="preserve">welling </w:t>
      </w:r>
      <w:r w:rsidR="00A7684A">
        <w:t>E</w:t>
      </w:r>
      <w:r w:rsidRPr="003964C1">
        <w:t xml:space="preserve">xemption </w:t>
      </w:r>
      <w:r w:rsidR="00A7684A">
        <w:t>C</w:t>
      </w:r>
      <w:r w:rsidRPr="003964C1">
        <w:t xml:space="preserve">ertificate (previously advanced </w:t>
      </w:r>
      <w:r w:rsidR="00065800">
        <w:t>‘</w:t>
      </w:r>
      <w:r w:rsidRPr="003964C1">
        <w:t>off</w:t>
      </w:r>
      <w:r w:rsidR="003E7C79">
        <w:t>–</w:t>
      </w:r>
      <w:r w:rsidRPr="003964C1">
        <w:t>the</w:t>
      </w:r>
      <w:r w:rsidR="003E7C79">
        <w:t>–</w:t>
      </w:r>
      <w:r w:rsidRPr="003964C1">
        <w:t>plan</w:t>
      </w:r>
      <w:r w:rsidR="00065800">
        <w:t>’</w:t>
      </w:r>
      <w:r w:rsidRPr="003964C1">
        <w:t xml:space="preserve"> certificate) equates to one approval in terms of the number of approvals but the value reflects the maximum amount that foreign persons may acquire under the certificate in the proposed development. </w:t>
      </w:r>
    </w:p>
    <w:p w14:paraId="7A45E3FF" w14:textId="77777777" w:rsidR="00784C19" w:rsidRDefault="00784C19" w:rsidP="00784C19">
      <w:pPr>
        <w:pStyle w:val="Bullet"/>
      </w:pPr>
      <w:r>
        <w:t>Tables </w:t>
      </w:r>
      <w:r w:rsidRPr="00ED7089">
        <w:t>3.7</w:t>
      </w:r>
      <w:r>
        <w:t xml:space="preserve"> to </w:t>
      </w:r>
      <w:r w:rsidRPr="00ED7089">
        <w:t>3.15</w:t>
      </w:r>
      <w:r>
        <w:t>, and their corresponding charts, exclude approvals of new businesses and internal reorganisations. An industry breakdown of new business approvals is provided in Table </w:t>
      </w:r>
      <w:r w:rsidRPr="00ED7089">
        <w:t>3.16</w:t>
      </w:r>
      <w:r>
        <w:t>.</w:t>
      </w:r>
    </w:p>
    <w:p w14:paraId="6648AEA9" w14:textId="379538E5" w:rsidR="00784C19" w:rsidRPr="003964C1" w:rsidRDefault="00784C19" w:rsidP="00784C19">
      <w:pPr>
        <w:pStyle w:val="Bullet"/>
      </w:pPr>
      <w:r>
        <w:t xml:space="preserve">In tables providing breakdowns by states and territories, </w:t>
      </w:r>
      <w:r w:rsidR="00065800">
        <w:t>‘</w:t>
      </w:r>
      <w:r>
        <w:t>Various</w:t>
      </w:r>
      <w:r w:rsidR="00065800">
        <w:t>’</w:t>
      </w:r>
      <w:r>
        <w:t xml:space="preserve"> refers to</w:t>
      </w:r>
      <w:r w:rsidRPr="00F3272D">
        <w:t xml:space="preserve"> approvals where the proposed investment is to be undertaken in more than one state or territory.</w:t>
      </w:r>
    </w:p>
    <w:p w14:paraId="0D618182" w14:textId="77777777" w:rsidR="00784C19" w:rsidRPr="00AA63DC" w:rsidRDefault="00784C19" w:rsidP="00DC1928">
      <w:pPr>
        <w:pStyle w:val="Heading3"/>
      </w:pPr>
      <w:bookmarkStart w:id="243" w:name="_Toc80368811"/>
      <w:bookmarkStart w:id="244" w:name="_Toc87014342"/>
      <w:bookmarkStart w:id="245" w:name="_Toc89851727"/>
      <w:r w:rsidRPr="00AA63DC">
        <w:lastRenderedPageBreak/>
        <w:t>Consideration Value</w:t>
      </w:r>
      <w:bookmarkEnd w:id="243"/>
      <w:bookmarkEnd w:id="244"/>
      <w:bookmarkEnd w:id="245"/>
    </w:p>
    <w:p w14:paraId="70B21238" w14:textId="77777777" w:rsidR="00784C19" w:rsidRPr="00A84283" w:rsidRDefault="00784C19" w:rsidP="00784C19">
      <w:pPr>
        <w:pStyle w:val="Bullet"/>
      </w:pPr>
      <w:r w:rsidRPr="00A84283">
        <w:t xml:space="preserve">The value ascribed to a proposed investment which has received approval is the amount agreed to in any contract entered into or a reasonable estimate advised by the applicant based on the available information. It represents an estimate of the expected proposed investment in the 12 months from the approval unless the approval is granted for a longer period (and assumes full implementation). In </w:t>
      </w:r>
      <w:r>
        <w:t>application</w:t>
      </w:r>
      <w:r w:rsidRPr="00A84283">
        <w:t>s where the acquisition has already been completed, it is the amount paid for the interest acquired.</w:t>
      </w:r>
    </w:p>
    <w:p w14:paraId="7A71DECF" w14:textId="77777777" w:rsidR="00784C19" w:rsidRPr="00A84283" w:rsidRDefault="00784C19" w:rsidP="00784C19">
      <w:pPr>
        <w:pStyle w:val="Dash"/>
      </w:pPr>
      <w:r w:rsidRPr="00A84283">
        <w:t>Where an approved acquisition is a part of an offshore acquisition, the proposed investment figure is calculated based on the share attributable to the approved acquisition in Australia.</w:t>
      </w:r>
    </w:p>
    <w:p w14:paraId="7D7D9DC3" w14:textId="77777777" w:rsidR="00784C19" w:rsidRPr="00A84283" w:rsidRDefault="00784C19" w:rsidP="00784C19">
      <w:pPr>
        <w:pStyle w:val="Dash"/>
      </w:pPr>
      <w:r w:rsidRPr="00A84283">
        <w:t>Where amounts are in a foreign currency, this is converted to Australian dollars based on the exchange rate at the time of the contract or when the application was made.</w:t>
      </w:r>
    </w:p>
    <w:p w14:paraId="571A37B3" w14:textId="77777777" w:rsidR="00784C19" w:rsidRDefault="00784C19" w:rsidP="00784C19">
      <w:pPr>
        <w:pStyle w:val="Dash"/>
      </w:pPr>
      <w:r w:rsidRPr="00A84283">
        <w:t>There are some approvals for which proposed investment is treated as nil. Examples include internal corporate reorganisation and financing arrangement approvals.</w:t>
      </w:r>
    </w:p>
    <w:p w14:paraId="23D7C398" w14:textId="68A03563" w:rsidR="00784C19" w:rsidRPr="00A84283" w:rsidRDefault="00784C19" w:rsidP="00784C19">
      <w:pPr>
        <w:pStyle w:val="Bullet"/>
      </w:pPr>
      <w:r w:rsidRPr="00A84283">
        <w:t xml:space="preserve">Proposed investment recorded for </w:t>
      </w:r>
      <w:r w:rsidR="00A7684A">
        <w:t xml:space="preserve">ECs </w:t>
      </w:r>
      <w:r w:rsidRPr="00A84283">
        <w:t xml:space="preserve">is the maximum investment that may be made by foreign persons covered by the certificate over the duration of the certificate. Actual foreign investment under </w:t>
      </w:r>
      <w:r w:rsidR="00A7684A">
        <w:t>N</w:t>
      </w:r>
      <w:r w:rsidRPr="00A84283">
        <w:t xml:space="preserve">ew </w:t>
      </w:r>
      <w:r w:rsidR="00A7684A">
        <w:t>D</w:t>
      </w:r>
      <w:r w:rsidRPr="00A84283">
        <w:t xml:space="preserve">welling </w:t>
      </w:r>
      <w:r w:rsidR="00A7684A">
        <w:t>E</w:t>
      </w:r>
      <w:r w:rsidRPr="00A84283">
        <w:t xml:space="preserve">xemption </w:t>
      </w:r>
      <w:r w:rsidR="00A7684A">
        <w:t>C</w:t>
      </w:r>
      <w:r w:rsidRPr="00A84283">
        <w:t xml:space="preserve">ertificates </w:t>
      </w:r>
      <w:r w:rsidR="00A7684A">
        <w:t>are</w:t>
      </w:r>
      <w:r w:rsidRPr="00A84283">
        <w:t xml:space="preserve"> likely to take place over multiple years during the sale phase of the covered de</w:t>
      </w:r>
      <w:r>
        <w:t>velopment. Also, as of December </w:t>
      </w:r>
      <w:r w:rsidRPr="00A84283">
        <w:t xml:space="preserve">2015, </w:t>
      </w:r>
      <w:r w:rsidR="00A7684A">
        <w:t xml:space="preserve">ECs </w:t>
      </w:r>
      <w:r w:rsidRPr="00A84283">
        <w:t>for foreign persons (formerly known as annual programs) are no longer limited to a maximum 12</w:t>
      </w:r>
      <w:r>
        <w:t> </w:t>
      </w:r>
      <w:r w:rsidRPr="00A84283">
        <w:t>month period and so investments under these certificates may take place over a longer period</w:t>
      </w:r>
      <w:r>
        <w:t>, generally up to a maximum of three years</w:t>
      </w:r>
      <w:r w:rsidRPr="00A84283">
        <w:t>.</w:t>
      </w:r>
    </w:p>
    <w:p w14:paraId="27775179" w14:textId="1462DA31" w:rsidR="00784C19" w:rsidRPr="00A84283" w:rsidRDefault="00784C19" w:rsidP="00784C19">
      <w:pPr>
        <w:pStyle w:val="Dash"/>
      </w:pPr>
      <w:r w:rsidRPr="00A84283">
        <w:t xml:space="preserve">For </w:t>
      </w:r>
      <w:r w:rsidR="00A7684A">
        <w:t>N</w:t>
      </w:r>
      <w:r w:rsidRPr="00A84283">
        <w:t xml:space="preserve">ew </w:t>
      </w:r>
      <w:r w:rsidR="00A7684A">
        <w:t>D</w:t>
      </w:r>
      <w:r w:rsidRPr="00A84283">
        <w:t xml:space="preserve">welling </w:t>
      </w:r>
      <w:r w:rsidR="00A7684A">
        <w:t>E</w:t>
      </w:r>
      <w:r w:rsidR="00B75EDE">
        <w:t xml:space="preserve">Cs </w:t>
      </w:r>
      <w:r w:rsidRPr="00A84283">
        <w:t xml:space="preserve"> which allow developers to receive pre</w:t>
      </w:r>
      <w:r w:rsidR="003E7C79">
        <w:t>–</w:t>
      </w:r>
      <w:r w:rsidRPr="00A84283">
        <w:t>approval on behalf of foreign persons to enable foreign persons to purchase up to 50</w:t>
      </w:r>
      <w:r>
        <w:t> per </w:t>
      </w:r>
      <w:r w:rsidRPr="00A84283">
        <w:t>cent of new dwellings within a development up to a cumulative val</w:t>
      </w:r>
      <w:r>
        <w:t>ue of $3 </w:t>
      </w:r>
      <w:r w:rsidRPr="00A84283">
        <w:t>million</w:t>
      </w:r>
      <w:r>
        <w:t> per </w:t>
      </w:r>
      <w:r w:rsidRPr="00A84283">
        <w:t>investor in a single development, the approved investment figure may overstate the extent of actual foreign purchases.</w:t>
      </w:r>
    </w:p>
    <w:p w14:paraId="277D4BBA" w14:textId="0C5A2C6F" w:rsidR="00784C19" w:rsidRPr="00A84283" w:rsidRDefault="00784C19" w:rsidP="00784C19">
      <w:pPr>
        <w:pStyle w:val="Dash"/>
      </w:pPr>
      <w:r w:rsidRPr="00A84283">
        <w:t>Near</w:t>
      </w:r>
      <w:r w:rsidR="003E7C79">
        <w:t>–</w:t>
      </w:r>
      <w:r w:rsidR="00B75EDE">
        <w:t>N</w:t>
      </w:r>
      <w:r w:rsidRPr="00A84283">
        <w:t xml:space="preserve">ew </w:t>
      </w:r>
      <w:r w:rsidR="00B75EDE">
        <w:t>D</w:t>
      </w:r>
      <w:r w:rsidRPr="00A84283">
        <w:t xml:space="preserve">welling </w:t>
      </w:r>
      <w:r w:rsidR="00B75EDE">
        <w:t>ECs</w:t>
      </w:r>
      <w:r w:rsidRPr="00A84283" w:rsidDel="00B75EDE">
        <w:t xml:space="preserve"> </w:t>
      </w:r>
      <w:r w:rsidRPr="00A84283">
        <w:t xml:space="preserve">will generally be given a nil value as the maximum value of proposed investment for the development will have been attributed to any associated </w:t>
      </w:r>
      <w:r w:rsidR="0038068D">
        <w:t>N</w:t>
      </w:r>
      <w:r w:rsidRPr="00A84283">
        <w:t xml:space="preserve">ew </w:t>
      </w:r>
      <w:r w:rsidR="0038068D">
        <w:t>D</w:t>
      </w:r>
      <w:r w:rsidRPr="00A84283">
        <w:t xml:space="preserve">welling </w:t>
      </w:r>
      <w:r w:rsidR="0038068D">
        <w:t>E</w:t>
      </w:r>
      <w:r w:rsidR="00B63F32">
        <w:t>C</w:t>
      </w:r>
      <w:r w:rsidRPr="00A84283">
        <w:t xml:space="preserve"> in the year th</w:t>
      </w:r>
      <w:r>
        <w:t>at the certificate was granted.</w:t>
      </w:r>
    </w:p>
    <w:p w14:paraId="0CCEDDF7" w14:textId="77777777" w:rsidR="00784C19" w:rsidRPr="003964C1" w:rsidRDefault="00784C19" w:rsidP="00784C19">
      <w:pPr>
        <w:pStyle w:val="Bullet"/>
      </w:pPr>
      <w:r w:rsidRPr="00A84283">
        <w:t xml:space="preserve">Proposed investment values allocated against source countries assume that investment funds will be sourced from overseas. The extent to which approved proposed investment will actually be funded from outside of Australia and result in foreign capital inflows depends not only upon whether they are implemented, but also upon the proportion that is financed from foreign sources. The proposed funds to be invested may be contributed by Australians, for example, where they are in partnership with foreign interests, or where the investment is </w:t>
      </w:r>
      <w:r w:rsidRPr="003964C1">
        <w:t>financed from existing Australian operations.</w:t>
      </w:r>
    </w:p>
    <w:p w14:paraId="7725F377" w14:textId="0D6C902F" w:rsidR="00784C19" w:rsidRPr="003964C1" w:rsidRDefault="00784C19" w:rsidP="00784C19">
      <w:pPr>
        <w:pStyle w:val="Bullet"/>
      </w:pPr>
      <w:r w:rsidRPr="003964C1">
        <w:lastRenderedPageBreak/>
        <w:t xml:space="preserve">The value ascribed to a </w:t>
      </w:r>
      <w:r w:rsidR="0038068D">
        <w:t>N</w:t>
      </w:r>
      <w:r w:rsidRPr="003964C1">
        <w:t xml:space="preserve">ew </w:t>
      </w:r>
      <w:r w:rsidR="0038068D">
        <w:t>D</w:t>
      </w:r>
      <w:r w:rsidRPr="003964C1">
        <w:t xml:space="preserve">welling </w:t>
      </w:r>
      <w:r w:rsidR="0038068D">
        <w:t>EC</w:t>
      </w:r>
      <w:r w:rsidRPr="003964C1" w:rsidDel="0038068D">
        <w:t xml:space="preserve"> </w:t>
      </w:r>
      <w:r w:rsidRPr="003964C1">
        <w:t xml:space="preserve">is the total estimated sales value of the new dwellings in the development available for purchase by foreign persons. The value recorded is as provided by the applicant when applying for the </w:t>
      </w:r>
      <w:r w:rsidR="0038068D">
        <w:t>EC</w:t>
      </w:r>
      <w:r w:rsidRPr="003964C1">
        <w:t xml:space="preserve">. </w:t>
      </w:r>
    </w:p>
    <w:p w14:paraId="05FA18EA" w14:textId="6181820E" w:rsidR="00784C19" w:rsidRPr="00E25F71" w:rsidRDefault="00784C19" w:rsidP="00784C19">
      <w:pPr>
        <w:pStyle w:val="Bullet"/>
      </w:pPr>
      <w:r w:rsidRPr="003964C1">
        <w:t xml:space="preserve">Throughout this report </w:t>
      </w:r>
      <w:r w:rsidR="00065800">
        <w:t>‘</w:t>
      </w:r>
      <w:r w:rsidRPr="003964C1">
        <w:t>0.0</w:t>
      </w:r>
      <w:r w:rsidR="00065800">
        <w:t>’</w:t>
      </w:r>
      <w:r w:rsidRPr="003964C1">
        <w:t xml:space="preserve"> indicates a figure of less than $50</w:t>
      </w:r>
      <w:r>
        <w:t> </w:t>
      </w:r>
      <w:r w:rsidRPr="003964C1">
        <w:t>million.</w:t>
      </w:r>
      <w:r w:rsidRPr="00E25F71">
        <w:t xml:space="preserve"> </w:t>
      </w:r>
    </w:p>
    <w:p w14:paraId="756CD9BF" w14:textId="77777777" w:rsidR="00597834" w:rsidRPr="00CE2FB6" w:rsidRDefault="00597834" w:rsidP="00DC1928">
      <w:pPr>
        <w:pStyle w:val="Heading2"/>
      </w:pPr>
      <w:bookmarkStart w:id="246" w:name="_Toc79476816"/>
      <w:bookmarkStart w:id="247" w:name="_Toc89872901"/>
      <w:bookmarkStart w:id="248" w:name="_Toc89872948"/>
      <w:r w:rsidRPr="00CE2FB6">
        <w:t>Policy changes</w:t>
      </w:r>
      <w:bookmarkEnd w:id="246"/>
      <w:bookmarkEnd w:id="247"/>
      <w:bookmarkEnd w:id="248"/>
    </w:p>
    <w:p w14:paraId="6BEA77CF" w14:textId="77777777" w:rsidR="00597834" w:rsidRPr="00CE2FB6" w:rsidRDefault="00597834" w:rsidP="00597834">
      <w:r w:rsidRPr="00CE2FB6">
        <w:t>The breadth of the data on proposed investment in these Annual Reports reflects the requirements under the foreign investment framework during the applicable reporting period. These requirements have changed over time, and in some instances, during a reporting period.</w:t>
      </w:r>
    </w:p>
    <w:p w14:paraId="1D03311E" w14:textId="7395DFB3" w:rsidR="00597834" w:rsidRPr="00CE2FB6" w:rsidRDefault="00597834" w:rsidP="00597834">
      <w:r w:rsidRPr="00CE2FB6">
        <w:t xml:space="preserve">In this context, the data for the first two quarters of </w:t>
      </w:r>
      <w:r w:rsidR="00D76ED2">
        <w:t>2020</w:t>
      </w:r>
      <w:r w:rsidR="00D76ED2">
        <w:noBreakHyphen/>
        <w:t>21</w:t>
      </w:r>
      <w:r w:rsidRPr="00CE2FB6">
        <w:t xml:space="preserve"> captures intended foreign investments that were below the ordinary screening thresholds that would normally apply under the Act because of the 29 March 2020 introduction of the </w:t>
      </w:r>
      <w:r w:rsidR="00F65967" w:rsidRPr="00CE2FB6">
        <w:t>temporary zero dollar screening thresholds</w:t>
      </w:r>
      <w:r w:rsidR="00F65967" w:rsidRPr="00CE2FB6" w:rsidDel="00F65967">
        <w:t xml:space="preserve"> </w:t>
      </w:r>
      <w:r w:rsidRPr="00CE2FB6">
        <w:t xml:space="preserve">for all investment categories. Data from the third and fourth quarters of </w:t>
      </w:r>
      <w:r w:rsidR="00D76ED2">
        <w:t>2020</w:t>
      </w:r>
      <w:r w:rsidR="00D76ED2">
        <w:noBreakHyphen/>
        <w:t>21</w:t>
      </w:r>
      <w:r w:rsidRPr="00CE2FB6">
        <w:t xml:space="preserve"> reflect those proposed investments captured under the screening thresholds of the post</w:t>
      </w:r>
      <w:r w:rsidR="003E7C79">
        <w:t>–</w:t>
      </w:r>
      <w:r w:rsidRPr="00CE2FB6">
        <w:t>reform framework.</w:t>
      </w:r>
    </w:p>
    <w:p w14:paraId="1E801B8D" w14:textId="1611F581" w:rsidR="00597834" w:rsidRPr="00CE2FB6" w:rsidRDefault="00597834" w:rsidP="00597834">
      <w:r w:rsidRPr="00CE2FB6">
        <w:t>The data does not cover follow</w:t>
      </w:r>
      <w:r w:rsidR="003E7C79">
        <w:t>–</w:t>
      </w:r>
      <w:r w:rsidRPr="00CE2FB6">
        <w:t>on investments to expand the capital stock of existing foreign owned businesses (both in existing areas and into related areas) such as pro</w:t>
      </w:r>
      <w:r w:rsidR="003E7C79">
        <w:t>–</w:t>
      </w:r>
      <w:r w:rsidRPr="00CE2FB6">
        <w:t>rata capital injections. For example, additional investment by a foreign owned miner expanding its mining operations by reinvesting its Australian profits in its operations is not reflected in the data.</w:t>
      </w:r>
    </w:p>
    <w:p w14:paraId="33ADA6EC" w14:textId="51FC88B7" w:rsidR="00597834" w:rsidRPr="00CE2FB6" w:rsidRDefault="00597834" w:rsidP="00597834">
      <w:r w:rsidRPr="00CE2FB6">
        <w:t>Policy and legislative change can have a considerable impact on the continuity of data. For instance, changes in Australia</w:t>
      </w:r>
      <w:r w:rsidR="00065800">
        <w:t>’</w:t>
      </w:r>
      <w:r w:rsidRPr="00CE2FB6">
        <w:t>s foreign investment policy since the mid</w:t>
      </w:r>
      <w:r w:rsidR="003E7C79">
        <w:t>–</w:t>
      </w:r>
      <w:r w:rsidRPr="00CE2FB6">
        <w:t>1980s have affected the number of some types of proposals, limiting comparability over time. Recent changes include:</w:t>
      </w:r>
    </w:p>
    <w:p w14:paraId="27E97624" w14:textId="1E4F58AC" w:rsidR="00597834" w:rsidRPr="00CE2FB6" w:rsidRDefault="00597834" w:rsidP="00597834">
      <w:pPr>
        <w:pStyle w:val="Bullet"/>
      </w:pPr>
      <w:r w:rsidRPr="00CE2FB6">
        <w:t xml:space="preserve">temporary measures in 2020 in response to </w:t>
      </w:r>
      <w:r w:rsidR="00205C62">
        <w:t>COVID-19</w:t>
      </w:r>
      <w:r w:rsidRPr="00CE2FB6">
        <w:t xml:space="preserve"> (application review timeframes, fee and exemption certificate changes, and </w:t>
      </w:r>
      <w:bookmarkStart w:id="249" w:name="_Hlk80709845"/>
      <w:proofErr w:type="gramStart"/>
      <w:r w:rsidRPr="00CE2FB6">
        <w:t>zero dollar</w:t>
      </w:r>
      <w:proofErr w:type="gramEnd"/>
      <w:r w:rsidRPr="00CE2FB6">
        <w:t xml:space="preserve"> screening </w:t>
      </w:r>
      <w:bookmarkEnd w:id="249"/>
      <w:r w:rsidRPr="00CE2FB6">
        <w:t>of investments)</w:t>
      </w:r>
    </w:p>
    <w:p w14:paraId="426604B7" w14:textId="77777777" w:rsidR="00597834" w:rsidRPr="00CE2FB6" w:rsidRDefault="00597834" w:rsidP="00597834">
      <w:pPr>
        <w:pStyle w:val="Bullet"/>
      </w:pPr>
      <w:r w:rsidRPr="00CE2FB6">
        <w:t>the major 1 January 2021 reforms which included:</w:t>
      </w:r>
    </w:p>
    <w:p w14:paraId="5ECFBED0" w14:textId="6519D41A" w:rsidR="00597834" w:rsidRPr="00CE2FB6" w:rsidRDefault="00597834" w:rsidP="00597834">
      <w:pPr>
        <w:pStyle w:val="Dash"/>
      </w:pPr>
      <w:r w:rsidRPr="00CE2FB6">
        <w:t>powers to protect national security through mandatory screening of investments in sensitive businesses at zero dollars, the ability to call in other investments that may pose national security concerns, and a last resort power to be used only in exceptional circumstances</w:t>
      </w:r>
    </w:p>
    <w:p w14:paraId="62D825B3" w14:textId="77777777" w:rsidR="00597834" w:rsidRPr="00CE2FB6" w:rsidRDefault="00597834" w:rsidP="00597834">
      <w:pPr>
        <w:pStyle w:val="Dash"/>
      </w:pPr>
      <w:r w:rsidRPr="00CE2FB6">
        <w:t>stronger compliance and enforcement powers, such as expanded infringement notices and higher civil and criminal penalties, in line comparable foreign investment regulators;</w:t>
      </w:r>
    </w:p>
    <w:p w14:paraId="192B32B3" w14:textId="732BC86C" w:rsidR="00597834" w:rsidRPr="00CE2FB6" w:rsidRDefault="00597834" w:rsidP="00597834">
      <w:pPr>
        <w:pStyle w:val="Dash"/>
      </w:pPr>
      <w:r w:rsidRPr="00CE2FB6">
        <w:t xml:space="preserve">measures to streamline certain </w:t>
      </w:r>
      <w:r w:rsidR="00BF51F4" w:rsidRPr="00CE2FB6">
        <w:t>non-sensitive</w:t>
      </w:r>
      <w:r w:rsidRPr="00CE2FB6">
        <w:t xml:space="preserve"> investments, particularly by investment funds with passive foreign government investors</w:t>
      </w:r>
    </w:p>
    <w:p w14:paraId="2944BB5F" w14:textId="1E63EC1E" w:rsidR="00597834" w:rsidRPr="00CE2FB6" w:rsidRDefault="00597834" w:rsidP="00597834">
      <w:pPr>
        <w:pStyle w:val="Dash"/>
      </w:pPr>
      <w:r w:rsidRPr="00CE2FB6">
        <w:t xml:space="preserve">a new Register of Foreign Ownership of Australia Assets to record all foreign interests acquired in Australian land, water entitlements and contractual water rights, and </w:t>
      </w:r>
      <w:r w:rsidRPr="00CE2FB6">
        <w:lastRenderedPageBreak/>
        <w:t>business acquisitions that require foreign investment approvals (including acquisitions reviewed under the national security test)</w:t>
      </w:r>
    </w:p>
    <w:p w14:paraId="4CD4E3C8" w14:textId="77777777" w:rsidR="00597834" w:rsidRPr="00CE2FB6" w:rsidRDefault="00597834" w:rsidP="00597834">
      <w:pPr>
        <w:pStyle w:val="Dash"/>
      </w:pPr>
      <w:r w:rsidRPr="00CE2FB6">
        <w:t>new fees that ensure the cost of administering the framework continues to be borne by foreign investors, not Australian taxpayers.</w:t>
      </w:r>
    </w:p>
    <w:p w14:paraId="1264F751" w14:textId="371A0D5C" w:rsidR="00DD7B34" w:rsidRDefault="00DD7B34" w:rsidP="00DD7B34">
      <w:pPr>
        <w:pStyle w:val="Bullet"/>
        <w:numPr>
          <w:ilvl w:val="0"/>
          <w:numId w:val="0"/>
        </w:numPr>
        <w:ind w:left="284" w:hanging="284"/>
      </w:pPr>
    </w:p>
    <w:p w14:paraId="58C8207D" w14:textId="77777777" w:rsidR="008559E1" w:rsidRDefault="008559E1">
      <w:pPr>
        <w:spacing w:after="0" w:line="240" w:lineRule="auto"/>
        <w:jc w:val="left"/>
        <w:rPr>
          <w:rFonts w:ascii="Calibri" w:hAnsi="Calibri"/>
          <w:b/>
          <w:sz w:val="22"/>
        </w:rPr>
      </w:pPr>
      <w:bookmarkStart w:id="250" w:name="_Toc78898812"/>
      <w:r>
        <w:br w:type="page"/>
      </w:r>
    </w:p>
    <w:p w14:paraId="4E28F810" w14:textId="7DFFC8D2" w:rsidR="00DD7B34" w:rsidRPr="00CE2FB6" w:rsidRDefault="00DD7B34" w:rsidP="00DC1928">
      <w:pPr>
        <w:pStyle w:val="ChartMainHeading"/>
      </w:pPr>
      <w:bookmarkStart w:id="251" w:name="_Toc100146846"/>
      <w:r w:rsidRPr="00CE2FB6">
        <w:lastRenderedPageBreak/>
        <w:t xml:space="preserve">Timeline of Methodology and </w:t>
      </w:r>
      <w:r w:rsidRPr="00DC1928">
        <w:t>Policy</w:t>
      </w:r>
      <w:r w:rsidRPr="00CE2FB6">
        <w:t xml:space="preserve"> Changes</w:t>
      </w:r>
      <w:bookmarkEnd w:id="250"/>
      <w:bookmarkEnd w:id="251"/>
    </w:p>
    <w:p w14:paraId="57975B7C" w14:textId="2AEAF515" w:rsidR="00DD7B34" w:rsidRPr="00CE2FB6" w:rsidRDefault="00DC1928" w:rsidP="00DC1928">
      <w:pPr>
        <w:pStyle w:val="Heading3noTOC"/>
      </w:pPr>
      <w:r>
        <w:t>2016</w:t>
      </w:r>
      <w:r>
        <w:noBreakHyphen/>
        <w:t>17</w:t>
      </w:r>
    </w:p>
    <w:p w14:paraId="649D9AE2" w14:textId="410D50D5" w:rsidR="00DD7B34" w:rsidRPr="00CE2FB6" w:rsidRDefault="00DD7B34" w:rsidP="00DD7B34">
      <w:pPr>
        <w:pStyle w:val="Bullet"/>
      </w:pPr>
      <w:r w:rsidRPr="00CE2FB6">
        <w:t xml:space="preserve">In </w:t>
      </w:r>
      <w:r w:rsidR="00DC1928">
        <w:t>2016</w:t>
      </w:r>
      <w:r w:rsidR="00DC1928">
        <w:noBreakHyphen/>
        <w:t>17</w:t>
      </w:r>
      <w:r w:rsidRPr="00CE2FB6">
        <w:t xml:space="preserve"> exemption certificates were expanded to cover purchase by any method.</w:t>
      </w:r>
    </w:p>
    <w:p w14:paraId="0D4BAD17" w14:textId="0A78A58B" w:rsidR="00DD7B34" w:rsidRPr="00CE2FB6" w:rsidRDefault="00DD7B34" w:rsidP="00DD7B34">
      <w:pPr>
        <w:pStyle w:val="Bullet"/>
      </w:pPr>
      <w:r w:rsidRPr="00CE2FB6">
        <w:t xml:space="preserve">Additionally, the limiting foreign ownership in new developments reform announced in the </w:t>
      </w:r>
      <w:r w:rsidR="00DC1928">
        <w:t>2017</w:t>
      </w:r>
      <w:r w:rsidR="00DC1928">
        <w:noBreakHyphen/>
        <w:t>18</w:t>
      </w:r>
      <w:r w:rsidRPr="00CE2FB6">
        <w:t xml:space="preserve"> Budget had immediate effect from Budget night, 7.30pm on Tuesday 9 May 2017. </w:t>
      </w:r>
    </w:p>
    <w:p w14:paraId="2B3C0ECB" w14:textId="54CF8752" w:rsidR="00DD7B34" w:rsidRPr="00CE2FB6" w:rsidRDefault="00DC1928" w:rsidP="00DC1928">
      <w:pPr>
        <w:pStyle w:val="Heading3noTOC"/>
      </w:pPr>
      <w:r>
        <w:t>2017</w:t>
      </w:r>
      <w:r>
        <w:noBreakHyphen/>
        <w:t>18</w:t>
      </w:r>
    </w:p>
    <w:p w14:paraId="3A104781" w14:textId="77777777" w:rsidR="00DD7B34" w:rsidRPr="00CE2FB6" w:rsidRDefault="00DD7B34" w:rsidP="00DD7B34">
      <w:pPr>
        <w:pStyle w:val="Bullet"/>
      </w:pPr>
      <w:r w:rsidRPr="00CE2FB6">
        <w:t>Residential land approvals began including a condition to register on the Residential Land Register. Where this is the only condition of the approval, for reporting purposes the approval has been classified as Approved without conditions.</w:t>
      </w:r>
    </w:p>
    <w:p w14:paraId="1D93FDD3" w14:textId="0311663D" w:rsidR="00DD7B34" w:rsidRPr="00CE2FB6" w:rsidRDefault="00DD7B34" w:rsidP="00DD7B34">
      <w:pPr>
        <w:pStyle w:val="Bullet"/>
      </w:pPr>
      <w:r w:rsidRPr="00CE2FB6">
        <w:t>E</w:t>
      </w:r>
      <w:r w:rsidR="0038068D">
        <w:t>C</w:t>
      </w:r>
      <w:r w:rsidRPr="00CE2FB6">
        <w:t xml:space="preserve">s for the certificate holder to purchase one lot of vacant land or one new dwelling were introduced from 1 July 2017. </w:t>
      </w:r>
    </w:p>
    <w:p w14:paraId="517D58F3" w14:textId="34C42BC8" w:rsidR="00DD7B34" w:rsidRPr="00CE2FB6" w:rsidRDefault="00DD7B34" w:rsidP="00DD7B34">
      <w:pPr>
        <w:pStyle w:val="Bullet"/>
      </w:pPr>
      <w:r w:rsidRPr="00CE2FB6">
        <w:t xml:space="preserve">From </w:t>
      </w:r>
      <w:r w:rsidR="00DC1928">
        <w:t>2017</w:t>
      </w:r>
      <w:r w:rsidR="00DC1928">
        <w:noBreakHyphen/>
        <w:t>18</w:t>
      </w:r>
      <w:r w:rsidRPr="00CE2FB6">
        <w:t xml:space="preserve">, the source country(s) of proposed investment is generally allocated based on the known or disclosed ultimate underlying ownership of the investor proposing to make the investment. Hence, the data is not comparable to that of </w:t>
      </w:r>
      <w:r w:rsidR="00DC1928">
        <w:t>2016</w:t>
      </w:r>
      <w:r w:rsidR="00DC1928">
        <w:noBreakHyphen/>
        <w:t>17</w:t>
      </w:r>
      <w:r w:rsidRPr="00CE2FB6">
        <w:t xml:space="preserve"> and earlier years.</w:t>
      </w:r>
    </w:p>
    <w:p w14:paraId="50CA3F30" w14:textId="4A41F03D" w:rsidR="00DD7B34" w:rsidRPr="00CE2FB6" w:rsidRDefault="00D76ED2" w:rsidP="00DC1928">
      <w:pPr>
        <w:pStyle w:val="Heading3noTOC"/>
      </w:pPr>
      <w:r>
        <w:t>2019</w:t>
      </w:r>
      <w:r>
        <w:noBreakHyphen/>
        <w:t>20</w:t>
      </w:r>
    </w:p>
    <w:p w14:paraId="79E6F744" w14:textId="602E3802" w:rsidR="00DD7B34" w:rsidRPr="00CE2FB6" w:rsidRDefault="00DD7B34" w:rsidP="00DD7B34">
      <w:pPr>
        <w:pStyle w:val="Bullet"/>
      </w:pPr>
      <w:r w:rsidRPr="00CE2FB6">
        <w:t xml:space="preserve">On 29 March 2020, the Treasurer announced that for the duration of the </w:t>
      </w:r>
      <w:r w:rsidR="00205C62">
        <w:t>COVID-19</w:t>
      </w:r>
      <w:r w:rsidRPr="00CE2FB6">
        <w:t xml:space="preserve"> crisis all foreign investment </w:t>
      </w:r>
      <w:bookmarkStart w:id="252" w:name="_Hlk80709865"/>
      <w:r w:rsidRPr="00CE2FB6">
        <w:t>screening thresholds would be reduced to zero</w:t>
      </w:r>
      <w:bookmarkEnd w:id="252"/>
      <w:r w:rsidRPr="00CE2FB6">
        <w:t>, resulting in an increase in the number of proposed investments that would require approval.</w:t>
      </w:r>
    </w:p>
    <w:p w14:paraId="2CA8DBF2" w14:textId="54890F8B" w:rsidR="00DD7B34" w:rsidRPr="00CE2FB6" w:rsidRDefault="00D76ED2" w:rsidP="00DC1928">
      <w:pPr>
        <w:pStyle w:val="Heading3noTOC"/>
      </w:pPr>
      <w:r>
        <w:t>2020</w:t>
      </w:r>
      <w:r>
        <w:noBreakHyphen/>
        <w:t>21</w:t>
      </w:r>
    </w:p>
    <w:p w14:paraId="7D7F5E6E" w14:textId="71459F4F" w:rsidR="00DD7B34" w:rsidRPr="00CE2FB6" w:rsidRDefault="00DD7B34" w:rsidP="00611E71">
      <w:pPr>
        <w:pStyle w:val="Bullet"/>
      </w:pPr>
      <w:r w:rsidRPr="00CE2FB6">
        <w:t xml:space="preserve">Major reforms to the framework commenced on 1 January 2021 – alongside the removal of the </w:t>
      </w:r>
      <w:bookmarkStart w:id="253" w:name="_Hlk80709877"/>
      <w:r w:rsidRPr="00CE2FB6">
        <w:t>temporary zero dollar screening thresholds</w:t>
      </w:r>
      <w:bookmarkEnd w:id="253"/>
      <w:r w:rsidRPr="00CE2FB6">
        <w:t xml:space="preserve"> that were introduced to safeguard the national interest during the </w:t>
      </w:r>
      <w:r w:rsidR="00205C62">
        <w:t>COVID-19</w:t>
      </w:r>
      <w:r w:rsidRPr="00CE2FB6">
        <w:t xml:space="preserve"> crisis.</w:t>
      </w:r>
    </w:p>
    <w:p w14:paraId="0D72D306" w14:textId="77777777" w:rsidR="003A5400" w:rsidRDefault="003A5400" w:rsidP="00DC1928">
      <w:pPr>
        <w:pStyle w:val="Bullet"/>
        <w:numPr>
          <w:ilvl w:val="0"/>
          <w:numId w:val="0"/>
        </w:numPr>
        <w:ind w:left="283" w:hanging="283"/>
        <w:rPr>
          <w:sz w:val="27"/>
          <w:szCs w:val="27"/>
        </w:rPr>
      </w:pPr>
    </w:p>
    <w:p w14:paraId="6A8C2865" w14:textId="0EC14BBE" w:rsidR="003A5400" w:rsidRDefault="003A5400">
      <w:pPr>
        <w:spacing w:after="0" w:line="240" w:lineRule="auto"/>
        <w:jc w:val="left"/>
        <w:rPr>
          <w:b/>
          <w:bCs/>
          <w:sz w:val="32"/>
          <w:szCs w:val="32"/>
        </w:rPr>
      </w:pPr>
      <w:r>
        <w:rPr>
          <w:b/>
          <w:bCs/>
          <w:sz w:val="32"/>
          <w:szCs w:val="32"/>
        </w:rPr>
        <w:br w:type="page"/>
      </w:r>
    </w:p>
    <w:p w14:paraId="28AD15E4" w14:textId="4FEFA539" w:rsidR="005758B6" w:rsidRPr="00DC1928" w:rsidRDefault="00DC1928" w:rsidP="00DC1928">
      <w:pPr>
        <w:pStyle w:val="Heading1"/>
        <w:numPr>
          <w:ilvl w:val="0"/>
          <w:numId w:val="0"/>
        </w:numPr>
      </w:pPr>
      <w:bookmarkStart w:id="254" w:name="_Toc89872902"/>
      <w:bookmarkStart w:id="255" w:name="_Toc89872949"/>
      <w:r w:rsidRPr="00DC1928">
        <w:lastRenderedPageBreak/>
        <w:t xml:space="preserve">Appendix </w:t>
      </w:r>
      <w:r>
        <w:t>C</w:t>
      </w:r>
      <w:r w:rsidRPr="00DC1928">
        <w:t xml:space="preserve">: </w:t>
      </w:r>
      <w:r>
        <w:t>E</w:t>
      </w:r>
      <w:r w:rsidRPr="00DC1928">
        <w:t>xamination and approval process</w:t>
      </w:r>
      <w:bookmarkEnd w:id="254"/>
      <w:bookmarkEnd w:id="255"/>
    </w:p>
    <w:p w14:paraId="4C8547CA" w14:textId="3D7F326C" w:rsidR="003A5400" w:rsidRPr="00CE2FB6" w:rsidRDefault="003A5400" w:rsidP="003A5400">
      <w:r w:rsidRPr="00CE2FB6">
        <w:t>The assessment of foreign investment applications is a rigorous process and seeks to ensure that proposed investments are not contrary to Australia</w:t>
      </w:r>
      <w:r w:rsidR="00065800">
        <w:t>’</w:t>
      </w:r>
      <w:r w:rsidRPr="00CE2FB6">
        <w:t>s national interest. In fulfilling this objective, proposed investments are examined with a view to identifying any sensitivity regarding the national interest and determining whether these sensitivities can be mitigated or managed.</w:t>
      </w:r>
    </w:p>
    <w:p w14:paraId="0D913CBE" w14:textId="47DC6C9B" w:rsidR="003A5400" w:rsidRPr="003A5400" w:rsidRDefault="003A5400" w:rsidP="003A5400">
      <w:pPr>
        <w:rPr>
          <w:highlight w:val="yellow"/>
        </w:rPr>
      </w:pPr>
      <w:r w:rsidRPr="00CE2FB6">
        <w:t xml:space="preserve">This section sets out the assessment process during </w:t>
      </w:r>
      <w:r w:rsidR="00D76ED2">
        <w:t>2020</w:t>
      </w:r>
      <w:r w:rsidR="00D76ED2">
        <w:noBreakHyphen/>
        <w:t>21</w:t>
      </w:r>
      <w:r w:rsidR="00B877ED" w:rsidRPr="00CE2FB6">
        <w:t>.</w:t>
      </w:r>
      <w:r w:rsidRPr="00CE2FB6">
        <w:t xml:space="preserve"> Readers should note significant changes and amendments to the foreign investment framework commenced on 1 January 2021, which will impact future examination and approvals processes.</w:t>
      </w:r>
    </w:p>
    <w:p w14:paraId="17D3F521" w14:textId="77777777" w:rsidR="003A5400" w:rsidRPr="00F0109A" w:rsidRDefault="003A5400" w:rsidP="003A5400">
      <w:pPr>
        <w:pStyle w:val="Heading2"/>
      </w:pPr>
      <w:bookmarkStart w:id="256" w:name="_Toc63782945"/>
      <w:bookmarkStart w:id="257" w:name="_Toc75244076"/>
      <w:bookmarkStart w:id="258" w:name="_Toc80368813"/>
      <w:bookmarkStart w:id="259" w:name="_Toc87014344"/>
      <w:bookmarkStart w:id="260" w:name="_Toc89872903"/>
      <w:bookmarkStart w:id="261" w:name="_Toc89872950"/>
      <w:r w:rsidRPr="00F0109A">
        <w:t>Board involvement</w:t>
      </w:r>
      <w:bookmarkEnd w:id="256"/>
      <w:bookmarkEnd w:id="257"/>
      <w:bookmarkEnd w:id="258"/>
      <w:bookmarkEnd w:id="259"/>
      <w:bookmarkEnd w:id="260"/>
      <w:bookmarkEnd w:id="261"/>
    </w:p>
    <w:p w14:paraId="396FBDFE" w14:textId="43EAE3DE" w:rsidR="003A5400" w:rsidRPr="00D1746D" w:rsidRDefault="003A5400" w:rsidP="003A5400">
      <w:pPr>
        <w:pStyle w:val="CommentText"/>
      </w:pPr>
      <w:r w:rsidRPr="00F0109A">
        <w:t>The Board provides advice to the Treasurer on significant applications received. It performs this role with the benefit of weekly reports on applications received and through regular meetings and discussions with the Board</w:t>
      </w:r>
      <w:r w:rsidR="00065800">
        <w:t>’</w:t>
      </w:r>
      <w:r w:rsidRPr="00F0109A">
        <w:t>s Executive Member and Treasury or ATO officers. Formal Board meetings are generally held monthly (and over the period these included meetings by videoconference). The Board members draw on their considerable collective and individual professional and commercial experience in discharging their advisory role.</w:t>
      </w:r>
    </w:p>
    <w:p w14:paraId="0163FE87" w14:textId="77777777" w:rsidR="00B877ED" w:rsidRPr="00CE2FB6" w:rsidRDefault="00B877ED" w:rsidP="00DC1928">
      <w:pPr>
        <w:pStyle w:val="Heading2"/>
      </w:pPr>
      <w:bookmarkStart w:id="262" w:name="_Toc63782946"/>
      <w:bookmarkStart w:id="263" w:name="_Toc75244077"/>
      <w:bookmarkStart w:id="264" w:name="_Toc79476818"/>
      <w:bookmarkStart w:id="265" w:name="_Toc80368814"/>
      <w:bookmarkStart w:id="266" w:name="_Toc87014345"/>
      <w:bookmarkStart w:id="267" w:name="_Toc89872904"/>
      <w:bookmarkStart w:id="268" w:name="_Toc89872951"/>
      <w:bookmarkStart w:id="269" w:name="_Hlk87620200"/>
      <w:r w:rsidRPr="00CE2FB6">
        <w:t xml:space="preserve">Handling of </w:t>
      </w:r>
      <w:r w:rsidRPr="00DC1928">
        <w:t>commercially</w:t>
      </w:r>
      <w:r w:rsidRPr="00CE2FB6">
        <w:t xml:space="preserve"> sensitive and personal information</w:t>
      </w:r>
      <w:bookmarkEnd w:id="262"/>
      <w:bookmarkEnd w:id="263"/>
      <w:bookmarkEnd w:id="264"/>
      <w:bookmarkEnd w:id="265"/>
      <w:bookmarkEnd w:id="266"/>
      <w:bookmarkEnd w:id="267"/>
      <w:bookmarkEnd w:id="268"/>
    </w:p>
    <w:p w14:paraId="53C31264" w14:textId="77777777" w:rsidR="002B4471" w:rsidRDefault="002B4471" w:rsidP="002B4471">
      <w:r>
        <w:t>Information required to assess an application is commercially sensitive or of a private or confidential nature. Consequently, appropriate measures are in place to ensure that confidentiality is protected.</w:t>
      </w:r>
    </w:p>
    <w:p w14:paraId="7DA56C3A" w14:textId="05199CEC" w:rsidR="002B4471" w:rsidRDefault="002B4471" w:rsidP="002B4471">
      <w:r>
        <w:t>In the event that access to confidential information is sought for purposes other than the assessment of an application, Treasury and the ATO are subject to legislative provisions that govern how information received under the framework (protected information) may be used or disclosed. Circumstances in which protected information can be disclosed include for the administration of specified Commonwealth statutes, to certain law enforcement bodies and in aggregate form, such as the public reporting of non</w:t>
      </w:r>
      <w:r w:rsidR="003E7C79">
        <w:t>–</w:t>
      </w:r>
      <w:r>
        <w:t xml:space="preserve">identifying information in this report. Unauthorised disclosure of protected information under the framework is an offence subject </w:t>
      </w:r>
      <w:r w:rsidRPr="00EA317B">
        <w:t>to a maximum of two years imprisonment, a $26,640 fine, or both.</w:t>
      </w:r>
    </w:p>
    <w:bookmarkEnd w:id="269"/>
    <w:p w14:paraId="713BC379" w14:textId="77777777" w:rsidR="00B877ED" w:rsidRPr="00CE2FB6" w:rsidRDefault="00B877ED" w:rsidP="00B877ED">
      <w:pPr>
        <w:spacing w:after="0" w:line="240" w:lineRule="auto"/>
        <w:jc w:val="left"/>
      </w:pPr>
      <w:r w:rsidRPr="00CE2FB6">
        <w:br w:type="page"/>
      </w:r>
    </w:p>
    <w:p w14:paraId="1CC6DDBD" w14:textId="2770B28E" w:rsidR="00B877ED" w:rsidRPr="00CE2FB6" w:rsidRDefault="00B877ED" w:rsidP="00022E40">
      <w:pPr>
        <w:pStyle w:val="Heading1"/>
        <w:numPr>
          <w:ilvl w:val="0"/>
          <w:numId w:val="0"/>
        </w:numPr>
      </w:pPr>
      <w:bookmarkStart w:id="270" w:name="_Toc32247818"/>
      <w:bookmarkStart w:id="271" w:name="_Toc63782948"/>
      <w:bookmarkStart w:id="272" w:name="_Toc75244079"/>
      <w:bookmarkStart w:id="273" w:name="_Toc79476820"/>
      <w:bookmarkStart w:id="274" w:name="_Toc89872905"/>
      <w:bookmarkStart w:id="275" w:name="_Toc89872952"/>
      <w:r w:rsidRPr="00CE2FB6">
        <w:lastRenderedPageBreak/>
        <w:t>Appendix D: Glossary</w:t>
      </w:r>
      <w:bookmarkEnd w:id="270"/>
      <w:r w:rsidRPr="003D5EE8">
        <w:rPr>
          <w:rStyle w:val="FootnoteReference"/>
        </w:rPr>
        <w:footnoteReference w:id="5"/>
      </w:r>
      <w:bookmarkEnd w:id="271"/>
      <w:bookmarkEnd w:id="272"/>
      <w:bookmarkEnd w:id="273"/>
      <w:bookmarkEnd w:id="274"/>
      <w:bookmarkEnd w:id="27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Glossary of Terms"/>
        <w:tblDescription w:val="Lists and defines certain terms used in the report "/>
      </w:tblPr>
      <w:tblGrid>
        <w:gridCol w:w="1413"/>
        <w:gridCol w:w="6287"/>
      </w:tblGrid>
      <w:tr w:rsidR="00B877ED" w:rsidRPr="00CE2FB6" w14:paraId="67D7E5A4" w14:textId="77777777" w:rsidTr="009542CF">
        <w:trPr>
          <w:cantSplit/>
        </w:trPr>
        <w:tc>
          <w:tcPr>
            <w:tcW w:w="1413" w:type="dxa"/>
          </w:tcPr>
          <w:p w14:paraId="6D51CB11" w14:textId="77777777" w:rsidR="00B877ED" w:rsidRPr="00CE2FB6" w:rsidRDefault="00B877ED" w:rsidP="009542CF">
            <w:pPr>
              <w:pStyle w:val="TableTextLeft"/>
            </w:pPr>
            <w:r w:rsidRPr="00CE2FB6">
              <w:t>Act</w:t>
            </w:r>
          </w:p>
        </w:tc>
        <w:tc>
          <w:tcPr>
            <w:tcW w:w="6287" w:type="dxa"/>
          </w:tcPr>
          <w:p w14:paraId="75E83220" w14:textId="2FBF59D3" w:rsidR="00B877ED" w:rsidRPr="00CE2FB6" w:rsidRDefault="00B877ED" w:rsidP="009542CF">
            <w:pPr>
              <w:pStyle w:val="TableTextLeft"/>
            </w:pPr>
            <w:r w:rsidRPr="00CE2FB6">
              <w:t xml:space="preserve">The </w:t>
            </w:r>
            <w:r w:rsidRPr="00CE2FB6">
              <w:rPr>
                <w:i/>
              </w:rPr>
              <w:t>Foreign Acquisitions and Takeovers Act 1975</w:t>
            </w:r>
            <w:r w:rsidRPr="00CE2FB6">
              <w:t xml:space="preserve"> (as in force during </w:t>
            </w:r>
            <w:r w:rsidR="00D76ED2">
              <w:t>2019</w:t>
            </w:r>
            <w:r w:rsidR="00D76ED2">
              <w:noBreakHyphen/>
              <w:t>20</w:t>
            </w:r>
            <w:r w:rsidRPr="00CE2FB6">
              <w:t>).</w:t>
            </w:r>
          </w:p>
        </w:tc>
      </w:tr>
      <w:tr w:rsidR="00B877ED" w:rsidRPr="00CE2FB6" w14:paraId="491166D5" w14:textId="77777777" w:rsidTr="009542CF">
        <w:trPr>
          <w:cantSplit/>
        </w:trPr>
        <w:tc>
          <w:tcPr>
            <w:tcW w:w="1413" w:type="dxa"/>
          </w:tcPr>
          <w:p w14:paraId="6091B3B2" w14:textId="77777777" w:rsidR="00B877ED" w:rsidRPr="008C1191" w:rsidRDefault="00B877ED" w:rsidP="009542CF">
            <w:pPr>
              <w:pStyle w:val="TableTextLeft"/>
            </w:pPr>
            <w:r w:rsidRPr="008C1191">
              <w:t>Agricultural land</w:t>
            </w:r>
          </w:p>
        </w:tc>
        <w:tc>
          <w:tcPr>
            <w:tcW w:w="6287" w:type="dxa"/>
          </w:tcPr>
          <w:p w14:paraId="50A79BD0" w14:textId="77777777" w:rsidR="00B877ED" w:rsidRPr="008C1191" w:rsidRDefault="00B877ED" w:rsidP="009542CF">
            <w:pPr>
              <w:pStyle w:val="TableTextLeft"/>
            </w:pPr>
            <w:r w:rsidRPr="008C1191">
              <w:t>Land in Australia that is used, or that could reasonably be used, for a primary production business. The regulations may provide that land of a specified kind is not agricultural land.</w:t>
            </w:r>
          </w:p>
        </w:tc>
      </w:tr>
      <w:tr w:rsidR="00B877ED" w:rsidRPr="00CE2FB6" w14:paraId="5DAE6B7E" w14:textId="77777777" w:rsidTr="009542CF">
        <w:trPr>
          <w:cantSplit/>
        </w:trPr>
        <w:tc>
          <w:tcPr>
            <w:tcW w:w="1413" w:type="dxa"/>
          </w:tcPr>
          <w:p w14:paraId="3BA2E547" w14:textId="77777777" w:rsidR="00B877ED" w:rsidRPr="008C1191" w:rsidRDefault="00B877ED" w:rsidP="009542CF">
            <w:pPr>
              <w:pStyle w:val="TableTextLeft"/>
            </w:pPr>
            <w:r w:rsidRPr="008C1191">
              <w:t>Call in power</w:t>
            </w:r>
          </w:p>
        </w:tc>
        <w:tc>
          <w:tcPr>
            <w:tcW w:w="6287" w:type="dxa"/>
          </w:tcPr>
          <w:p w14:paraId="73429DD8" w14:textId="1634E5C1" w:rsidR="00B877ED" w:rsidRPr="008C1191" w:rsidRDefault="00B877ED" w:rsidP="009542CF">
            <w:pPr>
              <w:pStyle w:val="TableTextLeft"/>
            </w:pPr>
            <w:r w:rsidRPr="008C1191">
              <w:t xml:space="preserve">The Treasurer can </w:t>
            </w:r>
            <w:r w:rsidR="00065800">
              <w:t>‘</w:t>
            </w:r>
            <w:r w:rsidRPr="008C1191">
              <w:t>call</w:t>
            </w:r>
            <w:r w:rsidR="003E7C79">
              <w:t>–</w:t>
            </w:r>
            <w:r w:rsidRPr="008C1191">
              <w:t>in</w:t>
            </w:r>
            <w:r w:rsidR="00065800">
              <w:t>’</w:t>
            </w:r>
            <w:r w:rsidRPr="008C1191">
              <w:t xml:space="preserve"> for review actions which are not otherwise notified, if the Treasurer considers that the action may pose national security concerns. The review can occur when the action is still proposed or up to ten years after the action has been taken.</w:t>
            </w:r>
          </w:p>
        </w:tc>
      </w:tr>
      <w:tr w:rsidR="00B877ED" w:rsidRPr="00CE2FB6" w14:paraId="0861B5BD" w14:textId="77777777" w:rsidTr="009542CF">
        <w:trPr>
          <w:cantSplit/>
        </w:trPr>
        <w:tc>
          <w:tcPr>
            <w:tcW w:w="1413" w:type="dxa"/>
          </w:tcPr>
          <w:p w14:paraId="075E9CB7" w14:textId="77777777" w:rsidR="00B877ED" w:rsidRPr="008C1191" w:rsidRDefault="00B877ED" w:rsidP="009542CF">
            <w:pPr>
              <w:pStyle w:val="TableTextLeft"/>
            </w:pPr>
            <w:r w:rsidRPr="008C1191">
              <w:t>Commercial land</w:t>
            </w:r>
          </w:p>
        </w:tc>
        <w:tc>
          <w:tcPr>
            <w:tcW w:w="6287" w:type="dxa"/>
          </w:tcPr>
          <w:p w14:paraId="53AEC716" w14:textId="77777777" w:rsidR="00B877ED" w:rsidRPr="008C1191" w:rsidRDefault="00B877ED" w:rsidP="009542CF">
            <w:pPr>
              <w:pStyle w:val="TableTextLeft"/>
            </w:pPr>
            <w:r w:rsidRPr="008C1191">
              <w:t>Land in Australia or the seabed of the offshore area, other than land:</w:t>
            </w:r>
          </w:p>
          <w:p w14:paraId="73187014" w14:textId="77777777" w:rsidR="00B877ED" w:rsidRPr="00022E40" w:rsidRDefault="00B877ED" w:rsidP="00022E40">
            <w:pPr>
              <w:pStyle w:val="TableText-bullet"/>
            </w:pPr>
            <w:r w:rsidRPr="00022E40">
              <w:t>used wholly and exclusively for a primary production business; or</w:t>
            </w:r>
          </w:p>
          <w:p w14:paraId="0B90AE59" w14:textId="77777777" w:rsidR="00B877ED" w:rsidRPr="008C1191" w:rsidRDefault="00B877ED" w:rsidP="00022E40">
            <w:pPr>
              <w:pStyle w:val="TableText-bullet"/>
            </w:pPr>
            <w:r w:rsidRPr="008C1191">
              <w:t>on which there is at least one dwelling (except commercial residential premises); or</w:t>
            </w:r>
          </w:p>
          <w:p w14:paraId="487D4235" w14:textId="3A4B9FD5" w:rsidR="00B877ED" w:rsidRPr="008C1191" w:rsidRDefault="00B877ED" w:rsidP="00022E40">
            <w:pPr>
              <w:pStyle w:val="TableText-bullet"/>
            </w:pPr>
            <w:r w:rsidRPr="008C1191">
              <w:t xml:space="preserve">on which the number of dwellings (except commercial residential premises) that could reasonably be built is less than the number prescribed by the regulations (10, during </w:t>
            </w:r>
            <w:r w:rsidR="00C17F09">
              <w:t>2018</w:t>
            </w:r>
            <w:r w:rsidR="00C17F09">
              <w:noBreakHyphen/>
              <w:t>19</w:t>
            </w:r>
            <w:r w:rsidRPr="008C1191">
              <w:t>).</w:t>
            </w:r>
          </w:p>
        </w:tc>
      </w:tr>
      <w:tr w:rsidR="00B877ED" w:rsidRPr="00CE2FB6" w14:paraId="50BC9B80" w14:textId="77777777" w:rsidTr="009542CF">
        <w:trPr>
          <w:cantSplit/>
        </w:trPr>
        <w:tc>
          <w:tcPr>
            <w:tcW w:w="1413" w:type="dxa"/>
          </w:tcPr>
          <w:p w14:paraId="2785B5E7" w14:textId="77777777" w:rsidR="00B877ED" w:rsidRPr="008C1191" w:rsidRDefault="00B877ED" w:rsidP="009542CF">
            <w:pPr>
              <w:pStyle w:val="TableTextLeft"/>
            </w:pPr>
            <w:r w:rsidRPr="008C1191">
              <w:t>Compliant</w:t>
            </w:r>
          </w:p>
        </w:tc>
        <w:tc>
          <w:tcPr>
            <w:tcW w:w="6287" w:type="dxa"/>
          </w:tcPr>
          <w:p w14:paraId="4FA03922" w14:textId="77777777" w:rsidR="00B877ED" w:rsidRPr="008C1191" w:rsidRDefault="00B877ED" w:rsidP="009542CF">
            <w:pPr>
              <w:pStyle w:val="TableTextLeft"/>
            </w:pPr>
            <w:r w:rsidRPr="008C1191">
              <w:t>Sufficient appropriate evidence has been provided by the applicant to demonstrate compliance with a condition.</w:t>
            </w:r>
          </w:p>
        </w:tc>
      </w:tr>
      <w:tr w:rsidR="00B877ED" w:rsidRPr="00CE2FB6" w14:paraId="53AAC410" w14:textId="77777777" w:rsidTr="009542CF">
        <w:trPr>
          <w:cantSplit/>
        </w:trPr>
        <w:tc>
          <w:tcPr>
            <w:tcW w:w="1413" w:type="dxa"/>
          </w:tcPr>
          <w:p w14:paraId="6EA668A5" w14:textId="77777777" w:rsidR="00B877ED" w:rsidRPr="008C1191" w:rsidRDefault="00B877ED" w:rsidP="009542CF">
            <w:pPr>
              <w:pStyle w:val="TableTextLeft"/>
            </w:pPr>
            <w:r w:rsidRPr="008C1191">
              <w:t>Compliant with caveats</w:t>
            </w:r>
          </w:p>
        </w:tc>
        <w:tc>
          <w:tcPr>
            <w:tcW w:w="6287" w:type="dxa"/>
          </w:tcPr>
          <w:p w14:paraId="01097868" w14:textId="77777777" w:rsidR="00B877ED" w:rsidRPr="008C1191" w:rsidRDefault="00B877ED" w:rsidP="009542CF">
            <w:pPr>
              <w:pStyle w:val="TableTextLeft"/>
            </w:pPr>
            <w:r w:rsidRPr="008C1191">
              <w:t>Compliance with the condition has been observed. However, the wording of the condition means:</w:t>
            </w:r>
          </w:p>
          <w:p w14:paraId="635CE800" w14:textId="77777777" w:rsidR="00B877ED" w:rsidRPr="008C1191" w:rsidRDefault="00B877ED" w:rsidP="00022E40">
            <w:pPr>
              <w:pStyle w:val="TableText-bullet"/>
            </w:pPr>
            <w:r w:rsidRPr="008C1191">
              <w:t xml:space="preserve">there </w:t>
            </w:r>
            <w:proofErr w:type="gramStart"/>
            <w:r w:rsidRPr="008C1191">
              <w:t>is</w:t>
            </w:r>
            <w:proofErr w:type="gramEnd"/>
            <w:r w:rsidRPr="008C1191">
              <w:t xml:space="preserve"> limited sources of appropriate evidence that can be provided by the applicant to evidence compliance; or</w:t>
            </w:r>
          </w:p>
          <w:p w14:paraId="7E3D2702" w14:textId="77777777" w:rsidR="00B877ED" w:rsidRPr="008C1191" w:rsidRDefault="00B877ED" w:rsidP="00022E40">
            <w:pPr>
              <w:pStyle w:val="TableText-bullet"/>
            </w:pPr>
            <w:r w:rsidRPr="008C1191">
              <w:t>there is potential for misinterpretation of a condition; or</w:t>
            </w:r>
          </w:p>
          <w:p w14:paraId="0B0E6952" w14:textId="77777777" w:rsidR="00B877ED" w:rsidRPr="008C1191" w:rsidRDefault="00B877ED" w:rsidP="00022E40">
            <w:pPr>
              <w:pStyle w:val="TableText-bullet"/>
            </w:pPr>
            <w:r w:rsidRPr="008C1191">
              <w:t>the controls implemented by the applicant, whilst technically in accordance with the condition, may not effectively address the underlying risk.</w:t>
            </w:r>
          </w:p>
          <w:p w14:paraId="42EB305A" w14:textId="01941E94" w:rsidR="00B877ED" w:rsidRPr="008C1191" w:rsidRDefault="00B877ED" w:rsidP="009542CF">
            <w:pPr>
              <w:pStyle w:val="TableTextLeft"/>
            </w:pPr>
            <w:r w:rsidRPr="008C1191">
              <w:t>Further consideration of the condition, and possible variations, will need to be considered in the context of Treasury</w:t>
            </w:r>
            <w:r w:rsidR="00065800">
              <w:t>’</w:t>
            </w:r>
            <w:r w:rsidRPr="008C1191">
              <w:t>s foreign investment compliance risk.</w:t>
            </w:r>
          </w:p>
        </w:tc>
      </w:tr>
      <w:tr w:rsidR="00B877ED" w:rsidRPr="00CE2FB6" w14:paraId="05B2CD97" w14:textId="77777777" w:rsidTr="009542CF">
        <w:trPr>
          <w:cantSplit/>
        </w:trPr>
        <w:tc>
          <w:tcPr>
            <w:tcW w:w="1413" w:type="dxa"/>
          </w:tcPr>
          <w:p w14:paraId="59306BB5" w14:textId="77777777" w:rsidR="00B877ED" w:rsidRPr="008C1191" w:rsidRDefault="00B877ED" w:rsidP="009542CF">
            <w:pPr>
              <w:pStyle w:val="TableTextLeft"/>
            </w:pPr>
            <w:r w:rsidRPr="008C1191">
              <w:t>Established dwelling</w:t>
            </w:r>
          </w:p>
        </w:tc>
        <w:tc>
          <w:tcPr>
            <w:tcW w:w="6287" w:type="dxa"/>
          </w:tcPr>
          <w:p w14:paraId="31A0ED0D" w14:textId="77777777" w:rsidR="00B877ED" w:rsidRPr="008C1191" w:rsidRDefault="00B877ED" w:rsidP="009542CF">
            <w:pPr>
              <w:pStyle w:val="TableTextLeft"/>
            </w:pPr>
            <w:r w:rsidRPr="008C1191">
              <w:t>A dwelling (except commercial residential premises) on residential land that is not a new dwelling.</w:t>
            </w:r>
          </w:p>
        </w:tc>
      </w:tr>
      <w:tr w:rsidR="00B877ED" w:rsidRPr="00CE2FB6" w14:paraId="0C4FF688" w14:textId="77777777" w:rsidTr="009542CF">
        <w:trPr>
          <w:cantSplit/>
        </w:trPr>
        <w:tc>
          <w:tcPr>
            <w:tcW w:w="1413" w:type="dxa"/>
          </w:tcPr>
          <w:p w14:paraId="3785C05F" w14:textId="77777777" w:rsidR="00B877ED" w:rsidRPr="008C1191" w:rsidRDefault="00B877ED" w:rsidP="009542CF">
            <w:pPr>
              <w:pStyle w:val="TableTextLeft"/>
            </w:pPr>
            <w:r w:rsidRPr="008C1191">
              <w:t>Exemption certificates</w:t>
            </w:r>
          </w:p>
        </w:tc>
        <w:tc>
          <w:tcPr>
            <w:tcW w:w="6287" w:type="dxa"/>
          </w:tcPr>
          <w:p w14:paraId="2131BDED" w14:textId="77777777" w:rsidR="00B877ED" w:rsidRPr="008C1191" w:rsidRDefault="00B877ED" w:rsidP="009542CF">
            <w:pPr>
              <w:pStyle w:val="TableTextLeft"/>
            </w:pPr>
            <w:r w:rsidRPr="008C1191">
              <w:t>Advance approval to allow foreign persons to undertake a program of acquisitions of land and/or business and entities. These are granted with a specified monetary limit within a defined region or sector and generally include conditions requiring the foreign person to report actual acquisitions and any other conditions that would normally be applied for the type of land and/or business and entity to be acquired. Business exemption certificates were introduced on 1 July 2017. Prior to 1 December 2015, the equivalent to land exemption certificates was known as an annual program certificate.</w:t>
            </w:r>
          </w:p>
        </w:tc>
      </w:tr>
      <w:tr w:rsidR="00B877ED" w:rsidRPr="00CE2FB6" w14:paraId="6C7B6F6D" w14:textId="77777777" w:rsidTr="009542CF">
        <w:trPr>
          <w:cantSplit/>
        </w:trPr>
        <w:tc>
          <w:tcPr>
            <w:tcW w:w="1413" w:type="dxa"/>
            <w:tcBorders>
              <w:bottom w:val="nil"/>
            </w:tcBorders>
          </w:tcPr>
          <w:p w14:paraId="72B1732E" w14:textId="77777777" w:rsidR="00B877ED" w:rsidRPr="008C1191" w:rsidRDefault="00B877ED" w:rsidP="009542CF">
            <w:pPr>
              <w:pStyle w:val="TableTextLeft"/>
            </w:pPr>
            <w:r w:rsidRPr="008C1191">
              <w:lastRenderedPageBreak/>
              <w:t>Foreign government investor</w:t>
            </w:r>
          </w:p>
        </w:tc>
        <w:tc>
          <w:tcPr>
            <w:tcW w:w="6287" w:type="dxa"/>
            <w:tcBorders>
              <w:bottom w:val="nil"/>
            </w:tcBorders>
          </w:tcPr>
          <w:p w14:paraId="1C9C9942" w14:textId="77777777" w:rsidR="00B877ED" w:rsidRPr="008C1191" w:rsidRDefault="00B877ED" w:rsidP="009542CF">
            <w:pPr>
              <w:pStyle w:val="TableTextLeft"/>
            </w:pPr>
            <w:r w:rsidRPr="008C1191">
              <w:t>A foreign government investor includes:</w:t>
            </w:r>
          </w:p>
          <w:p w14:paraId="3EB04208" w14:textId="77777777" w:rsidR="00B877ED" w:rsidRPr="008C1191" w:rsidRDefault="00B877ED" w:rsidP="00022E40">
            <w:pPr>
              <w:pStyle w:val="TableText-bullet"/>
            </w:pPr>
            <w:r w:rsidRPr="008C1191">
              <w:t>a foreign government or separate government entity; or</w:t>
            </w:r>
          </w:p>
          <w:p w14:paraId="0AE20A92" w14:textId="77777777" w:rsidR="00B877ED" w:rsidRPr="008C1191" w:rsidRDefault="00B877ED" w:rsidP="00022E40">
            <w:pPr>
              <w:pStyle w:val="TableText-bullet"/>
            </w:pPr>
            <w:r w:rsidRPr="008C1191">
              <w:t>a corporation or trustee of a trust in which:</w:t>
            </w:r>
          </w:p>
          <w:p w14:paraId="1CBC3877" w14:textId="77777777" w:rsidR="00B877ED" w:rsidRPr="008C1191" w:rsidRDefault="00B877ED" w:rsidP="00022E40">
            <w:pPr>
              <w:pStyle w:val="TableText-dash"/>
            </w:pPr>
            <w:r w:rsidRPr="008C1191">
              <w:t>a foreign government or separate government entity, alone or together with one or more associates, holds a substantial interest (that is, an interest of at least 20 per cent);</w:t>
            </w:r>
          </w:p>
          <w:p w14:paraId="7BCEF442" w14:textId="77777777" w:rsidR="00B877ED" w:rsidRPr="008C1191" w:rsidRDefault="00B877ED" w:rsidP="00022E40">
            <w:pPr>
              <w:pStyle w:val="TableText-dash"/>
            </w:pPr>
            <w:r w:rsidRPr="008C1191">
              <w:t>foreign governments or separate government entities of more than one foreign country (or parts of more than one foreign country), together with any one or more associates, hold an aggregate substantial interest (that is, an interest of at least 40 per cent); or</w:t>
            </w:r>
          </w:p>
          <w:p w14:paraId="4D7D8FAC" w14:textId="77777777" w:rsidR="00B877ED" w:rsidRPr="008C1191" w:rsidRDefault="00B877ED" w:rsidP="00022E40">
            <w:pPr>
              <w:pStyle w:val="TableText-bullet"/>
            </w:pPr>
            <w:r w:rsidRPr="008C1191">
              <w:t>a general partner of a limited partnership in which:</w:t>
            </w:r>
          </w:p>
          <w:p w14:paraId="64FD9186" w14:textId="77777777" w:rsidR="00B877ED" w:rsidRPr="008C1191" w:rsidRDefault="00B877ED" w:rsidP="00022E40">
            <w:pPr>
              <w:pStyle w:val="TableText-dash"/>
            </w:pPr>
            <w:r w:rsidRPr="008C1191">
              <w:t>a foreign government or separate government entity, alone or together with one or more associates, holds an interest of at least 20 per cent;</w:t>
            </w:r>
          </w:p>
          <w:p w14:paraId="6EC4ABED" w14:textId="77777777" w:rsidR="00B877ED" w:rsidRPr="008C1191" w:rsidRDefault="00B877ED" w:rsidP="00022E40">
            <w:pPr>
              <w:pStyle w:val="TableText-dash"/>
            </w:pPr>
            <w:r w:rsidRPr="008C1191">
              <w:t>foreign governments or separate government entities of more than one foreign country (or parts of more than one foreign country), together with any one or more associates, hold an aggregate interest of 40 per cent or more; or</w:t>
            </w:r>
          </w:p>
          <w:p w14:paraId="0A0492AB" w14:textId="77777777" w:rsidR="00B877ED" w:rsidRPr="008C1191" w:rsidRDefault="00B877ED" w:rsidP="00022E40">
            <w:pPr>
              <w:pStyle w:val="TableText-bullet"/>
            </w:pPr>
            <w:r w:rsidRPr="008C1191">
              <w:t>a corporation, trustee or general partner of a kind described in the two dot points above, assuming the references to foreign government (or foreign governments) in those dot points include references to a foreign government investor (or foreign government investors) within the meaning of those dot points.</w:t>
            </w:r>
          </w:p>
        </w:tc>
      </w:tr>
      <w:tr w:rsidR="00B877ED" w:rsidRPr="00CE2FB6" w14:paraId="4ED6093B" w14:textId="77777777" w:rsidTr="009542CF">
        <w:trPr>
          <w:cantSplit/>
        </w:trPr>
        <w:tc>
          <w:tcPr>
            <w:tcW w:w="1413" w:type="dxa"/>
          </w:tcPr>
          <w:p w14:paraId="566EA979" w14:textId="77777777" w:rsidR="00B877ED" w:rsidRPr="008C1191" w:rsidRDefault="00B877ED" w:rsidP="009542CF">
            <w:pPr>
              <w:pStyle w:val="TableTextLeft"/>
            </w:pPr>
            <w:r w:rsidRPr="008C1191">
              <w:t>Foreign person</w:t>
            </w:r>
          </w:p>
        </w:tc>
        <w:tc>
          <w:tcPr>
            <w:tcW w:w="6287" w:type="dxa"/>
          </w:tcPr>
          <w:p w14:paraId="6E6870FA" w14:textId="77777777" w:rsidR="00B877ED" w:rsidRPr="008C1191" w:rsidRDefault="00B877ED" w:rsidP="009542CF">
            <w:pPr>
              <w:pStyle w:val="TableTextLeft"/>
            </w:pPr>
            <w:r w:rsidRPr="008C1191">
              <w:t>Foreign person means:</w:t>
            </w:r>
          </w:p>
          <w:p w14:paraId="37C327D9" w14:textId="77777777" w:rsidR="00B877ED" w:rsidRPr="008C1191" w:rsidRDefault="00B877ED" w:rsidP="00022E40">
            <w:pPr>
              <w:pStyle w:val="TableText-bullet"/>
            </w:pPr>
            <w:r w:rsidRPr="008C1191">
              <w:t>an individual not ordinarily resident in Australia;</w:t>
            </w:r>
          </w:p>
          <w:p w14:paraId="54DC8194" w14:textId="77777777" w:rsidR="00B877ED" w:rsidRPr="008C1191" w:rsidRDefault="00B877ED" w:rsidP="00022E40">
            <w:pPr>
              <w:pStyle w:val="TableText-bullet"/>
            </w:pPr>
            <w:r w:rsidRPr="008C1191">
              <w:t>a corporation in which an individual not ordinarily resident in Australia, a foreign corporation or a foreign government holds a substantial interest;</w:t>
            </w:r>
          </w:p>
          <w:p w14:paraId="2A63EB20" w14:textId="77777777" w:rsidR="00B877ED" w:rsidRPr="008C1191" w:rsidRDefault="00B877ED" w:rsidP="00022E40">
            <w:pPr>
              <w:pStyle w:val="TableText-bullet"/>
            </w:pPr>
            <w:r w:rsidRPr="008C1191">
              <w:t xml:space="preserve">a corporation in which two or more persons, each of whom is an individual not ordinarily resident in Australia, a foreign corporation or a foreign government, hold an aggregate substantial </w:t>
            </w:r>
            <w:proofErr w:type="gramStart"/>
            <w:r w:rsidRPr="008C1191">
              <w:t>interest;</w:t>
            </w:r>
            <w:proofErr w:type="gramEnd"/>
          </w:p>
          <w:p w14:paraId="563FF4BA" w14:textId="77777777" w:rsidR="00B877ED" w:rsidRPr="008C1191" w:rsidRDefault="00B877ED" w:rsidP="00022E40">
            <w:pPr>
              <w:pStyle w:val="TableText-bullet"/>
            </w:pPr>
            <w:r w:rsidRPr="008C1191">
              <w:t>the trustee of a trust in which an individual not ordinarily resident in Australia, a foreign corporation or a foreign government holds a substantial interest;</w:t>
            </w:r>
          </w:p>
          <w:p w14:paraId="6E9C760F" w14:textId="77777777" w:rsidR="00B877ED" w:rsidRPr="008C1191" w:rsidRDefault="00B877ED" w:rsidP="00022E40">
            <w:pPr>
              <w:pStyle w:val="TableText-bullet"/>
            </w:pPr>
            <w:r w:rsidRPr="008C1191">
              <w:t xml:space="preserve">the trustee of a trust in which two or more persons, each of whom is an individual not ordinarily resident in Australia, a foreign corporation or a foreign government, hold an aggregate substantial </w:t>
            </w:r>
            <w:proofErr w:type="gramStart"/>
            <w:r w:rsidRPr="008C1191">
              <w:t>interest;</w:t>
            </w:r>
            <w:proofErr w:type="gramEnd"/>
          </w:p>
          <w:p w14:paraId="036A0C46" w14:textId="77777777" w:rsidR="00B877ED" w:rsidRPr="008C1191" w:rsidRDefault="00B877ED" w:rsidP="00022E40">
            <w:pPr>
              <w:pStyle w:val="TableText-bullet"/>
            </w:pPr>
            <w:r w:rsidRPr="008C1191">
              <w:t>a foreign government; or</w:t>
            </w:r>
          </w:p>
          <w:p w14:paraId="16657F6C" w14:textId="77777777" w:rsidR="00B877ED" w:rsidRPr="008C1191" w:rsidRDefault="00B877ED" w:rsidP="00022E40">
            <w:pPr>
              <w:pStyle w:val="TableText-bullet"/>
            </w:pPr>
            <w:r w:rsidRPr="008C1191">
              <w:t>any other person, or any other person that meets the conditions, prescribed by the regulations.</w:t>
            </w:r>
          </w:p>
        </w:tc>
      </w:tr>
      <w:tr w:rsidR="00B877ED" w:rsidRPr="00CE2FB6" w14:paraId="6CD641AF" w14:textId="77777777" w:rsidTr="009542CF">
        <w:trPr>
          <w:cantSplit/>
        </w:trPr>
        <w:tc>
          <w:tcPr>
            <w:tcW w:w="1413" w:type="dxa"/>
          </w:tcPr>
          <w:p w14:paraId="042D02B7" w14:textId="77777777" w:rsidR="00B877ED" w:rsidRPr="008C1191" w:rsidRDefault="00B877ED" w:rsidP="009542CF">
            <w:pPr>
              <w:pStyle w:val="TableTextLeft"/>
            </w:pPr>
            <w:r w:rsidRPr="008C1191">
              <w:t>Last resort power</w:t>
            </w:r>
          </w:p>
        </w:tc>
        <w:tc>
          <w:tcPr>
            <w:tcW w:w="6287" w:type="dxa"/>
          </w:tcPr>
          <w:p w14:paraId="4DCDD7A2" w14:textId="77777777" w:rsidR="00B877ED" w:rsidRPr="008C1191" w:rsidRDefault="00B877ED" w:rsidP="009542CF">
            <w:pPr>
              <w:pStyle w:val="TableTextLeft"/>
            </w:pPr>
            <w:r w:rsidRPr="008C1191">
              <w:t>The last resort power gives the Treasurer an opportunity to review actions notified after 1 January 2021 for which a no objections notification, an exemption certificate, deemed approval or a notice imposing conditions has been given, if exceptional circumstances arise.</w:t>
            </w:r>
          </w:p>
        </w:tc>
      </w:tr>
      <w:tr w:rsidR="00B877ED" w:rsidRPr="00CE2FB6" w14:paraId="067467C4" w14:textId="77777777" w:rsidTr="009542CF">
        <w:trPr>
          <w:cantSplit/>
        </w:trPr>
        <w:tc>
          <w:tcPr>
            <w:tcW w:w="1413" w:type="dxa"/>
          </w:tcPr>
          <w:p w14:paraId="72A2BCA0" w14:textId="77777777" w:rsidR="00B877ED" w:rsidRPr="008C1191" w:rsidRDefault="00B877ED" w:rsidP="009542CF">
            <w:pPr>
              <w:pStyle w:val="TableTextLeft"/>
            </w:pPr>
            <w:r w:rsidRPr="008C1191">
              <w:lastRenderedPageBreak/>
              <w:t>National security business</w:t>
            </w:r>
          </w:p>
        </w:tc>
        <w:tc>
          <w:tcPr>
            <w:tcW w:w="6287" w:type="dxa"/>
          </w:tcPr>
          <w:p w14:paraId="682B2F3F" w14:textId="77777777" w:rsidR="00B877ED" w:rsidRPr="008C1191" w:rsidRDefault="00B877ED" w:rsidP="009542CF">
            <w:pPr>
              <w:pStyle w:val="TableTextLeft"/>
            </w:pPr>
            <w:r w:rsidRPr="008C1191">
              <w:t>A business is a national security business if it is carried on wholly or partly within Australia, whether or not in anticipation of profit or gain, and it:</w:t>
            </w:r>
          </w:p>
          <w:p w14:paraId="5BC07E18" w14:textId="77777777" w:rsidR="00B877ED" w:rsidRPr="008C1191" w:rsidRDefault="00B877ED" w:rsidP="00022E40">
            <w:pPr>
              <w:pStyle w:val="TableText-bullet"/>
            </w:pPr>
            <w:r w:rsidRPr="008C1191">
              <w:t xml:space="preserve">is a responsible entity (within the meaning of the </w:t>
            </w:r>
            <w:r w:rsidRPr="008C1191">
              <w:rPr>
                <w:i/>
                <w:iCs/>
              </w:rPr>
              <w:t>Security of Critical Infrastructure Act 2018</w:t>
            </w:r>
            <w:r w:rsidRPr="008C1191">
              <w:t xml:space="preserve"> as enacted) for an asset; or</w:t>
            </w:r>
          </w:p>
          <w:p w14:paraId="02B24261" w14:textId="77777777" w:rsidR="00B877ED" w:rsidRPr="008C1191" w:rsidRDefault="00B877ED" w:rsidP="00022E40">
            <w:pPr>
              <w:pStyle w:val="TableText-bullet"/>
            </w:pPr>
            <w:r w:rsidRPr="008C1191">
              <w:t xml:space="preserve">is an entity that is a direct interest holder in relation to a critical infrastructure asset (within the meaning of those terms in the </w:t>
            </w:r>
            <w:r w:rsidRPr="008C1191">
              <w:rPr>
                <w:i/>
                <w:iCs/>
              </w:rPr>
              <w:t>Security of Critical Infrastructure Act 2018</w:t>
            </w:r>
            <w:r w:rsidRPr="008C1191">
              <w:t xml:space="preserve"> as enacted); or</w:t>
            </w:r>
          </w:p>
          <w:p w14:paraId="0BA926AF" w14:textId="77777777" w:rsidR="00B877ED" w:rsidRPr="008C1191" w:rsidRDefault="00B877ED" w:rsidP="00022E40">
            <w:pPr>
              <w:pStyle w:val="TableText-bullet"/>
            </w:pPr>
            <w:r w:rsidRPr="008C1191">
              <w:t xml:space="preserve">is a carrier or nominated carriage service provider to which the </w:t>
            </w:r>
            <w:r w:rsidRPr="008C1191">
              <w:rPr>
                <w:i/>
                <w:iCs/>
              </w:rPr>
              <w:t>Telecommunications Act 1997</w:t>
            </w:r>
            <w:r w:rsidRPr="008C1191">
              <w:t xml:space="preserve"> applies; or</w:t>
            </w:r>
          </w:p>
          <w:p w14:paraId="733DB7D4" w14:textId="77777777" w:rsidR="00B877ED" w:rsidRPr="008C1191" w:rsidRDefault="00B877ED" w:rsidP="00022E40">
            <w:pPr>
              <w:pStyle w:val="TableText-bullet"/>
            </w:pPr>
            <w:r w:rsidRPr="008C1191">
              <w:t>develops, manufactures or supplies critical goods or critical technology that are, or are intended to be, for a military use, or an intelligence use, by defence and intelligence personnel, the defence force of another country, or a foreign intelligence agency; or</w:t>
            </w:r>
          </w:p>
          <w:p w14:paraId="21C22FF4" w14:textId="77777777" w:rsidR="00B877ED" w:rsidRPr="008C1191" w:rsidRDefault="00B877ED" w:rsidP="00022E40">
            <w:pPr>
              <w:pStyle w:val="TableText-bullet"/>
            </w:pPr>
            <w:r w:rsidRPr="008C1191">
              <w:t>provides, or intends to provide, critical services to defence and intelligence personnel, the defence force of another country, or a foreign intelligence agency; or</w:t>
            </w:r>
          </w:p>
          <w:p w14:paraId="31B65638" w14:textId="77777777" w:rsidR="00B877ED" w:rsidRPr="008C1191" w:rsidRDefault="00B877ED" w:rsidP="00022E40">
            <w:pPr>
              <w:pStyle w:val="TableText-bullet"/>
            </w:pPr>
            <w:r w:rsidRPr="008C1191">
              <w:t>stores or has access to information that has a security classification; or</w:t>
            </w:r>
          </w:p>
          <w:p w14:paraId="3B166D1F" w14:textId="1E515EEC" w:rsidR="00B877ED" w:rsidRPr="008C1191" w:rsidRDefault="00B877ED" w:rsidP="00022E40">
            <w:pPr>
              <w:pStyle w:val="TableText-bullet"/>
            </w:pPr>
            <w:r w:rsidRPr="008C1191">
              <w:t>stores or maintains personal information of defence and intelligence personnel collected by the Australian Defence Force, the Defence Department or an agency in the national intelligence community which, if accessed, could compromise Australia</w:t>
            </w:r>
            <w:r w:rsidR="00065800">
              <w:t>’</w:t>
            </w:r>
            <w:r w:rsidRPr="008C1191">
              <w:t>s national security; or</w:t>
            </w:r>
          </w:p>
          <w:p w14:paraId="666522BD" w14:textId="22B9D8F0" w:rsidR="00B877ED" w:rsidRPr="008C1191" w:rsidRDefault="00B877ED" w:rsidP="00022E40">
            <w:pPr>
              <w:pStyle w:val="TableText-bullet"/>
            </w:pPr>
            <w:r w:rsidRPr="008C1191">
              <w:t>collects, as part of an arrangement with the Australian Defence Force, the Defence Department or an agency in the national intelligence community, personal information on defence and intelligence personnel which, if disclosed, could compromise Australia</w:t>
            </w:r>
            <w:r w:rsidR="00065800">
              <w:t>’</w:t>
            </w:r>
            <w:r w:rsidRPr="008C1191">
              <w:t xml:space="preserve">s national security; or </w:t>
            </w:r>
          </w:p>
          <w:p w14:paraId="50F29CC1" w14:textId="59DDC28A" w:rsidR="00B877ED" w:rsidRPr="008C1191" w:rsidRDefault="00B877ED" w:rsidP="00022E40">
            <w:pPr>
              <w:pStyle w:val="TableText-bullet"/>
            </w:pPr>
            <w:r w:rsidRPr="008C1191">
              <w:t>stores, maintains or has access to personal information on defence and intelligence personnel that has been collected as part of an arrangement with the Australian Defence Force, the Defence Department or an agency within the national intelligence community, which, if disclosed, could compromise Australia</w:t>
            </w:r>
            <w:r w:rsidR="00065800">
              <w:t>’</w:t>
            </w:r>
            <w:r w:rsidRPr="008C1191">
              <w:t>s national security.</w:t>
            </w:r>
          </w:p>
        </w:tc>
      </w:tr>
      <w:tr w:rsidR="00B877ED" w:rsidRPr="00CE2FB6" w14:paraId="7E53F4E0" w14:textId="77777777" w:rsidTr="009542CF">
        <w:trPr>
          <w:cantSplit/>
        </w:trPr>
        <w:tc>
          <w:tcPr>
            <w:tcW w:w="1413" w:type="dxa"/>
          </w:tcPr>
          <w:p w14:paraId="3ABD80E7" w14:textId="77777777" w:rsidR="00B877ED" w:rsidRPr="008C1191" w:rsidRDefault="00B877ED" w:rsidP="009542CF">
            <w:pPr>
              <w:pStyle w:val="TableTextLeft"/>
            </w:pPr>
            <w:r w:rsidRPr="008C1191">
              <w:t>National security land</w:t>
            </w:r>
          </w:p>
        </w:tc>
        <w:tc>
          <w:tcPr>
            <w:tcW w:w="6287" w:type="dxa"/>
          </w:tcPr>
          <w:p w14:paraId="1306E853" w14:textId="77777777" w:rsidR="00B877ED" w:rsidRPr="008C1191" w:rsidRDefault="00B877ED" w:rsidP="009542CF">
            <w:pPr>
              <w:pStyle w:val="TableTextLeft"/>
            </w:pPr>
            <w:r w:rsidRPr="008C1191">
              <w:t>National security land means:</w:t>
            </w:r>
          </w:p>
          <w:p w14:paraId="0B0B79CB" w14:textId="77777777" w:rsidR="00B877ED" w:rsidRPr="008C1191" w:rsidRDefault="00B877ED" w:rsidP="00022E40">
            <w:pPr>
              <w:pStyle w:val="TableText-bullet"/>
            </w:pPr>
            <w:r w:rsidRPr="008C1191">
              <w:t xml:space="preserve">defence premises (within the meaning of section 71A of the </w:t>
            </w:r>
            <w:r w:rsidRPr="008C1191">
              <w:rPr>
                <w:i/>
                <w:iCs/>
              </w:rPr>
              <w:t>Defence Act 1903</w:t>
            </w:r>
            <w:r w:rsidRPr="008C1191">
              <w:t>, excluding subparagraph (a)(iii) of the definition of that expression); or</w:t>
            </w:r>
          </w:p>
          <w:p w14:paraId="524C18B7" w14:textId="77777777" w:rsidR="00B877ED" w:rsidRPr="008C1191" w:rsidRDefault="00B877ED" w:rsidP="00022E40">
            <w:pPr>
              <w:pStyle w:val="TableText-bullet"/>
            </w:pPr>
            <w:r w:rsidRPr="008C1191">
              <w:t>land in which the Commonwealth, as represented by an agency in the national intelligence community, has an interest that:</w:t>
            </w:r>
          </w:p>
          <w:p w14:paraId="4C5D189E" w14:textId="77777777" w:rsidR="00B877ED" w:rsidRPr="008C1191" w:rsidRDefault="00B877ED" w:rsidP="00022E40">
            <w:pPr>
              <w:pStyle w:val="TableText-dash"/>
            </w:pPr>
            <w:r w:rsidRPr="008C1191">
              <w:t>is publicly known; or</w:t>
            </w:r>
          </w:p>
          <w:p w14:paraId="2A865412" w14:textId="77777777" w:rsidR="00B877ED" w:rsidRPr="008C1191" w:rsidRDefault="00B877ED" w:rsidP="00022E40">
            <w:pPr>
              <w:pStyle w:val="TableText-dash"/>
            </w:pPr>
            <w:r w:rsidRPr="008C1191">
              <w:t>could be known upon the making of reasonable inquiries.</w:t>
            </w:r>
          </w:p>
        </w:tc>
      </w:tr>
      <w:tr w:rsidR="00B877ED" w:rsidRPr="00CE2FB6" w14:paraId="771D2A3B" w14:textId="77777777" w:rsidTr="009542CF">
        <w:trPr>
          <w:cantSplit/>
        </w:trPr>
        <w:tc>
          <w:tcPr>
            <w:tcW w:w="1413" w:type="dxa"/>
          </w:tcPr>
          <w:p w14:paraId="75E63A5F" w14:textId="77777777" w:rsidR="00B877ED" w:rsidRPr="008C1191" w:rsidRDefault="00B877ED" w:rsidP="009542CF">
            <w:pPr>
              <w:pStyle w:val="TableTextLeft"/>
            </w:pPr>
            <w:r w:rsidRPr="008C1191">
              <w:t>New dwelling</w:t>
            </w:r>
          </w:p>
        </w:tc>
        <w:tc>
          <w:tcPr>
            <w:tcW w:w="6287" w:type="dxa"/>
          </w:tcPr>
          <w:p w14:paraId="1C5A383D" w14:textId="77777777" w:rsidR="00B877ED" w:rsidRPr="008C1191" w:rsidRDefault="00B877ED" w:rsidP="009542CF">
            <w:pPr>
              <w:pStyle w:val="TableTextLeft"/>
            </w:pPr>
            <w:r w:rsidRPr="008C1191">
              <w:t>A dwelling (except commercial residential premises) that will be, is being or has been built on residential land and that:</w:t>
            </w:r>
          </w:p>
          <w:p w14:paraId="4C2C3B06" w14:textId="77777777" w:rsidR="00B877ED" w:rsidRPr="008C1191" w:rsidRDefault="00B877ED" w:rsidP="00022E40">
            <w:pPr>
              <w:pStyle w:val="TableText-bullet"/>
            </w:pPr>
            <w:r w:rsidRPr="008C1191">
              <w:t>has not been previously sold as a dwelling; and</w:t>
            </w:r>
          </w:p>
          <w:p w14:paraId="57E13E3A" w14:textId="7873C4A6" w:rsidR="00B877ED" w:rsidRPr="008C1191" w:rsidRDefault="00B877ED" w:rsidP="00022E40">
            <w:pPr>
              <w:pStyle w:val="TableText-bullet"/>
            </w:pPr>
            <w:r w:rsidRPr="008C1191">
              <w:t>either has not been previously occupied; or if the dwelling is contained in a development and the dwelling was sold by the developer of the development</w:t>
            </w:r>
            <w:r w:rsidR="00065800">
              <w:t xml:space="preserve"> – </w:t>
            </w:r>
            <w:r w:rsidRPr="008C1191">
              <w:t>has not been previously occupied for more than 12 months total.</w:t>
            </w:r>
          </w:p>
        </w:tc>
      </w:tr>
      <w:tr w:rsidR="00B877ED" w:rsidRPr="00CE2FB6" w14:paraId="15C17CB0" w14:textId="77777777" w:rsidTr="009542CF">
        <w:trPr>
          <w:cantSplit/>
        </w:trPr>
        <w:tc>
          <w:tcPr>
            <w:tcW w:w="1413" w:type="dxa"/>
          </w:tcPr>
          <w:p w14:paraId="34EA209B" w14:textId="2ECBE83C" w:rsidR="00B877ED" w:rsidRPr="008C1191" w:rsidRDefault="00B877ED" w:rsidP="009542CF">
            <w:pPr>
              <w:pStyle w:val="TableTextLeft"/>
            </w:pPr>
            <w:r w:rsidRPr="008C1191">
              <w:t>Non</w:t>
            </w:r>
            <w:r w:rsidR="003E7C79">
              <w:t>–</w:t>
            </w:r>
            <w:r w:rsidRPr="008C1191">
              <w:t>compliant</w:t>
            </w:r>
          </w:p>
        </w:tc>
        <w:tc>
          <w:tcPr>
            <w:tcW w:w="6287" w:type="dxa"/>
          </w:tcPr>
          <w:p w14:paraId="14F1A7DD" w14:textId="77777777" w:rsidR="00B877ED" w:rsidRPr="008C1191" w:rsidRDefault="00B877ED" w:rsidP="009542CF">
            <w:pPr>
              <w:pStyle w:val="TableTextLeft"/>
            </w:pPr>
            <w:r w:rsidRPr="008C1191">
              <w:t>The applicant is unable to provide sufficient evidence to demonstrate compliance with the condition.</w:t>
            </w:r>
          </w:p>
        </w:tc>
      </w:tr>
      <w:tr w:rsidR="00B877ED" w:rsidRPr="00CE2FB6" w14:paraId="30B34728" w14:textId="77777777" w:rsidTr="009542CF">
        <w:trPr>
          <w:cantSplit/>
        </w:trPr>
        <w:tc>
          <w:tcPr>
            <w:tcW w:w="1413" w:type="dxa"/>
          </w:tcPr>
          <w:p w14:paraId="3AD936A4" w14:textId="77777777" w:rsidR="00B877ED" w:rsidRPr="008C1191" w:rsidRDefault="00B877ED" w:rsidP="009542CF">
            <w:pPr>
              <w:pStyle w:val="TableTextLeft"/>
            </w:pPr>
            <w:r w:rsidRPr="008C1191">
              <w:t>Notifiable national security action</w:t>
            </w:r>
          </w:p>
        </w:tc>
        <w:tc>
          <w:tcPr>
            <w:tcW w:w="6287" w:type="dxa"/>
          </w:tcPr>
          <w:p w14:paraId="3A120F17" w14:textId="77777777" w:rsidR="00B877ED" w:rsidRPr="008C1191" w:rsidRDefault="00B877ED" w:rsidP="009542CF">
            <w:pPr>
              <w:pStyle w:val="TableTextLeft"/>
            </w:pPr>
            <w:r w:rsidRPr="008C1191">
              <w:t>An action is a notifiable national security action if the action is taken, or proposed to be taken, by a foreign person and the action is any of the following:</w:t>
            </w:r>
          </w:p>
          <w:p w14:paraId="61D9B334" w14:textId="77777777" w:rsidR="00B877ED" w:rsidRPr="008C1191" w:rsidRDefault="00B877ED" w:rsidP="00022E40">
            <w:pPr>
              <w:pStyle w:val="TableText-bullet"/>
            </w:pPr>
            <w:r w:rsidRPr="008C1191">
              <w:t>to start a national security business;</w:t>
            </w:r>
          </w:p>
          <w:p w14:paraId="77BCC786" w14:textId="77777777" w:rsidR="00B877ED" w:rsidRPr="008C1191" w:rsidRDefault="00B877ED" w:rsidP="00022E40">
            <w:pPr>
              <w:pStyle w:val="TableText-bullet"/>
            </w:pPr>
            <w:r w:rsidRPr="008C1191">
              <w:t>to acquire a direct interest in a national security business;</w:t>
            </w:r>
          </w:p>
          <w:p w14:paraId="203F66A1" w14:textId="77777777" w:rsidR="00B877ED" w:rsidRPr="008C1191" w:rsidRDefault="00B877ED" w:rsidP="00022E40">
            <w:pPr>
              <w:pStyle w:val="TableText-bullet"/>
            </w:pPr>
            <w:r w:rsidRPr="008C1191">
              <w:t>to acquire a direct interest in an entity that carries on a national security business;</w:t>
            </w:r>
          </w:p>
          <w:p w14:paraId="3B50E736" w14:textId="77777777" w:rsidR="00B877ED" w:rsidRPr="008C1191" w:rsidRDefault="00B877ED" w:rsidP="00022E40">
            <w:pPr>
              <w:pStyle w:val="TableText-bullet"/>
            </w:pPr>
            <w:r w:rsidRPr="008C1191">
              <w:t>to acquire an interest in Australian land that, at the time of acquisition, is national security land; or</w:t>
            </w:r>
          </w:p>
          <w:p w14:paraId="29C2C95A" w14:textId="77777777" w:rsidR="00B877ED" w:rsidRPr="008C1191" w:rsidRDefault="00B877ED" w:rsidP="00022E40">
            <w:pPr>
              <w:pStyle w:val="TableText-bullet"/>
            </w:pPr>
            <w:r w:rsidRPr="008C1191">
              <w:t>to acquire a legal or equitable interest in an exploration tenement in respect of Australian land that, at the time of acquisition, is national security land.</w:t>
            </w:r>
          </w:p>
        </w:tc>
      </w:tr>
      <w:tr w:rsidR="00B877ED" w:rsidRPr="00CE2FB6" w14:paraId="1BD71E9D" w14:textId="77777777" w:rsidTr="009542CF">
        <w:trPr>
          <w:cantSplit/>
        </w:trPr>
        <w:tc>
          <w:tcPr>
            <w:tcW w:w="1413" w:type="dxa"/>
          </w:tcPr>
          <w:p w14:paraId="68BD8B9E" w14:textId="77777777" w:rsidR="00B877ED" w:rsidRPr="008C1191" w:rsidRDefault="00B877ED" w:rsidP="009542CF">
            <w:pPr>
              <w:pStyle w:val="TableTextLeft"/>
            </w:pPr>
            <w:r w:rsidRPr="008C1191">
              <w:lastRenderedPageBreak/>
              <w:t>Observation</w:t>
            </w:r>
          </w:p>
        </w:tc>
        <w:tc>
          <w:tcPr>
            <w:tcW w:w="6287" w:type="dxa"/>
          </w:tcPr>
          <w:p w14:paraId="4AA20E2E" w14:textId="77777777" w:rsidR="00B877ED" w:rsidRPr="008C1191" w:rsidRDefault="00B877ED" w:rsidP="009542CF">
            <w:pPr>
              <w:pStyle w:val="TableTextLeft"/>
            </w:pPr>
            <w:r w:rsidRPr="008C1191">
              <w:t>Compliance with the condition has been observed. However, observations were made during the audit which may relate to:</w:t>
            </w:r>
          </w:p>
          <w:p w14:paraId="4606D620" w14:textId="77777777" w:rsidR="00B877ED" w:rsidRPr="008C1191" w:rsidRDefault="00B877ED" w:rsidP="00022E40">
            <w:pPr>
              <w:pStyle w:val="TableText-bullet"/>
            </w:pPr>
            <w:r w:rsidRPr="008C1191">
              <w:t>potential enhancements to processes, documents or systems to improve effectiveness of compliance outcomes; or</w:t>
            </w:r>
          </w:p>
          <w:p w14:paraId="0F51542F" w14:textId="77777777" w:rsidR="00B877ED" w:rsidRPr="008C1191" w:rsidRDefault="00B877ED" w:rsidP="00022E40">
            <w:pPr>
              <w:pStyle w:val="TableText-bullet"/>
            </w:pPr>
            <w:r w:rsidRPr="008C1191">
              <w:t>potential risks to ongoing or future compliance; or</w:t>
            </w:r>
          </w:p>
          <w:p w14:paraId="3E173849" w14:textId="770090C5" w:rsidR="00B877ED" w:rsidRPr="008C1191" w:rsidRDefault="00B877ED" w:rsidP="00022E40">
            <w:pPr>
              <w:pStyle w:val="TableText-bullet"/>
            </w:pPr>
            <w:r w:rsidRPr="008C1191">
              <w:t>the applicant</w:t>
            </w:r>
            <w:r w:rsidR="00065800">
              <w:t>’</w:t>
            </w:r>
            <w:r w:rsidRPr="008C1191">
              <w:t>s engagement during the audit process.</w:t>
            </w:r>
          </w:p>
        </w:tc>
      </w:tr>
      <w:tr w:rsidR="00B877ED" w:rsidRPr="00CE2FB6" w14:paraId="59BA1D55" w14:textId="77777777" w:rsidTr="009542CF">
        <w:trPr>
          <w:cantSplit/>
        </w:trPr>
        <w:tc>
          <w:tcPr>
            <w:tcW w:w="1413" w:type="dxa"/>
          </w:tcPr>
          <w:p w14:paraId="26BE3B90" w14:textId="77777777" w:rsidR="00B877ED" w:rsidRPr="008C1191" w:rsidRDefault="00B877ED" w:rsidP="009542CF">
            <w:pPr>
              <w:pStyle w:val="TableTextLeft"/>
            </w:pPr>
            <w:r w:rsidRPr="008C1191">
              <w:t>Ordinarily resident</w:t>
            </w:r>
          </w:p>
        </w:tc>
        <w:tc>
          <w:tcPr>
            <w:tcW w:w="6287" w:type="dxa"/>
          </w:tcPr>
          <w:p w14:paraId="6AFFC493" w14:textId="77777777" w:rsidR="00B877ED" w:rsidRPr="008C1191" w:rsidRDefault="00B877ED" w:rsidP="00022E40">
            <w:pPr>
              <w:pStyle w:val="TableTextLeft"/>
              <w:tabs>
                <w:tab w:val="left" w:pos="357"/>
              </w:tabs>
              <w:ind w:left="227" w:hanging="227"/>
            </w:pPr>
            <w:r w:rsidRPr="008C1191">
              <w:t>1.</w:t>
            </w:r>
            <w:r w:rsidRPr="008C1191">
              <w:tab/>
              <w:t>An individual who is not an Australian citizen is ordinarily resident in Australia at a particular time if and only if:</w:t>
            </w:r>
          </w:p>
          <w:p w14:paraId="71251D42" w14:textId="77777777" w:rsidR="00B877ED" w:rsidRPr="008C1191" w:rsidRDefault="00B877ED" w:rsidP="00022E40">
            <w:pPr>
              <w:pStyle w:val="TableTextLeft"/>
              <w:ind w:left="454" w:hanging="227"/>
            </w:pPr>
            <w:r w:rsidRPr="008C1191">
              <w:t>a.</w:t>
            </w:r>
            <w:r w:rsidRPr="008C1191">
              <w:tab/>
              <w:t>the individual has actually been in Australia during 200 or more days in the period of 12 months immediately preceding that time; and</w:t>
            </w:r>
          </w:p>
          <w:p w14:paraId="37E04F82" w14:textId="77777777" w:rsidR="00B877ED" w:rsidRPr="008C1191" w:rsidRDefault="00B877ED" w:rsidP="00022E40">
            <w:pPr>
              <w:pStyle w:val="TableTextLeft"/>
              <w:ind w:left="454" w:hanging="227"/>
            </w:pPr>
            <w:r w:rsidRPr="008C1191">
              <w:t>b.</w:t>
            </w:r>
            <w:r w:rsidRPr="008C1191">
              <w:tab/>
              <w:t>at that time:</w:t>
            </w:r>
          </w:p>
          <w:p w14:paraId="335702AC" w14:textId="137A93F9" w:rsidR="00B877ED" w:rsidRPr="008C1191" w:rsidRDefault="00B877ED" w:rsidP="00022E40">
            <w:pPr>
              <w:pStyle w:val="TableTextLeft"/>
              <w:ind w:left="681" w:hanging="227"/>
            </w:pPr>
            <w:proofErr w:type="spellStart"/>
            <w:r w:rsidRPr="008C1191">
              <w:t>i</w:t>
            </w:r>
            <w:proofErr w:type="spellEnd"/>
            <w:r w:rsidRPr="008C1191">
              <w:t>.</w:t>
            </w:r>
            <w:r w:rsidRPr="008C1191">
              <w:tab/>
              <w:t>the individual is in Australia and the individual</w:t>
            </w:r>
            <w:r w:rsidR="00065800">
              <w:t>’</w:t>
            </w:r>
            <w:r w:rsidRPr="008C1191">
              <w:t>s continued presence in Australia is not subject to any limitation as to time imposed by law; or</w:t>
            </w:r>
          </w:p>
          <w:p w14:paraId="2C0E4F29" w14:textId="6B65787F" w:rsidR="00B877ED" w:rsidRPr="008C1191" w:rsidRDefault="00B877ED" w:rsidP="00022E40">
            <w:pPr>
              <w:pStyle w:val="TableTextLeft"/>
              <w:ind w:left="681" w:hanging="227"/>
            </w:pPr>
            <w:r w:rsidRPr="008C1191">
              <w:t>ii.</w:t>
            </w:r>
            <w:r w:rsidRPr="008C1191">
              <w:tab/>
              <w:t>the individual is not in Australia but, immediately before the individual</w:t>
            </w:r>
            <w:r w:rsidR="00065800">
              <w:t>’</w:t>
            </w:r>
            <w:r w:rsidRPr="008C1191">
              <w:t>s most recent departure from Australia, the individual</w:t>
            </w:r>
            <w:r w:rsidR="00065800">
              <w:t>’</w:t>
            </w:r>
            <w:r w:rsidRPr="008C1191">
              <w:t>s continued presence in Australia was not subject to any limitation as to time imposed by law.</w:t>
            </w:r>
          </w:p>
          <w:p w14:paraId="3BFFA718" w14:textId="46D27421" w:rsidR="00B877ED" w:rsidRPr="008C1191" w:rsidRDefault="00B877ED" w:rsidP="00022E40">
            <w:pPr>
              <w:pStyle w:val="TableTextLeft"/>
              <w:tabs>
                <w:tab w:val="left" w:pos="357"/>
              </w:tabs>
              <w:ind w:left="227" w:hanging="227"/>
            </w:pPr>
            <w:r w:rsidRPr="008C1191">
              <w:t>2.</w:t>
            </w:r>
            <w:r w:rsidRPr="008C1191">
              <w:tab/>
              <w:t>Without limiting paragraph (1)(b), an individual</w:t>
            </w:r>
            <w:r w:rsidR="00065800">
              <w:t>’</w:t>
            </w:r>
            <w:r w:rsidRPr="008C1191">
              <w:t>s continued presence in Australia is subject to a limitation as to time imposed by law if the individual is an unlawful non</w:t>
            </w:r>
            <w:r w:rsidR="00022E40">
              <w:noBreakHyphen/>
            </w:r>
            <w:r w:rsidRPr="008C1191">
              <w:t xml:space="preserve">citizen within the meaning of the </w:t>
            </w:r>
            <w:r w:rsidRPr="008C1191">
              <w:rPr>
                <w:i/>
              </w:rPr>
              <w:t>Migration Act 1958</w:t>
            </w:r>
            <w:r w:rsidRPr="008C1191">
              <w:t>.</w:t>
            </w:r>
          </w:p>
        </w:tc>
      </w:tr>
      <w:tr w:rsidR="00B877ED" w:rsidRPr="00CE2FB6" w14:paraId="0510DAC0" w14:textId="77777777" w:rsidTr="009542CF">
        <w:trPr>
          <w:cantSplit/>
        </w:trPr>
        <w:tc>
          <w:tcPr>
            <w:tcW w:w="1413" w:type="dxa"/>
          </w:tcPr>
          <w:p w14:paraId="54042902" w14:textId="77777777" w:rsidR="00B877ED" w:rsidRPr="008C1191" w:rsidRDefault="00B877ED" w:rsidP="009542CF">
            <w:pPr>
              <w:pStyle w:val="TableTextLeft"/>
            </w:pPr>
            <w:r w:rsidRPr="008C1191">
              <w:t>Partially compliant</w:t>
            </w:r>
          </w:p>
        </w:tc>
        <w:tc>
          <w:tcPr>
            <w:tcW w:w="6287" w:type="dxa"/>
          </w:tcPr>
          <w:p w14:paraId="3EA6177B" w14:textId="77777777" w:rsidR="00B877ED" w:rsidRPr="008C1191" w:rsidRDefault="00B877ED" w:rsidP="009542CF">
            <w:pPr>
              <w:pStyle w:val="TableTextLeft"/>
            </w:pPr>
            <w:r w:rsidRPr="008C1191">
              <w:t>The compliance audit has concluded that the applicant is:</w:t>
            </w:r>
          </w:p>
          <w:p w14:paraId="04DF96CA" w14:textId="77777777" w:rsidR="00B877ED" w:rsidRPr="008C1191" w:rsidRDefault="00B877ED" w:rsidP="00022E40">
            <w:pPr>
              <w:pStyle w:val="TableText-bullet"/>
            </w:pPr>
            <w:r w:rsidRPr="008C1191">
              <w:t>compliant with some aspects of the condition, but not all, where the condition has a number of elements; or</w:t>
            </w:r>
          </w:p>
          <w:p w14:paraId="10A87357" w14:textId="77777777" w:rsidR="00B877ED" w:rsidRPr="008C1191" w:rsidRDefault="00B877ED" w:rsidP="00022E40">
            <w:pPr>
              <w:pStyle w:val="TableText-bullet"/>
            </w:pPr>
            <w:r w:rsidRPr="008C1191">
              <w:t>in the process of implementing controls to ensure compliance with the condition; or</w:t>
            </w:r>
          </w:p>
          <w:p w14:paraId="295D8DAC" w14:textId="77777777" w:rsidR="00B877ED" w:rsidRPr="008C1191" w:rsidRDefault="00B877ED" w:rsidP="00022E40">
            <w:pPr>
              <w:pStyle w:val="TableText-bullet"/>
            </w:pPr>
            <w:r w:rsidRPr="008C1191">
              <w:t>technically not in compliance with the condition, but able to demonstrate controls which mitigate the underlying risk and / or intent of the condition.</w:t>
            </w:r>
          </w:p>
        </w:tc>
      </w:tr>
      <w:tr w:rsidR="00B877ED" w:rsidRPr="00CE2FB6" w14:paraId="3EC187C8" w14:textId="77777777" w:rsidTr="009542CF">
        <w:trPr>
          <w:cantSplit/>
        </w:trPr>
        <w:tc>
          <w:tcPr>
            <w:tcW w:w="1413" w:type="dxa"/>
          </w:tcPr>
          <w:p w14:paraId="72A4B45D" w14:textId="77777777" w:rsidR="00B877ED" w:rsidRPr="008C1191" w:rsidRDefault="00B877ED" w:rsidP="009542CF">
            <w:pPr>
              <w:pStyle w:val="TableTextLeft"/>
            </w:pPr>
            <w:r w:rsidRPr="008C1191">
              <w:t>Residential land</w:t>
            </w:r>
          </w:p>
        </w:tc>
        <w:tc>
          <w:tcPr>
            <w:tcW w:w="6287" w:type="dxa"/>
          </w:tcPr>
          <w:p w14:paraId="33A851F7" w14:textId="77777777" w:rsidR="00B877ED" w:rsidRPr="008C1191" w:rsidRDefault="00B877ED" w:rsidP="009542CF">
            <w:pPr>
              <w:pStyle w:val="TableTextLeft"/>
            </w:pPr>
            <w:r w:rsidRPr="008C1191">
              <w:t>Land in Australia if:</w:t>
            </w:r>
          </w:p>
          <w:p w14:paraId="5B5D4613" w14:textId="77777777" w:rsidR="00B877ED" w:rsidRPr="008C1191" w:rsidRDefault="00B877ED" w:rsidP="00022E40">
            <w:pPr>
              <w:pStyle w:val="TableText-bullet"/>
            </w:pPr>
            <w:r w:rsidRPr="008C1191">
              <w:t>there is at least one dwelling on the land; or</w:t>
            </w:r>
          </w:p>
          <w:p w14:paraId="24561C79" w14:textId="3B122314" w:rsidR="00B877ED" w:rsidRPr="008C1191" w:rsidRDefault="00B877ED" w:rsidP="00022E40">
            <w:pPr>
              <w:pStyle w:val="TableText-bullet"/>
            </w:pPr>
            <w:r w:rsidRPr="008C1191">
              <w:t xml:space="preserve">the number of dwellings that could reasonably be built on the land is less than the number prescribed by the regulations (10 in </w:t>
            </w:r>
            <w:r w:rsidR="00D76ED2">
              <w:t>2019</w:t>
            </w:r>
            <w:r w:rsidR="00D76ED2">
              <w:noBreakHyphen/>
              <w:t>20</w:t>
            </w:r>
            <w:r w:rsidRPr="008C1191">
              <w:t>); and</w:t>
            </w:r>
          </w:p>
          <w:p w14:paraId="168F1212" w14:textId="77777777" w:rsidR="00B877ED" w:rsidRPr="008C1191" w:rsidRDefault="00B877ED" w:rsidP="00022E40">
            <w:pPr>
              <w:pStyle w:val="TableText-bullet"/>
            </w:pPr>
            <w:r w:rsidRPr="008C1191">
              <w:t>does not include land:</w:t>
            </w:r>
          </w:p>
          <w:p w14:paraId="09B4F44A" w14:textId="77777777" w:rsidR="00B877ED" w:rsidRPr="008C1191" w:rsidRDefault="00B877ED" w:rsidP="00022E40">
            <w:pPr>
              <w:pStyle w:val="TableText-dash"/>
            </w:pPr>
            <w:r w:rsidRPr="008C1191">
              <w:t>used wholly and exclusively for a primary production business; or</w:t>
            </w:r>
          </w:p>
          <w:p w14:paraId="7E0C73C0" w14:textId="77777777" w:rsidR="00B877ED" w:rsidRPr="008C1191" w:rsidRDefault="00B877ED" w:rsidP="00022E40">
            <w:pPr>
              <w:pStyle w:val="TableText-dash"/>
            </w:pPr>
            <w:r w:rsidRPr="008C1191">
              <w:t>on which the only dwellings are commercial residential premises.</w:t>
            </w:r>
          </w:p>
        </w:tc>
      </w:tr>
      <w:tr w:rsidR="00B877ED" w:rsidRPr="00CE2FB6" w14:paraId="5C2AD228" w14:textId="77777777" w:rsidTr="009542CF">
        <w:trPr>
          <w:cantSplit/>
        </w:trPr>
        <w:tc>
          <w:tcPr>
            <w:tcW w:w="1413" w:type="dxa"/>
          </w:tcPr>
          <w:p w14:paraId="2182E763" w14:textId="77777777" w:rsidR="00B877ED" w:rsidRPr="008C1191" w:rsidRDefault="00B877ED" w:rsidP="009542CF">
            <w:pPr>
              <w:pStyle w:val="TableTextLeft"/>
            </w:pPr>
            <w:r w:rsidRPr="008C1191">
              <w:t>Reviewable national security action</w:t>
            </w:r>
          </w:p>
        </w:tc>
        <w:tc>
          <w:tcPr>
            <w:tcW w:w="6287" w:type="dxa"/>
          </w:tcPr>
          <w:p w14:paraId="35F391BD" w14:textId="77777777" w:rsidR="00B877ED" w:rsidRPr="008C1191" w:rsidRDefault="00B877ED" w:rsidP="009542CF">
            <w:pPr>
              <w:pStyle w:val="TableTextLeft"/>
            </w:pPr>
            <w:r w:rsidRPr="008C1191">
              <w:t>Reviewable national security actions are actions to give foreign persons potential influence and rights, such as the ability to influence or participate in the central management or policy of an entity or business, or the right to occupy Australian land. This includes instances where a foreign person is already in a position to influence or participate in the central management or control of the entity, but as a result of the reviewable national security action gains further power to influence or participate.</w:t>
            </w:r>
          </w:p>
        </w:tc>
      </w:tr>
      <w:tr w:rsidR="00B877ED" w:rsidRPr="00CE2FB6" w14:paraId="34E21D91" w14:textId="77777777" w:rsidTr="009542CF">
        <w:trPr>
          <w:cantSplit/>
          <w:tblHeader/>
        </w:trPr>
        <w:tc>
          <w:tcPr>
            <w:tcW w:w="1413" w:type="dxa"/>
          </w:tcPr>
          <w:p w14:paraId="71CD21D8" w14:textId="77777777" w:rsidR="00B877ED" w:rsidRPr="008C1191" w:rsidRDefault="00B877ED" w:rsidP="009542CF">
            <w:pPr>
              <w:pStyle w:val="TableTextLeft"/>
            </w:pPr>
            <w:r w:rsidRPr="008C1191">
              <w:t>Substantial interest</w:t>
            </w:r>
          </w:p>
        </w:tc>
        <w:tc>
          <w:tcPr>
            <w:tcW w:w="6287" w:type="dxa"/>
          </w:tcPr>
          <w:p w14:paraId="65984916" w14:textId="77777777" w:rsidR="00B877ED" w:rsidRPr="008C1191" w:rsidRDefault="00B877ED" w:rsidP="009542CF">
            <w:pPr>
              <w:pStyle w:val="TableTextLeft"/>
            </w:pPr>
            <w:r w:rsidRPr="008C1191">
              <w:t>A person holds a substantial interest in an entity or trust if:</w:t>
            </w:r>
          </w:p>
          <w:p w14:paraId="1E38C74E" w14:textId="5E98E6F0" w:rsidR="00B877ED" w:rsidRPr="008C1191" w:rsidRDefault="00B877ED" w:rsidP="00022E40">
            <w:pPr>
              <w:pStyle w:val="TableText-bullet"/>
            </w:pPr>
            <w:r w:rsidRPr="008C1191">
              <w:t>for an entity</w:t>
            </w:r>
            <w:r w:rsidR="00065800">
              <w:t xml:space="preserve"> – </w:t>
            </w:r>
            <w:r w:rsidRPr="008C1191">
              <w:t>the person holds an interest of at least 20 per cent in the entity; or</w:t>
            </w:r>
          </w:p>
          <w:p w14:paraId="0342CDE9" w14:textId="00C951C2" w:rsidR="00B877ED" w:rsidRPr="008C1191" w:rsidRDefault="00B877ED" w:rsidP="00022E40">
            <w:pPr>
              <w:pStyle w:val="TableText-bullet"/>
            </w:pPr>
            <w:r w:rsidRPr="008C1191">
              <w:t>for a trust (including a unit trust)</w:t>
            </w:r>
            <w:r w:rsidR="00065800">
              <w:t xml:space="preserve"> – </w:t>
            </w:r>
            <w:r w:rsidRPr="008C1191">
              <w:t>the person, together with any one or more associates, holds a beneficial interest in at least 20 per cent of the income or property of the trust.</w:t>
            </w:r>
          </w:p>
        </w:tc>
      </w:tr>
      <w:tr w:rsidR="00B877ED" w:rsidRPr="00CE2FB6" w14:paraId="0A761718" w14:textId="77777777" w:rsidTr="009542CF">
        <w:trPr>
          <w:cantSplit/>
        </w:trPr>
        <w:tc>
          <w:tcPr>
            <w:tcW w:w="1413" w:type="dxa"/>
          </w:tcPr>
          <w:p w14:paraId="619506D0" w14:textId="77777777" w:rsidR="00B877ED" w:rsidRPr="008C1191" w:rsidRDefault="00B877ED" w:rsidP="009542CF">
            <w:pPr>
              <w:pStyle w:val="TableTextLeft"/>
            </w:pPr>
            <w:r w:rsidRPr="008C1191">
              <w:lastRenderedPageBreak/>
              <w:t>Temporary resident</w:t>
            </w:r>
          </w:p>
        </w:tc>
        <w:tc>
          <w:tcPr>
            <w:tcW w:w="6287" w:type="dxa"/>
          </w:tcPr>
          <w:p w14:paraId="2D3340D1" w14:textId="77777777" w:rsidR="00B877ED" w:rsidRPr="008C1191" w:rsidRDefault="00B877ED" w:rsidP="009542CF">
            <w:pPr>
              <w:pStyle w:val="TableTextLeft"/>
            </w:pPr>
            <w:r w:rsidRPr="008C1191">
              <w:t>An individual who:</w:t>
            </w:r>
          </w:p>
          <w:p w14:paraId="224A50F1" w14:textId="77777777" w:rsidR="00B877ED" w:rsidRPr="008C1191" w:rsidRDefault="00B877ED" w:rsidP="00022E40">
            <w:pPr>
              <w:pStyle w:val="TableTextLeft"/>
              <w:tabs>
                <w:tab w:val="left" w:pos="357"/>
              </w:tabs>
              <w:ind w:left="227" w:hanging="227"/>
            </w:pPr>
            <w:r w:rsidRPr="008C1191">
              <w:t>1.</w:t>
            </w:r>
            <w:r w:rsidRPr="008C1191">
              <w:tab/>
              <w:t xml:space="preserve">holds a temporary visa under the </w:t>
            </w:r>
            <w:r w:rsidRPr="008C1191">
              <w:rPr>
                <w:i/>
              </w:rPr>
              <w:t>Migration Act 1958</w:t>
            </w:r>
            <w:r w:rsidRPr="008C1191">
              <w:t xml:space="preserve"> that allows the individual to remain in Australia for a continuous period of more than 12 months (disregarding the amount of that period remaining); or</w:t>
            </w:r>
          </w:p>
          <w:p w14:paraId="180FFE2D" w14:textId="77777777" w:rsidR="00B877ED" w:rsidRPr="008C1191" w:rsidRDefault="00B877ED" w:rsidP="00022E40">
            <w:pPr>
              <w:pStyle w:val="TableTextLeft"/>
              <w:tabs>
                <w:tab w:val="left" w:pos="357"/>
              </w:tabs>
              <w:ind w:left="227" w:hanging="227"/>
            </w:pPr>
            <w:r w:rsidRPr="008C1191">
              <w:t>2.</w:t>
            </w:r>
            <w:r w:rsidRPr="008C1191">
              <w:tab/>
              <w:t>meets the following conditions:</w:t>
            </w:r>
          </w:p>
          <w:p w14:paraId="3896C8E8" w14:textId="77777777" w:rsidR="00B877ED" w:rsidRPr="008C1191" w:rsidRDefault="00B877ED" w:rsidP="00022E40">
            <w:pPr>
              <w:pStyle w:val="TableTextLeft"/>
              <w:ind w:left="454" w:hanging="227"/>
            </w:pPr>
            <w:r w:rsidRPr="008C1191">
              <w:t>a.</w:t>
            </w:r>
            <w:r w:rsidRPr="008C1191">
              <w:tab/>
              <w:t>the individual is residing in Australia;</w:t>
            </w:r>
          </w:p>
          <w:p w14:paraId="0BA64DD7" w14:textId="77777777" w:rsidR="00B877ED" w:rsidRPr="008C1191" w:rsidRDefault="00B877ED" w:rsidP="00022E40">
            <w:pPr>
              <w:pStyle w:val="TableTextLeft"/>
              <w:ind w:left="454" w:hanging="227"/>
            </w:pPr>
            <w:r w:rsidRPr="008C1191">
              <w:t>b.</w:t>
            </w:r>
            <w:r w:rsidRPr="008C1191">
              <w:tab/>
              <w:t xml:space="preserve">the individual has applied for a permanent visa under the </w:t>
            </w:r>
            <w:r w:rsidRPr="008C1191">
              <w:rPr>
                <w:i/>
              </w:rPr>
              <w:t>Migration Act 1958</w:t>
            </w:r>
            <w:r w:rsidRPr="008C1191">
              <w:t>;</w:t>
            </w:r>
          </w:p>
          <w:p w14:paraId="0604F79E" w14:textId="77777777" w:rsidR="00B877ED" w:rsidRPr="008C1191" w:rsidRDefault="00B877ED" w:rsidP="00022E40">
            <w:pPr>
              <w:pStyle w:val="TableTextLeft"/>
              <w:ind w:left="454" w:hanging="227"/>
            </w:pPr>
            <w:r w:rsidRPr="008C1191">
              <w:t>c.</w:t>
            </w:r>
            <w:r w:rsidRPr="008C1191">
              <w:tab/>
              <w:t>the individual holds a bridging visa under that Act that allows the individual to remain in Australia until the application has been finally determined; or</w:t>
            </w:r>
          </w:p>
          <w:p w14:paraId="079C18F5" w14:textId="77777777" w:rsidR="00B877ED" w:rsidRPr="008C1191" w:rsidRDefault="00B877ED" w:rsidP="00022E40">
            <w:pPr>
              <w:pStyle w:val="TableTextLeft"/>
              <w:tabs>
                <w:tab w:val="left" w:pos="357"/>
              </w:tabs>
              <w:ind w:left="227" w:hanging="227"/>
            </w:pPr>
            <w:r w:rsidRPr="008C1191">
              <w:t>3.</w:t>
            </w:r>
            <w:r w:rsidRPr="008C1191">
              <w:tab/>
              <w:t>meets the conditions prescribed by the regulations.</w:t>
            </w:r>
          </w:p>
        </w:tc>
      </w:tr>
      <w:tr w:rsidR="00B877ED" w:rsidRPr="00CE2FB6" w14:paraId="0F7D6143" w14:textId="77777777" w:rsidTr="009542CF">
        <w:trPr>
          <w:cantSplit/>
        </w:trPr>
        <w:tc>
          <w:tcPr>
            <w:tcW w:w="1413" w:type="dxa"/>
          </w:tcPr>
          <w:p w14:paraId="6F60AE03" w14:textId="77777777" w:rsidR="00B877ED" w:rsidRPr="008C1191" w:rsidRDefault="00B877ED" w:rsidP="009542CF">
            <w:pPr>
              <w:pStyle w:val="TableTextLeft"/>
            </w:pPr>
            <w:r w:rsidRPr="008C1191">
              <w:t>Vacant land</w:t>
            </w:r>
          </w:p>
        </w:tc>
        <w:tc>
          <w:tcPr>
            <w:tcW w:w="6287" w:type="dxa"/>
          </w:tcPr>
          <w:p w14:paraId="6B008F11" w14:textId="77777777" w:rsidR="00B877ED" w:rsidRPr="008C1191" w:rsidRDefault="00B877ED" w:rsidP="009542CF">
            <w:pPr>
              <w:pStyle w:val="TableTextLeft"/>
            </w:pPr>
            <w:r w:rsidRPr="008C1191">
              <w:t>Land is vacant if there is no substantive permanent building on the land that can be lawfully occupied by persons, goods or livestock.</w:t>
            </w:r>
          </w:p>
        </w:tc>
      </w:tr>
    </w:tbl>
    <w:p w14:paraId="136371C2" w14:textId="77777777" w:rsidR="00B877ED" w:rsidRPr="00CE2FB6" w:rsidRDefault="00B877ED" w:rsidP="00B877ED"/>
    <w:sectPr w:rsidR="00B877ED" w:rsidRPr="00CE2FB6" w:rsidSect="004D0AF0">
      <w:headerReference w:type="first" r:id="rId69"/>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DABB8" w14:textId="77777777" w:rsidR="005671CF" w:rsidRDefault="005671CF">
      <w:r>
        <w:separator/>
      </w:r>
    </w:p>
  </w:endnote>
  <w:endnote w:type="continuationSeparator" w:id="0">
    <w:p w14:paraId="765E8C33" w14:textId="77777777" w:rsidR="005671CF" w:rsidRDefault="005671CF">
      <w:r>
        <w:continuationSeparator/>
      </w:r>
    </w:p>
  </w:endnote>
  <w:endnote w:type="continuationNotice" w:id="1">
    <w:p w14:paraId="324AE6AF" w14:textId="77777777" w:rsidR="005671CF" w:rsidRDefault="005671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wiss 721 BT">
    <w:altName w:val="Calibri"/>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3505E" w14:textId="77777777" w:rsidR="005671CF" w:rsidRDefault="005671CF">
    <w:pPr>
      <w:pStyle w:val="FooterEven"/>
    </w:pPr>
    <w:r>
      <w:fldChar w:fldCharType="begin"/>
    </w:r>
    <w:r>
      <w:instrText xml:space="preserve"> PAGE </w:instrText>
    </w:r>
    <w:r>
      <w:fldChar w:fldCharType="separate"/>
    </w:r>
    <w:r>
      <w:rPr>
        <w:noProof/>
      </w:rPr>
      <w:t>4</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8590311"/>
      <w:docPartObj>
        <w:docPartGallery w:val="Page Numbers (Bottom of Page)"/>
        <w:docPartUnique/>
      </w:docPartObj>
    </w:sdtPr>
    <w:sdtEndPr/>
    <w:sdtContent>
      <w:p w14:paraId="47BC45E8" w14:textId="77777777" w:rsidR="00CB7A07" w:rsidRPr="00863986" w:rsidRDefault="00CB7A07" w:rsidP="00CB7A07">
        <w:pPr>
          <w:pStyle w:val="FooterOdd"/>
        </w:pPr>
        <w:r w:rsidRPr="001E666E">
          <w:t xml:space="preserve">Page </w:t>
        </w:r>
        <w:r w:rsidRPr="001E666E">
          <w:fldChar w:fldCharType="begin"/>
        </w:r>
        <w:r w:rsidRPr="001E666E">
          <w:instrText xml:space="preserve"> PAGE   \* MERGEFORMAT </w:instrText>
        </w:r>
        <w:r w:rsidRPr="001E666E">
          <w:fldChar w:fldCharType="separate"/>
        </w:r>
        <w:r>
          <w:t>iii</w:t>
        </w:r>
        <w:r w:rsidRPr="001E666E">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514289"/>
      <w:docPartObj>
        <w:docPartGallery w:val="Page Numbers (Bottom of Page)"/>
        <w:docPartUnique/>
      </w:docPartObj>
    </w:sdtPr>
    <w:sdtEndPr/>
    <w:sdtContent>
      <w:p w14:paraId="3EFEC873" w14:textId="77777777" w:rsidR="00CB7A07" w:rsidRPr="00863986" w:rsidRDefault="00CB7A07" w:rsidP="00CB7A07">
        <w:pPr>
          <w:pStyle w:val="FooterOdd"/>
        </w:pPr>
        <w:r w:rsidRPr="001E666E">
          <w:t xml:space="preserve">Page </w:t>
        </w:r>
        <w:r w:rsidRPr="001E666E">
          <w:fldChar w:fldCharType="begin"/>
        </w:r>
        <w:r w:rsidRPr="001E666E">
          <w:instrText xml:space="preserve"> PAGE   \* MERGEFORMAT </w:instrText>
        </w:r>
        <w:r w:rsidRPr="001E666E">
          <w:fldChar w:fldCharType="separate"/>
        </w:r>
        <w:r>
          <w:t>iii</w:t>
        </w:r>
        <w:r w:rsidRPr="001E666E">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485061"/>
      <w:docPartObj>
        <w:docPartGallery w:val="Page Numbers (Bottom of Page)"/>
        <w:docPartUnique/>
      </w:docPartObj>
    </w:sdtPr>
    <w:sdtEndPr/>
    <w:sdtContent>
      <w:p w14:paraId="289CA483" w14:textId="77777777" w:rsidR="00CB7A07" w:rsidRPr="00863986" w:rsidRDefault="00CB7A07" w:rsidP="00CB7A07">
        <w:pPr>
          <w:pStyle w:val="FooterOdd"/>
        </w:pPr>
        <w:r w:rsidRPr="001E666E">
          <w:t xml:space="preserve">Page </w:t>
        </w:r>
        <w:r w:rsidRPr="001E666E">
          <w:fldChar w:fldCharType="begin"/>
        </w:r>
        <w:r w:rsidRPr="001E666E">
          <w:instrText xml:space="preserve"> PAGE   \* MERGEFORMAT </w:instrText>
        </w:r>
        <w:r w:rsidRPr="001E666E">
          <w:fldChar w:fldCharType="separate"/>
        </w:r>
        <w:r>
          <w:t>iii</w:t>
        </w:r>
        <w:r w:rsidRPr="001E666E">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AED73" w14:textId="725BAF64" w:rsidR="00CB7A07" w:rsidRPr="00CB7A07" w:rsidRDefault="00CB7A07" w:rsidP="00CB7A0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467270"/>
      <w:docPartObj>
        <w:docPartGallery w:val="Page Numbers (Bottom of Page)"/>
        <w:docPartUnique/>
      </w:docPartObj>
    </w:sdtPr>
    <w:sdtEndPr/>
    <w:sdtContent>
      <w:p w14:paraId="49E659FC" w14:textId="12134D17" w:rsidR="008F29F0" w:rsidRPr="00CB7A07" w:rsidRDefault="008F29F0" w:rsidP="008F29F0">
        <w:pPr>
          <w:pStyle w:val="FooterOdd"/>
        </w:pPr>
        <w:r w:rsidRPr="001E666E">
          <w:t xml:space="preserve">Page </w:t>
        </w:r>
        <w:r w:rsidRPr="001E666E">
          <w:fldChar w:fldCharType="begin"/>
        </w:r>
        <w:r w:rsidRPr="001E666E">
          <w:instrText xml:space="preserve"> PAGE   \* MERGEFORMAT </w:instrText>
        </w:r>
        <w:r w:rsidRPr="001E666E">
          <w:fldChar w:fldCharType="separate"/>
        </w:r>
        <w:r>
          <w:t>33</w:t>
        </w:r>
        <w:r w:rsidRPr="001E666E">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BD6DC" w14:textId="7C1D0BDA" w:rsidR="00CB7A07" w:rsidRPr="008F29F0" w:rsidRDefault="00CB7A07" w:rsidP="008F29F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1E984" w14:textId="695A85B1" w:rsidR="00CB7A07" w:rsidRPr="00863986" w:rsidRDefault="00CB7A07" w:rsidP="00CB7A07">
    <w:pPr>
      <w:pStyle w:val="FooterOdd"/>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680794"/>
      <w:docPartObj>
        <w:docPartGallery w:val="Page Numbers (Bottom of Page)"/>
        <w:docPartUnique/>
      </w:docPartObj>
    </w:sdtPr>
    <w:sdtEndPr/>
    <w:sdtContent>
      <w:p w14:paraId="63CA57CF" w14:textId="0D640F35" w:rsidR="00CB7A07" w:rsidRPr="008F29F0" w:rsidRDefault="008F29F0" w:rsidP="008F29F0">
        <w:pPr>
          <w:pStyle w:val="FooterOdd"/>
        </w:pPr>
        <w:r w:rsidRPr="001E666E">
          <w:t xml:space="preserve">Page </w:t>
        </w:r>
        <w:r w:rsidRPr="001E666E">
          <w:fldChar w:fldCharType="begin"/>
        </w:r>
        <w:r w:rsidRPr="001E666E">
          <w:instrText xml:space="preserve"> PAGE   \* MERGEFORMAT </w:instrText>
        </w:r>
        <w:r w:rsidRPr="001E666E">
          <w:fldChar w:fldCharType="separate"/>
        </w:r>
        <w:r>
          <w:t>35</w:t>
        </w:r>
        <w:r w:rsidRPr="001E666E">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9986618"/>
      <w:docPartObj>
        <w:docPartGallery w:val="Page Numbers (Bottom of Page)"/>
        <w:docPartUnique/>
      </w:docPartObj>
    </w:sdtPr>
    <w:sdtEndPr/>
    <w:sdtContent>
      <w:p w14:paraId="52B00D59" w14:textId="22349F3A" w:rsidR="008F29F0" w:rsidRPr="00863986" w:rsidRDefault="008F29F0" w:rsidP="008F29F0">
        <w:pPr>
          <w:pStyle w:val="FooterEven"/>
        </w:pPr>
        <w:r w:rsidRPr="001E666E">
          <w:t xml:space="preserve">Page </w:t>
        </w:r>
        <w:r w:rsidRPr="001E666E">
          <w:fldChar w:fldCharType="begin"/>
        </w:r>
        <w:r w:rsidRPr="001E666E">
          <w:instrText xml:space="preserve"> PAGE   \* MERGEFORMAT </w:instrText>
        </w:r>
        <w:r w:rsidRPr="001E666E">
          <w:fldChar w:fldCharType="separate"/>
        </w:r>
        <w:r>
          <w:t>35</w:t>
        </w:r>
        <w:r w:rsidRPr="001E666E">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365551"/>
      <w:docPartObj>
        <w:docPartGallery w:val="Page Numbers (Bottom of Page)"/>
        <w:docPartUnique/>
      </w:docPartObj>
    </w:sdtPr>
    <w:sdtEndPr/>
    <w:sdtContent>
      <w:p w14:paraId="7986559B" w14:textId="77777777" w:rsidR="00CB7A07" w:rsidRPr="00863986" w:rsidRDefault="00CB7A07" w:rsidP="00CB7A07">
        <w:pPr>
          <w:pStyle w:val="FooterOdd"/>
        </w:pPr>
        <w:r w:rsidRPr="001E666E">
          <w:t xml:space="preserve">Page </w:t>
        </w:r>
        <w:r w:rsidRPr="001E666E">
          <w:fldChar w:fldCharType="begin"/>
        </w:r>
        <w:r w:rsidRPr="001E666E">
          <w:instrText xml:space="preserve"> PAGE   \* MERGEFORMAT </w:instrText>
        </w:r>
        <w:r w:rsidRPr="001E666E">
          <w:fldChar w:fldCharType="separate"/>
        </w:r>
        <w:r>
          <w:t>39</w:t>
        </w:r>
        <w:r w:rsidRPr="001E666E">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66F94" w14:textId="77777777" w:rsidR="005671CF" w:rsidRDefault="005671CF">
    <w:pPr>
      <w:pStyle w:val="FooterOdd"/>
    </w:pPr>
    <w:r>
      <w:fldChar w:fldCharType="begin"/>
    </w:r>
    <w:r>
      <w:instrText xml:space="preserve"> PAGE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917082"/>
      <w:docPartObj>
        <w:docPartGallery w:val="Page Numbers (Bottom of Page)"/>
        <w:docPartUnique/>
      </w:docPartObj>
    </w:sdtPr>
    <w:sdtEndPr/>
    <w:sdtContent>
      <w:p w14:paraId="7F6B6737" w14:textId="074D789D" w:rsidR="005671CF" w:rsidRDefault="00CB7A07" w:rsidP="00CB7A07">
        <w:pPr>
          <w:pStyle w:val="FooterEven"/>
        </w:pPr>
        <w:r w:rsidRPr="001E666E">
          <w:t xml:space="preserve">Page </w:t>
        </w:r>
        <w:r w:rsidRPr="001E666E">
          <w:fldChar w:fldCharType="begin"/>
        </w:r>
        <w:r w:rsidRPr="001E666E">
          <w:instrText xml:space="preserve"> PAGE   \* MERGEFORMAT </w:instrText>
        </w:r>
        <w:r w:rsidRPr="001E666E">
          <w:fldChar w:fldCharType="separate"/>
        </w:r>
        <w:r>
          <w:t>iii</w:t>
        </w:r>
        <w:r w:rsidRPr="001E666E">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3742"/>
      <w:docPartObj>
        <w:docPartGallery w:val="Page Numbers (Bottom of Page)"/>
        <w:docPartUnique/>
      </w:docPartObj>
    </w:sdtPr>
    <w:sdtEndPr/>
    <w:sdtContent>
      <w:p w14:paraId="1C90D2DA" w14:textId="2787E906" w:rsidR="005671CF" w:rsidRDefault="005671CF" w:rsidP="00FE016D">
        <w:pPr>
          <w:pStyle w:val="Footer"/>
          <w:jc w:val="right"/>
        </w:pPr>
        <w:r>
          <w:t xml:space="preserve">Page </w:t>
        </w:r>
        <w:r>
          <w:fldChar w:fldCharType="begin"/>
        </w:r>
        <w:r>
          <w:instrText xml:space="preserve"> PAGE   \* MERGEFORMAT </w:instrText>
        </w:r>
        <w:r>
          <w:fldChar w:fldCharType="separate"/>
        </w:r>
        <w:r>
          <w:t>2</w:t>
        </w:r>
        <w:r>
          <w:fldChar w:fldCharType="end"/>
        </w:r>
      </w:p>
    </w:sdtContent>
  </w:sdt>
  <w:p w14:paraId="4A63AA8B" w14:textId="41921733" w:rsidR="005671CF" w:rsidRDefault="005671CF" w:rsidP="00F2236E">
    <w:pPr>
      <w:pStyle w:val="FooterOd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ADBEA" w14:textId="77777777" w:rsidR="005671CF" w:rsidRPr="003711D9" w:rsidRDefault="005671CF" w:rsidP="001E666E">
    <w:pPr>
      <w:pStyle w:val="FooterEven"/>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036814"/>
      <w:docPartObj>
        <w:docPartGallery w:val="Page Numbers (Bottom of Page)"/>
        <w:docPartUnique/>
      </w:docPartObj>
    </w:sdtPr>
    <w:sdtEndPr/>
    <w:sdtContent>
      <w:p w14:paraId="6A68D5DC" w14:textId="1AC2ADA4" w:rsidR="005671CF" w:rsidRDefault="005671CF" w:rsidP="00065800">
        <w:pPr>
          <w:pStyle w:val="FooterOdd"/>
        </w:pPr>
        <w:r w:rsidRPr="001E666E">
          <w:t xml:space="preserve">Page </w:t>
        </w:r>
        <w:r w:rsidRPr="001E666E">
          <w:fldChar w:fldCharType="begin"/>
        </w:r>
        <w:r w:rsidRPr="001E666E">
          <w:instrText xml:space="preserve"> PAGE   \* MERGEFORMAT </w:instrText>
        </w:r>
        <w:r w:rsidRPr="001E666E">
          <w:fldChar w:fldCharType="separate"/>
        </w:r>
        <w:r w:rsidRPr="001E666E">
          <w:t>2</w:t>
        </w:r>
        <w:r w:rsidRPr="001E666E">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521704"/>
      <w:docPartObj>
        <w:docPartGallery w:val="Page Numbers (Bottom of Page)"/>
        <w:docPartUnique/>
      </w:docPartObj>
    </w:sdtPr>
    <w:sdtEndPr/>
    <w:sdtContent>
      <w:p w14:paraId="09D9788D" w14:textId="77777777" w:rsidR="00C53067" w:rsidRDefault="00C53067" w:rsidP="00C53067">
        <w:pPr>
          <w:pStyle w:val="FooterOdd"/>
        </w:pPr>
        <w:r w:rsidRPr="001E666E">
          <w:t xml:space="preserve">Page </w:t>
        </w:r>
        <w:r w:rsidRPr="001E666E">
          <w:fldChar w:fldCharType="begin"/>
        </w:r>
        <w:r w:rsidRPr="001E666E">
          <w:instrText xml:space="preserve"> PAGE   \* MERGEFORMAT </w:instrText>
        </w:r>
        <w:r w:rsidRPr="001E666E">
          <w:fldChar w:fldCharType="separate"/>
        </w:r>
        <w:r>
          <w:t>ii</w:t>
        </w:r>
        <w:r w:rsidRPr="001E666E">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841452"/>
      <w:docPartObj>
        <w:docPartGallery w:val="Page Numbers (Bottom of Page)"/>
        <w:docPartUnique/>
      </w:docPartObj>
    </w:sdtPr>
    <w:sdtEndPr/>
    <w:sdtContent>
      <w:p w14:paraId="30E1104B" w14:textId="77777777" w:rsidR="00CB7A07" w:rsidRDefault="00CB7A07" w:rsidP="00CB7A07">
        <w:pPr>
          <w:pStyle w:val="FooterEven"/>
        </w:pPr>
        <w:r w:rsidRPr="001E666E">
          <w:t xml:space="preserve">Page </w:t>
        </w:r>
        <w:r w:rsidRPr="001E666E">
          <w:fldChar w:fldCharType="begin"/>
        </w:r>
        <w:r w:rsidRPr="001E666E">
          <w:instrText xml:space="preserve"> PAGE   \* MERGEFORMAT </w:instrText>
        </w:r>
        <w:r w:rsidRPr="001E666E">
          <w:fldChar w:fldCharType="separate"/>
        </w:r>
        <w:r>
          <w:t>iii</w:t>
        </w:r>
        <w:r w:rsidRPr="001E666E">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2858864"/>
      <w:docPartObj>
        <w:docPartGallery w:val="Page Numbers (Bottom of Page)"/>
        <w:docPartUnique/>
      </w:docPartObj>
    </w:sdtPr>
    <w:sdtEndPr/>
    <w:sdtContent>
      <w:p w14:paraId="1C55B0E4" w14:textId="3D15B462" w:rsidR="00CB7A07" w:rsidRPr="00863986" w:rsidRDefault="00CB7A07" w:rsidP="00CB7A07">
        <w:pPr>
          <w:pStyle w:val="FooterOdd"/>
        </w:pPr>
        <w:r w:rsidRPr="001E666E">
          <w:t xml:space="preserve">Page </w:t>
        </w:r>
        <w:r w:rsidRPr="001E666E">
          <w:fldChar w:fldCharType="begin"/>
        </w:r>
        <w:r w:rsidRPr="001E666E">
          <w:instrText xml:space="preserve"> PAGE   \* MERGEFORMAT </w:instrText>
        </w:r>
        <w:r w:rsidRPr="001E666E">
          <w:fldChar w:fldCharType="separate"/>
        </w:r>
        <w:r>
          <w:t>iii</w:t>
        </w:r>
        <w:r w:rsidRPr="001E666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3A434" w14:textId="77777777" w:rsidR="005671CF" w:rsidRDefault="005671CF">
      <w:r>
        <w:separator/>
      </w:r>
    </w:p>
  </w:footnote>
  <w:footnote w:type="continuationSeparator" w:id="0">
    <w:p w14:paraId="0C13C7EC" w14:textId="77777777" w:rsidR="005671CF" w:rsidRDefault="005671CF">
      <w:r>
        <w:continuationSeparator/>
      </w:r>
    </w:p>
  </w:footnote>
  <w:footnote w:type="continuationNotice" w:id="1">
    <w:p w14:paraId="2D918922" w14:textId="77777777" w:rsidR="005671CF" w:rsidRDefault="005671CF">
      <w:pPr>
        <w:spacing w:after="0" w:line="240" w:lineRule="auto"/>
      </w:pPr>
    </w:p>
  </w:footnote>
  <w:footnote w:id="2">
    <w:p w14:paraId="653CA29D" w14:textId="268CCD36" w:rsidR="005671CF" w:rsidRDefault="00065800" w:rsidP="00E522C4">
      <w:pPr>
        <w:pStyle w:val="FootnoteText"/>
      </w:pPr>
      <w:bookmarkStart w:id="8" w:name="_Hlk86914625"/>
      <w:r w:rsidRPr="00065800">
        <w:rPr>
          <w:rStyle w:val="FootnoteReference"/>
          <w:vertAlign w:val="baseline"/>
        </w:rPr>
        <w:footnoteRef/>
      </w:r>
      <w:r w:rsidR="005671CF">
        <w:t xml:space="preserve"> </w:t>
      </w:r>
      <w:r w:rsidR="005671CF">
        <w:tab/>
      </w:r>
      <w:r w:rsidR="005671CF" w:rsidRPr="009E29B3">
        <w:t>The Treasurer has provided delegations to senior officers in</w:t>
      </w:r>
      <w:r w:rsidR="005671CF">
        <w:t xml:space="preserve"> the</w:t>
      </w:r>
      <w:r w:rsidR="005671CF" w:rsidRPr="009E29B3">
        <w:t xml:space="preserve"> Treasury and ATO to make decisions on applications that are consistent with the foreign investment framework. Certain applications are decided by other Treasury portfolio ministers.</w:t>
      </w:r>
      <w:bookmarkEnd w:id="8"/>
      <w:r w:rsidR="005671CF">
        <w:t xml:space="preserve"> </w:t>
      </w:r>
    </w:p>
  </w:footnote>
  <w:footnote w:id="3">
    <w:p w14:paraId="1FA1A2F3" w14:textId="66E3CED0" w:rsidR="005671CF" w:rsidRPr="004D4621" w:rsidRDefault="00065800" w:rsidP="00D77A72">
      <w:pPr>
        <w:pStyle w:val="FootnoteText"/>
        <w:rPr>
          <w:sz w:val="16"/>
          <w:szCs w:val="16"/>
        </w:rPr>
      </w:pPr>
      <w:r w:rsidRPr="00065800">
        <w:rPr>
          <w:sz w:val="16"/>
          <w:szCs w:val="16"/>
        </w:rPr>
        <w:footnoteRef/>
      </w:r>
      <w:r w:rsidR="005671CF" w:rsidRPr="004D4621">
        <w:rPr>
          <w:sz w:val="16"/>
          <w:szCs w:val="16"/>
        </w:rPr>
        <w:t xml:space="preserve"> </w:t>
      </w:r>
      <w:r w:rsidR="005671CF" w:rsidRPr="004D4621">
        <w:rPr>
          <w:sz w:val="16"/>
          <w:szCs w:val="16"/>
        </w:rPr>
        <w:tab/>
        <w:t>See ABS Catalogue no.:</w:t>
      </w:r>
    </w:p>
    <w:p w14:paraId="16F51235" w14:textId="57F88927" w:rsidR="005671CF" w:rsidRPr="004D4621" w:rsidRDefault="005671CF" w:rsidP="00D77A72">
      <w:pPr>
        <w:pStyle w:val="FootnoteText"/>
        <w:rPr>
          <w:sz w:val="16"/>
          <w:szCs w:val="16"/>
        </w:rPr>
      </w:pPr>
      <w:r w:rsidRPr="004D4621">
        <w:rPr>
          <w:sz w:val="16"/>
          <w:szCs w:val="16"/>
        </w:rPr>
        <w:tab/>
        <w:t>5302.0</w:t>
      </w:r>
      <w:r w:rsidR="00065800">
        <w:rPr>
          <w:sz w:val="16"/>
          <w:szCs w:val="16"/>
        </w:rPr>
        <w:t xml:space="preserve"> – </w:t>
      </w:r>
      <w:r w:rsidRPr="004D4621">
        <w:rPr>
          <w:i/>
          <w:sz w:val="16"/>
          <w:szCs w:val="16"/>
        </w:rPr>
        <w:t>Balance of Payments and International Investment Position</w:t>
      </w:r>
      <w:r w:rsidRPr="004D4621">
        <w:rPr>
          <w:sz w:val="16"/>
          <w:szCs w:val="16"/>
        </w:rPr>
        <w:t xml:space="preserve">, </w:t>
      </w:r>
      <w:r w:rsidRPr="004D4621">
        <w:rPr>
          <w:i/>
          <w:sz w:val="16"/>
          <w:szCs w:val="16"/>
        </w:rPr>
        <w:t>Australia</w:t>
      </w:r>
      <w:r w:rsidRPr="004D4621">
        <w:rPr>
          <w:sz w:val="16"/>
          <w:szCs w:val="16"/>
        </w:rPr>
        <w:t>, which provides the overall investment trends;</w:t>
      </w:r>
    </w:p>
    <w:p w14:paraId="52C82B22" w14:textId="7EF0C95C" w:rsidR="005671CF" w:rsidRPr="004D4621" w:rsidRDefault="005671CF" w:rsidP="00D77A72">
      <w:pPr>
        <w:pStyle w:val="FootnoteText"/>
        <w:rPr>
          <w:sz w:val="16"/>
          <w:szCs w:val="16"/>
        </w:rPr>
      </w:pPr>
      <w:r w:rsidRPr="004D4621">
        <w:rPr>
          <w:sz w:val="16"/>
          <w:szCs w:val="16"/>
        </w:rPr>
        <w:tab/>
        <w:t>5352.0</w:t>
      </w:r>
      <w:r w:rsidR="00065800">
        <w:rPr>
          <w:sz w:val="16"/>
          <w:szCs w:val="16"/>
        </w:rPr>
        <w:t xml:space="preserve"> – </w:t>
      </w:r>
      <w:r w:rsidRPr="004D4621">
        <w:rPr>
          <w:i/>
          <w:sz w:val="16"/>
          <w:szCs w:val="16"/>
        </w:rPr>
        <w:t>International Investment Position, Australia: Supplementary Statistics</w:t>
      </w:r>
      <w:r w:rsidRPr="004D4621">
        <w:rPr>
          <w:sz w:val="16"/>
          <w:szCs w:val="16"/>
        </w:rPr>
        <w:t>, which includes actual foreign investment statistics by investor country or by industry division for inward foreign investment; and</w:t>
      </w:r>
    </w:p>
    <w:p w14:paraId="76D271F1" w14:textId="27B07D61" w:rsidR="005671CF" w:rsidRDefault="005671CF" w:rsidP="00D77A72">
      <w:pPr>
        <w:pStyle w:val="FootnoteText"/>
      </w:pPr>
      <w:r w:rsidRPr="004D4621">
        <w:rPr>
          <w:sz w:val="16"/>
          <w:szCs w:val="16"/>
        </w:rPr>
        <w:tab/>
        <w:t>5494.0</w:t>
      </w:r>
      <w:r w:rsidR="00065800">
        <w:rPr>
          <w:sz w:val="16"/>
          <w:szCs w:val="16"/>
        </w:rPr>
        <w:t xml:space="preserve"> – </w:t>
      </w:r>
      <w:r w:rsidRPr="004D4621">
        <w:rPr>
          <w:i/>
          <w:sz w:val="16"/>
          <w:szCs w:val="16"/>
        </w:rPr>
        <w:t>Economic Activity of Foreign Owned Businesses in Australia, 2014</w:t>
      </w:r>
      <w:r w:rsidR="003E7C79">
        <w:rPr>
          <w:i/>
          <w:sz w:val="16"/>
          <w:szCs w:val="16"/>
        </w:rPr>
        <w:t>–</w:t>
      </w:r>
      <w:r w:rsidRPr="004D4621">
        <w:rPr>
          <w:i/>
          <w:sz w:val="16"/>
          <w:szCs w:val="16"/>
        </w:rPr>
        <w:t>15</w:t>
      </w:r>
      <w:r w:rsidRPr="004D4621">
        <w:rPr>
          <w:sz w:val="16"/>
          <w:szCs w:val="16"/>
        </w:rPr>
        <w:t>, for information on the economic activity of foreign owned businesses in Australia.</w:t>
      </w:r>
    </w:p>
  </w:footnote>
  <w:footnote w:id="4">
    <w:p w14:paraId="5A70817C" w14:textId="1CB8D696" w:rsidR="005671CF" w:rsidRDefault="00065800" w:rsidP="00B91178">
      <w:pPr>
        <w:pStyle w:val="FootnoteText"/>
      </w:pPr>
      <w:r w:rsidRPr="00065800">
        <w:rPr>
          <w:rStyle w:val="FootnoteReference"/>
          <w:vertAlign w:val="baseline"/>
        </w:rPr>
        <w:footnoteRef/>
      </w:r>
      <w:r w:rsidR="005671CF">
        <w:t xml:space="preserve"> </w:t>
      </w:r>
      <w:r w:rsidR="005671CF">
        <w:tab/>
        <w:t>This requirement was codified in the Act from 1 December 2015.</w:t>
      </w:r>
    </w:p>
    <w:p w14:paraId="292468A9" w14:textId="77777777" w:rsidR="005671CF" w:rsidRDefault="005671CF" w:rsidP="00B91178">
      <w:pPr>
        <w:pStyle w:val="FootnoteText"/>
      </w:pPr>
      <w:r>
        <w:tab/>
        <w:t>Starting an Australian business refers to when a foreign government investor starts to carry on an Australian business, or if a foreign government investor already carries on an Australian business, the business starts a new activity under the Australian and New Zealand Standard Industrial Classification (ANZSIC, 2006) Codes and the activity is not incidental to an existing activity of the Australian business and the activity is within a different Division under the Codes. For a foreign government investor that already carries on an Australian business, starting a new business excludes when they establish a new entity, alone or with others, to undertake the same Australian business or acquire interests in such an Australian business.</w:t>
      </w:r>
    </w:p>
  </w:footnote>
  <w:footnote w:id="5">
    <w:p w14:paraId="26F22B08" w14:textId="177BA8D0" w:rsidR="005671CF" w:rsidRDefault="00065800" w:rsidP="00B877ED">
      <w:pPr>
        <w:pStyle w:val="FootnoteText"/>
      </w:pPr>
      <w:r w:rsidRPr="00065800">
        <w:rPr>
          <w:rStyle w:val="FootnoteReference"/>
          <w:vertAlign w:val="baseline"/>
        </w:rPr>
        <w:footnoteRef/>
      </w:r>
      <w:r w:rsidR="005671CF">
        <w:t xml:space="preserve"> </w:t>
      </w:r>
      <w:r w:rsidR="005671CF">
        <w:tab/>
        <w:t xml:space="preserve">The </w:t>
      </w:r>
      <w:r w:rsidR="005671CF" w:rsidRPr="00FB0C2E">
        <w:t xml:space="preserve">definitions are based on the </w:t>
      </w:r>
      <w:r w:rsidR="005671CF" w:rsidRPr="00FB0C2E">
        <w:rPr>
          <w:i/>
        </w:rPr>
        <w:t>Foreign Investment and Takeovers Act 1975</w:t>
      </w:r>
      <w:r w:rsidR="005671CF" w:rsidRPr="00FB0C2E">
        <w:t xml:space="preserve"> as in force in </w:t>
      </w:r>
      <w:r w:rsidR="005671CF">
        <w:t>20</w:t>
      </w:r>
      <w:r w:rsidR="005671CF" w:rsidRPr="00FB0C2E">
        <w:t>19</w:t>
      </w:r>
      <w:r w:rsidR="003E7C79">
        <w:t>–</w:t>
      </w:r>
      <w:r w:rsidR="005671CF" w:rsidRPr="00FB0C2E">
        <w:t>20</w:t>
      </w:r>
      <w:r w:rsidR="005671C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63215" w14:textId="276A83BC" w:rsidR="005671CF" w:rsidRPr="007121D6" w:rsidRDefault="00C2021F" w:rsidP="007121D6">
    <w:pPr>
      <w:pStyle w:val="HeaderEven"/>
    </w:pPr>
    <w:r>
      <w:fldChar w:fldCharType="begin"/>
    </w:r>
    <w:r>
      <w:instrText xml:space="preserve"> TITLE   \* MERGEFORMAT </w:instrText>
    </w:r>
    <w:r>
      <w:fldChar w:fldCharType="separate"/>
    </w:r>
    <w:r w:rsidR="0019342F">
      <w:t>Foreign Investment Review Board Annual Report 2020-21</w:t>
    </w:r>
    <w:r>
      <w:fldChar w:fldCharType="end"/>
    </w:r>
    <w:r w:rsidR="005671CF">
      <w:t>21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B03BE" w14:textId="35A64136" w:rsidR="00CB7A07" w:rsidRPr="00CB7A07" w:rsidRDefault="00C2021F" w:rsidP="00CB7A07">
    <w:pPr>
      <w:pStyle w:val="HeaderOdd"/>
    </w:pPr>
    <w:r>
      <w:fldChar w:fldCharType="begin"/>
    </w:r>
    <w:r>
      <w:instrText xml:space="preserve"> STYLEREF  "Heading 1"  \* MERGEFORMAT </w:instrText>
    </w:r>
    <w:r>
      <w:fldChar w:fldCharType="separate"/>
    </w:r>
    <w:r>
      <w:rPr>
        <w:noProof/>
      </w:rPr>
      <w:t>The Foreign Investment Review Board</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3EFA1" w14:textId="16BC9B93" w:rsidR="005671CF" w:rsidRPr="00FB1377" w:rsidRDefault="008F29F0" w:rsidP="006371D9">
    <w:pPr>
      <w:pStyle w:val="HeaderEven"/>
    </w:pPr>
    <w:r>
      <w:rPr>
        <w:noProof/>
      </w:rPr>
      <mc:AlternateContent>
        <mc:Choice Requires="wps">
          <w:drawing>
            <wp:anchor distT="0" distB="0" distL="114300" distR="114300" simplePos="0" relativeHeight="251661312" behindDoc="0" locked="0" layoutInCell="1" allowOverlap="1" wp14:anchorId="5CA90395" wp14:editId="2BBC9751">
              <wp:simplePos x="0" y="0"/>
              <wp:positionH relativeFrom="column">
                <wp:posOffset>7705090</wp:posOffset>
              </wp:positionH>
              <wp:positionV relativeFrom="margin">
                <wp:align>bottom</wp:align>
              </wp:positionV>
              <wp:extent cx="360000" cy="4878000"/>
              <wp:effectExtent l="0" t="0" r="2540" b="18415"/>
              <wp:wrapNone/>
              <wp:docPr id="8" name="Text Box 8" title="LandscapeOdd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48780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B45ED" w14:textId="56657320" w:rsidR="008F29F0" w:rsidRDefault="007A4D6B" w:rsidP="008F29F0">
                          <w:pPr>
                            <w:pStyle w:val="HeaderEven"/>
                          </w:pPr>
                          <w:fldSimple w:instr=" TITLE   \* MERGEFORMAT ">
                            <w:r w:rsidR="0019342F">
                              <w:t>Foreign Investment Review Board Annual Report 2020-21</w:t>
                            </w:r>
                          </w:fldSimple>
                        </w:p>
                      </w:txbxContent>
                    </wps:txbx>
                    <wps:bodyPr rot="0" vert="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A90395" id="_x0000_t202" coordsize="21600,21600" o:spt="202" path="m,l,21600r21600,l21600,xe">
              <v:stroke joinstyle="miter"/>
              <v:path gradientshapeok="t" o:connecttype="rect"/>
            </v:shapetype>
            <v:shape id="Text Box 8" o:spid="_x0000_s1027" type="#_x0000_t202" alt="Title: LandscapeOddFooter" style="position:absolute;margin-left:606.7pt;margin-top:0;width:28.35pt;height:384.1pt;z-index:251661312;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" filled="f" stroked="f">
              <v:textbox style="layout-flow:vertical" inset="0,0,0,0">
                <w:txbxContent>
                  <w:p w14:paraId="3AEB45ED" w14:textId="56657320" w:rsidR="008F29F0" w:rsidRDefault="008F29F0" w:rsidP="008F29F0">
                    <w:pPr>
                      <w:pStyle w:val="HeaderEven"/>
                    </w:pPr>
                    <w:fldSimple w:instr=" TITLE   \* MERGEFORMAT ">
                      <w:r w:rsidR="0019342F">
                        <w:t>Foreign Investment Review Board Annual Report 2020-21</w:t>
                      </w:r>
                    </w:fldSimple>
                  </w:p>
                </w:txbxContent>
              </v:textbox>
              <w10:wrap anchory="margin"/>
            </v:shape>
          </w:pict>
        </mc:Fallback>
      </mc:AlternateContent>
    </w:r>
    <w:r>
      <w:rPr>
        <w:noProof/>
      </w:rPr>
      <mc:AlternateContent>
        <mc:Choice Requires="wps">
          <w:drawing>
            <wp:anchor distT="0" distB="0" distL="114300" distR="114300" simplePos="0" relativeHeight="251659264" behindDoc="0" locked="0" layoutInCell="1" allowOverlap="1" wp14:anchorId="61C7847D" wp14:editId="6AFEBDDC">
              <wp:simplePos x="0" y="0"/>
              <wp:positionH relativeFrom="column">
                <wp:posOffset>-504190</wp:posOffset>
              </wp:positionH>
              <wp:positionV relativeFrom="margin">
                <wp:posOffset>0</wp:posOffset>
              </wp:positionV>
              <wp:extent cx="360000" cy="4878000"/>
              <wp:effectExtent l="0" t="0" r="2540" b="18415"/>
              <wp:wrapNone/>
              <wp:docPr id="38" name="Text Box 38" title="LandscapeOdd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48780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4F40D" w14:textId="2F5BF707" w:rsidR="008F29F0" w:rsidRDefault="008F29F0" w:rsidP="008F29F0">
                          <w:pPr>
                            <w:pStyle w:val="FooterEven"/>
                          </w:pPr>
                          <w:r>
                            <w:t xml:space="preserve"> Page </w:t>
                          </w:r>
                          <w:r>
                            <w:fldChar w:fldCharType="begin"/>
                          </w:r>
                          <w:r>
                            <w:instrText xml:space="preserve"> PAGE   \* MERGEFORMAT </w:instrText>
                          </w:r>
                          <w:r>
                            <w:fldChar w:fldCharType="separate"/>
                          </w:r>
                          <w:r>
                            <w:t>4</w:t>
                          </w:r>
                          <w:r>
                            <w:fldChar w:fldCharType="end"/>
                          </w:r>
                        </w:p>
                      </w:txbxContent>
                    </wps:txbx>
                    <wps:bodyPr rot="0" vert="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7847D" id="Text Box 38" o:spid="_x0000_s1028" type="#_x0000_t202" alt="Title: LandscapeOddFooter" style="position:absolute;margin-left:-39.7pt;margin-top:0;width:28.35pt;height:38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" filled="f" stroked="f">
              <v:textbox style="layout-flow:vertical" inset="0,0,0,0">
                <w:txbxContent>
                  <w:p w14:paraId="3224F40D" w14:textId="2F5BF707" w:rsidR="008F29F0" w:rsidRDefault="008F29F0" w:rsidP="008F29F0">
                    <w:pPr>
                      <w:pStyle w:val="FooterEven"/>
                    </w:pPr>
                    <w:r>
                      <w:t xml:space="preserve"> Page </w:t>
                    </w:r>
                    <w:r>
                      <w:fldChar w:fldCharType="begin"/>
                    </w:r>
                    <w:r>
                      <w:instrText xml:space="preserve"> PAGE   \* MERGEFORMAT </w:instrText>
                    </w:r>
                    <w:r>
                      <w:fldChar w:fldCharType="separate"/>
                    </w:r>
                    <w:r>
                      <w:t>4</w:t>
                    </w:r>
                    <w:r>
                      <w:fldChar w:fldCharType="end"/>
                    </w:r>
                  </w:p>
                </w:txbxContent>
              </v:textbox>
              <w10:wrap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C5546" w14:textId="49E66D53" w:rsidR="005671CF" w:rsidRPr="00497BA7" w:rsidRDefault="00C2021F" w:rsidP="008F29F0">
    <w:pPr>
      <w:pStyle w:val="HeaderOdd"/>
    </w:pPr>
    <w:r>
      <w:fldChar w:fldCharType="begin"/>
    </w:r>
    <w:r>
      <w:instrText xml:space="preserve"> STYLEREF  "Heading 1"  \* MERGEFORMAT </w:instrText>
    </w:r>
    <w:r>
      <w:fldChar w:fldCharType="separate"/>
    </w:r>
    <w:r>
      <w:rPr>
        <w:noProof/>
      </w:rPr>
      <w:t>Proposals Overview</w: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D38C" w14:textId="30FE8410" w:rsidR="00CB7A07" w:rsidRPr="008F29F0" w:rsidRDefault="003D5EE8" w:rsidP="008F29F0">
    <w:pPr>
      <w:pStyle w:val="Header"/>
    </w:pPr>
    <w:r>
      <w:rPr>
        <w:noProof/>
      </w:rPr>
      <mc:AlternateContent>
        <mc:Choice Requires="wps">
          <w:drawing>
            <wp:anchor distT="0" distB="0" distL="114300" distR="114300" simplePos="0" relativeHeight="251667456" behindDoc="0" locked="0" layoutInCell="1" allowOverlap="1" wp14:anchorId="6D3DDCDE" wp14:editId="0773CD08">
              <wp:simplePos x="0" y="0"/>
              <wp:positionH relativeFrom="margin">
                <wp:posOffset>-504190</wp:posOffset>
              </wp:positionH>
              <wp:positionV relativeFrom="margin">
                <wp:posOffset>0</wp:posOffset>
              </wp:positionV>
              <wp:extent cx="360000" cy="4878000"/>
              <wp:effectExtent l="0" t="0" r="2540" b="18415"/>
              <wp:wrapNone/>
              <wp:docPr id="13" name="Text Box 13" title="LandscapeOdd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48780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09534" w14:textId="77777777" w:rsidR="008F29F0" w:rsidRDefault="008F29F0" w:rsidP="008F29F0">
                          <w:pPr>
                            <w:pStyle w:val="FooterOdd"/>
                          </w:pPr>
                          <w:r>
                            <w:t xml:space="preserve"> Page </w:t>
                          </w:r>
                          <w:r>
                            <w:fldChar w:fldCharType="begin"/>
                          </w:r>
                          <w:r>
                            <w:instrText xml:space="preserve"> PAGE   \* MERGEFORMAT </w:instrText>
                          </w:r>
                          <w:r>
                            <w:fldChar w:fldCharType="separate"/>
                          </w:r>
                          <w:r>
                            <w:t>4</w:t>
                          </w:r>
                          <w:r>
                            <w:fldChar w:fldCharType="end"/>
                          </w:r>
                        </w:p>
                      </w:txbxContent>
                    </wps:txbx>
                    <wps:bodyPr rot="0" vert="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3DDCDE" id="_x0000_t202" coordsize="21600,21600" o:spt="202" path="m,l,21600r21600,l21600,xe">
              <v:stroke joinstyle="miter"/>
              <v:path gradientshapeok="t" o:connecttype="rect"/>
            </v:shapetype>
            <v:shape id="Text Box 13" o:spid="_x0000_s1029" type="#_x0000_t202" alt="Title: LandscapeOddFooter" style="position:absolute;margin-left:-39.7pt;margin-top:0;width:28.35pt;height:384.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" filled="f" stroked="f">
              <v:textbox style="layout-flow:vertical" inset="0,0,0,0">
                <w:txbxContent>
                  <w:p w14:paraId="5A209534" w14:textId="77777777" w:rsidR="008F29F0" w:rsidRDefault="008F29F0" w:rsidP="008F29F0">
                    <w:pPr>
                      <w:pStyle w:val="FooterOdd"/>
                    </w:pPr>
                    <w:r>
                      <w:t xml:space="preserve"> Page </w:t>
                    </w:r>
                    <w:r>
                      <w:fldChar w:fldCharType="begin"/>
                    </w:r>
                    <w:r>
                      <w:instrText xml:space="preserve"> PAGE   \* MERGEFORMAT </w:instrText>
                    </w:r>
                    <w:r>
                      <w:fldChar w:fldCharType="separate"/>
                    </w:r>
                    <w:r>
                      <w:t>4</w:t>
                    </w:r>
                    <w:r>
                      <w:fldChar w:fldCharType="end"/>
                    </w:r>
                  </w:p>
                </w:txbxContent>
              </v:textbox>
              <w10:wrap anchorx="margin" anchory="margin"/>
            </v:shape>
          </w:pict>
        </mc:Fallback>
      </mc:AlternateContent>
    </w:r>
    <w:r w:rsidR="008F29F0">
      <w:rPr>
        <w:noProof/>
      </w:rPr>
      <mc:AlternateContent>
        <mc:Choice Requires="wps">
          <w:drawing>
            <wp:anchor distT="0" distB="0" distL="114300" distR="114300" simplePos="0" relativeHeight="251669504" behindDoc="0" locked="0" layoutInCell="1" allowOverlap="1" wp14:anchorId="5B6691C6" wp14:editId="210BBAF0">
              <wp:simplePos x="0" y="0"/>
              <wp:positionH relativeFrom="margin">
                <wp:posOffset>7705989</wp:posOffset>
              </wp:positionH>
              <wp:positionV relativeFrom="margin">
                <wp:posOffset>-26670</wp:posOffset>
              </wp:positionV>
              <wp:extent cx="360000" cy="4878000"/>
              <wp:effectExtent l="0" t="0" r="2540" b="18415"/>
              <wp:wrapNone/>
              <wp:docPr id="14" name="Text Box 14" title="LandscapeOdd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48780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1E5A6" w14:textId="34C6830F" w:rsidR="008F29F0" w:rsidRDefault="00C2021F" w:rsidP="008F29F0">
                          <w:pPr>
                            <w:pStyle w:val="HeaderOdd"/>
                          </w:pPr>
                          <w:r>
                            <w:fldChar w:fldCharType="begin"/>
                          </w:r>
                          <w:r>
                            <w:instrText xml:space="preserve"> STYLEREF  "Heading 1"  \* MERGEFORMAT </w:instrText>
                          </w:r>
                          <w:r>
                            <w:fldChar w:fldCharType="separate"/>
                          </w:r>
                          <w:r>
                            <w:rPr>
                              <w:noProof/>
                            </w:rPr>
                            <w:t>Proposals Overview</w:t>
                          </w:r>
                          <w:r>
                            <w:rPr>
                              <w:noProof/>
                            </w:rPr>
                            <w:fldChar w:fldCharType="end"/>
                          </w:r>
                        </w:p>
                      </w:txbxContent>
                    </wps:txbx>
                    <wps:bodyPr rot="0" vert="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6691C6" id="_x0000_t202" coordsize="21600,21600" o:spt="202" path="m,l,21600r21600,l21600,xe">
              <v:stroke joinstyle="miter"/>
              <v:path gradientshapeok="t" o:connecttype="rect"/>
            </v:shapetype>
            <v:shape id="Text Box 14" o:spid="_x0000_s1030" type="#_x0000_t202" alt="Title: LandscapeOddFooter" style="position:absolute;margin-left:606.75pt;margin-top:-2.1pt;width:28.35pt;height:384.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" filled="f" stroked="f">
              <v:textbox style="layout-flow:vertical" inset="0,0,0,0">
                <w:txbxContent>
                  <w:p w14:paraId="1FD1E5A6" w14:textId="34C6830F" w:rsidR="008F29F0" w:rsidRDefault="00C2021F" w:rsidP="008F29F0">
                    <w:pPr>
                      <w:pStyle w:val="HeaderOdd"/>
                    </w:pPr>
                    <w:r>
                      <w:fldChar w:fldCharType="begin"/>
                    </w:r>
                    <w:r>
                      <w:instrText xml:space="preserve"> STYLEREF  "Heading 1"  \* MERGEFORMAT </w:instrText>
                    </w:r>
                    <w:r>
                      <w:fldChar w:fldCharType="separate"/>
                    </w:r>
                    <w:r>
                      <w:rPr>
                        <w:noProof/>
                      </w:rPr>
                      <w:t>Proposals Overview</w:t>
                    </w:r>
                    <w:r>
                      <w:rPr>
                        <w:noProof/>
                      </w:rPr>
                      <w:fldChar w:fldCharType="end"/>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F25F" w14:textId="68635C5D" w:rsidR="005671CF" w:rsidRDefault="008F29F0" w:rsidP="006371D9">
    <w:pPr>
      <w:pStyle w:val="HeaderEven"/>
    </w:pPr>
    <w:r>
      <w:rPr>
        <w:noProof/>
      </w:rPr>
      <mc:AlternateContent>
        <mc:Choice Requires="wps">
          <w:drawing>
            <wp:anchor distT="0" distB="0" distL="114300" distR="114300" simplePos="0" relativeHeight="251665408" behindDoc="0" locked="0" layoutInCell="1" allowOverlap="1" wp14:anchorId="46DB4416" wp14:editId="4937D805">
              <wp:simplePos x="0" y="0"/>
              <wp:positionH relativeFrom="column">
                <wp:posOffset>-504190</wp:posOffset>
              </wp:positionH>
              <wp:positionV relativeFrom="margin">
                <wp:align>top</wp:align>
              </wp:positionV>
              <wp:extent cx="360000" cy="4878000"/>
              <wp:effectExtent l="0" t="0" r="2540" b="18415"/>
              <wp:wrapNone/>
              <wp:docPr id="12" name="Text Box 12" title="LandscapeOdd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48780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D9ACF" w14:textId="24F9289A" w:rsidR="008F29F0" w:rsidRDefault="003D5EE8" w:rsidP="008F29F0">
                          <w:pPr>
                            <w:pStyle w:val="FooterEven"/>
                          </w:pPr>
                          <w:r>
                            <w:t>P</w:t>
                          </w:r>
                          <w:r w:rsidR="008F29F0">
                            <w:t xml:space="preserve">age </w:t>
                          </w:r>
                          <w:r w:rsidR="008F29F0">
                            <w:fldChar w:fldCharType="begin"/>
                          </w:r>
                          <w:r w:rsidR="008F29F0">
                            <w:instrText xml:space="preserve"> PAGE   \* MERGEFORMAT </w:instrText>
                          </w:r>
                          <w:r w:rsidR="008F29F0">
                            <w:fldChar w:fldCharType="separate"/>
                          </w:r>
                          <w:r w:rsidR="008F29F0">
                            <w:t>4</w:t>
                          </w:r>
                          <w:r w:rsidR="008F29F0">
                            <w:fldChar w:fldCharType="end"/>
                          </w:r>
                        </w:p>
                      </w:txbxContent>
                    </wps:txbx>
                    <wps:bodyPr rot="0" vert="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DB4416" id="_x0000_t202" coordsize="21600,21600" o:spt="202" path="m,l,21600r21600,l21600,xe">
              <v:stroke joinstyle="miter"/>
              <v:path gradientshapeok="t" o:connecttype="rect"/>
            </v:shapetype>
            <v:shape id="Text Box 12" o:spid="_x0000_s1031" type="#_x0000_t202" alt="Title: LandscapeOddFooter" style="position:absolute;margin-left:-39.7pt;margin-top:0;width:28.35pt;height:384.1pt;z-index:25166540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" filled="f" stroked="f">
              <v:textbox style="layout-flow:vertical" inset="0,0,0,0">
                <w:txbxContent>
                  <w:p w14:paraId="51CD9ACF" w14:textId="24F9289A" w:rsidR="008F29F0" w:rsidRDefault="003D5EE8" w:rsidP="008F29F0">
                    <w:pPr>
                      <w:pStyle w:val="FooterEven"/>
                    </w:pPr>
                    <w:r>
                      <w:t>P</w:t>
                    </w:r>
                    <w:r w:rsidR="008F29F0">
                      <w:t xml:space="preserve">age </w:t>
                    </w:r>
                    <w:r w:rsidR="008F29F0">
                      <w:fldChar w:fldCharType="begin"/>
                    </w:r>
                    <w:r w:rsidR="008F29F0">
                      <w:instrText xml:space="preserve"> PAGE   \* MERGEFORMAT </w:instrText>
                    </w:r>
                    <w:r w:rsidR="008F29F0">
                      <w:fldChar w:fldCharType="separate"/>
                    </w:r>
                    <w:r w:rsidR="008F29F0">
                      <w:t>4</w:t>
                    </w:r>
                    <w:r w:rsidR="008F29F0">
                      <w:fldChar w:fldCharType="end"/>
                    </w:r>
                  </w:p>
                </w:txbxContent>
              </v:textbox>
              <w10:wrap anchory="margin"/>
            </v:shape>
          </w:pict>
        </mc:Fallback>
      </mc:AlternateContent>
    </w:r>
    <w:r>
      <w:rPr>
        <w:noProof/>
      </w:rPr>
      <mc:AlternateContent>
        <mc:Choice Requires="wps">
          <w:drawing>
            <wp:anchor distT="0" distB="0" distL="114300" distR="114300" simplePos="0" relativeHeight="251663360" behindDoc="0" locked="0" layoutInCell="1" allowOverlap="1" wp14:anchorId="65E9659C" wp14:editId="18FD0510">
              <wp:simplePos x="0" y="0"/>
              <wp:positionH relativeFrom="margin">
                <wp:posOffset>7705090</wp:posOffset>
              </wp:positionH>
              <wp:positionV relativeFrom="margin">
                <wp:align>bottom</wp:align>
              </wp:positionV>
              <wp:extent cx="360000" cy="4878000"/>
              <wp:effectExtent l="0" t="0" r="2540" b="18415"/>
              <wp:wrapNone/>
              <wp:docPr id="9" name="Text Box 9" title="LandscapeOdd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48780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1CEBC" w14:textId="17B0A19D" w:rsidR="008F29F0" w:rsidRDefault="007A4D6B" w:rsidP="008F29F0">
                          <w:pPr>
                            <w:pStyle w:val="HeaderEven"/>
                          </w:pPr>
                          <w:fldSimple w:instr=" TITLE   \* MERGEFORMAT ">
                            <w:r w:rsidR="0019342F">
                              <w:t>Foreign Investment Review Board Annual Report 2020-21</w:t>
                            </w:r>
                          </w:fldSimple>
                        </w:p>
                      </w:txbxContent>
                    </wps:txbx>
                    <wps:bodyPr rot="0" vert="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9659C" id="Text Box 9" o:spid="_x0000_s1032" type="#_x0000_t202" alt="Title: LandscapeOddFooter" style="position:absolute;margin-left:606.7pt;margin-top:0;width:28.35pt;height:384.1pt;z-index:251663360;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" filled="f" stroked="f">
              <v:textbox style="layout-flow:vertical" inset="0,0,0,0">
                <w:txbxContent>
                  <w:p w14:paraId="7621CEBC" w14:textId="17B0A19D" w:rsidR="008F29F0" w:rsidRDefault="008F29F0" w:rsidP="008F29F0">
                    <w:pPr>
                      <w:pStyle w:val="HeaderEven"/>
                    </w:pPr>
                    <w:fldSimple w:instr=" TITLE   \* MERGEFORMAT ">
                      <w:r w:rsidR="0019342F">
                        <w:t>Foreign Investment Review Board Annual Report 2020-21</w:t>
                      </w:r>
                    </w:fldSimple>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12B0" w14:textId="643752FE" w:rsidR="00CB7A07" w:rsidRPr="008F29F0" w:rsidRDefault="007A4D6B" w:rsidP="00091F38">
    <w:pPr>
      <w:pStyle w:val="HeaderOdd"/>
    </w:pPr>
    <w:fldSimple w:instr=" STYLEREF  &quot;Heading 1&quot;  \* MERGEFORMAT ">
      <w:r w:rsidR="00C2021F">
        <w:rPr>
          <w:noProof/>
        </w:rPr>
        <w:t>Appendix D: Glossary</w:t>
      </w:r>
    </w:fldSimple>
    <w:r w:rsidR="008F29F0">
      <w:rPr>
        <w:noProof/>
      </w:rPr>
      <mc:AlternateContent>
        <mc:Choice Requires="wps">
          <w:drawing>
            <wp:anchor distT="0" distB="0" distL="114300" distR="114300" simplePos="0" relativeHeight="251672576" behindDoc="0" locked="0" layoutInCell="1" allowOverlap="1" wp14:anchorId="6C22E066" wp14:editId="110789A4">
              <wp:simplePos x="0" y="0"/>
              <wp:positionH relativeFrom="margin">
                <wp:posOffset>7741285</wp:posOffset>
              </wp:positionH>
              <wp:positionV relativeFrom="margin">
                <wp:align>bottom</wp:align>
              </wp:positionV>
              <wp:extent cx="360000" cy="4878000"/>
              <wp:effectExtent l="0" t="0" r="2540" b="18415"/>
              <wp:wrapNone/>
              <wp:docPr id="17" name="Text Box 17" title="LandscapeOdd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48780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6BCD6" w14:textId="447B7DB6" w:rsidR="008F29F0" w:rsidRDefault="00C2021F" w:rsidP="008F29F0">
                          <w:pPr>
                            <w:pStyle w:val="HeaderOdd"/>
                          </w:pPr>
                          <w:r>
                            <w:fldChar w:fldCharType="begin"/>
                          </w:r>
                          <w:r>
                            <w:instrText xml:space="preserve"> STYLEREF  "Heading 1"  \* MERGEFORMAT </w:instrText>
                          </w:r>
                          <w:r>
                            <w:fldChar w:fldCharType="separate"/>
                          </w:r>
                          <w:r>
                            <w:rPr>
                              <w:noProof/>
                            </w:rPr>
                            <w:t>Appendix D: Glossary</w:t>
                          </w:r>
                          <w:r>
                            <w:rPr>
                              <w:noProof/>
                            </w:rPr>
                            <w:fldChar w:fldCharType="end"/>
                          </w:r>
                        </w:p>
                      </w:txbxContent>
                    </wps:txbx>
                    <wps:bodyPr rot="0" vert="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22E066" id="_x0000_t202" coordsize="21600,21600" o:spt="202" path="m,l,21600r21600,l21600,xe">
              <v:stroke joinstyle="miter"/>
              <v:path gradientshapeok="t" o:connecttype="rect"/>
            </v:shapetype>
            <v:shape id="Text Box 17" o:spid="_x0000_s1033" type="#_x0000_t202" alt="Title: LandscapeOddFooter" style="position:absolute;left:0;text-align:left;margin-left:609.55pt;margin-top:0;width:28.35pt;height:384.1pt;z-index:251672576;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" filled="f" stroked="f">
              <v:textbox style="layout-flow:vertical" inset="0,0,0,0">
                <w:txbxContent>
                  <w:p w14:paraId="49C6BCD6" w14:textId="447B7DB6" w:rsidR="008F29F0" w:rsidRDefault="00C2021F" w:rsidP="008F29F0">
                    <w:pPr>
                      <w:pStyle w:val="HeaderOdd"/>
                    </w:pPr>
                    <w:r>
                      <w:fldChar w:fldCharType="begin"/>
                    </w:r>
                    <w:r>
                      <w:instrText xml:space="preserve"> STYLEREF  "Heading 1"  \* MERGEFORMAT </w:instrText>
                    </w:r>
                    <w:r>
                      <w:fldChar w:fldCharType="separate"/>
                    </w:r>
                    <w:r>
                      <w:rPr>
                        <w:noProof/>
                      </w:rPr>
                      <w:t>Appendix D: Glossary</w:t>
                    </w:r>
                    <w:r>
                      <w:rPr>
                        <w:noProof/>
                      </w:rPr>
                      <w:fldChar w:fldCharType="end"/>
                    </w:r>
                  </w:p>
                </w:txbxContent>
              </v:textbox>
              <w10:wrap anchorx="margin"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F8D16" w14:textId="45F83949" w:rsidR="005671CF" w:rsidRPr="007121D6" w:rsidRDefault="00C2021F" w:rsidP="008F29F0">
    <w:pPr>
      <w:pStyle w:val="HeaderEven"/>
    </w:pPr>
    <w:r>
      <w:fldChar w:fldCharType="begin"/>
    </w:r>
    <w:r>
      <w:instrText xml:space="preserve"> TITLE   \* MERGEFORMAT </w:instrText>
    </w:r>
    <w:r>
      <w:fldChar w:fldCharType="separate"/>
    </w:r>
    <w:r w:rsidR="0019342F">
      <w:t>Foreign Investment Review Board Annual Report 2020-21</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39DF" w14:textId="2DA0F8E7" w:rsidR="00091F38" w:rsidRPr="00091F38" w:rsidRDefault="00091F38" w:rsidP="00091F38">
    <w:pPr>
      <w:pStyle w:val="HeaderOdd"/>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93831" w14:textId="04F42752" w:rsidR="00091F38" w:rsidRPr="00091F38" w:rsidRDefault="007A4D6B" w:rsidP="004D0AF0">
    <w:pPr>
      <w:pStyle w:val="HeaderOdd"/>
    </w:pPr>
    <w:fldSimple w:instr=" STYLEREF  &quot;Heading 1&quot;  \* MERGEFORMAT ">
      <w:r w:rsidR="00C2021F">
        <w:rPr>
          <w:noProof/>
        </w:rPr>
        <w:t>Appendix A: Board meetings during 2020-21</w:t>
      </w:r>
    </w:fldSimple>
    <w:r w:rsidR="004D0AF0">
      <w:rPr>
        <w:noProof/>
      </w:rPr>
      <mc:AlternateContent>
        <mc:Choice Requires="wps">
          <w:drawing>
            <wp:anchor distT="0" distB="0" distL="114300" distR="114300" simplePos="0" relativeHeight="251674624" behindDoc="0" locked="0" layoutInCell="1" allowOverlap="1" wp14:anchorId="77E1C999" wp14:editId="2BFFEDFE">
              <wp:simplePos x="0" y="0"/>
              <wp:positionH relativeFrom="margin">
                <wp:posOffset>7741285</wp:posOffset>
              </wp:positionH>
              <wp:positionV relativeFrom="margin">
                <wp:align>bottom</wp:align>
              </wp:positionV>
              <wp:extent cx="360000" cy="4878000"/>
              <wp:effectExtent l="0" t="0" r="2540" b="18415"/>
              <wp:wrapNone/>
              <wp:docPr id="21" name="Text Box 21" title="LandscapeOdd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48780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474F1" w14:textId="665908D2" w:rsidR="004D0AF0" w:rsidRDefault="007A4D6B" w:rsidP="004D0AF0">
                          <w:pPr>
                            <w:pStyle w:val="HeaderOdd"/>
                          </w:pPr>
                          <w:fldSimple w:instr=" STYLEREF  &quot;Heading 1&quot;  \* MERGEFORMAT ">
                            <w:r w:rsidR="00C2021F">
                              <w:rPr>
                                <w:noProof/>
                              </w:rPr>
                              <w:t>Appendix A: Board meetings during 2020-21</w:t>
                            </w:r>
                          </w:fldSimple>
                        </w:p>
                      </w:txbxContent>
                    </wps:txbx>
                    <wps:bodyPr rot="0" vert="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E1C999" id="_x0000_t202" coordsize="21600,21600" o:spt="202" path="m,l,21600r21600,l21600,xe">
              <v:stroke joinstyle="miter"/>
              <v:path gradientshapeok="t" o:connecttype="rect"/>
            </v:shapetype>
            <v:shape id="Text Box 21" o:spid="_x0000_s1034" type="#_x0000_t202" alt="Title: LandscapeOddFooter" style="position:absolute;left:0;text-align:left;margin-left:609.55pt;margin-top:0;width:28.35pt;height:384.1pt;z-index:251674624;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" filled="f" stroked="f">
              <v:textbox style="layout-flow:vertical" inset="0,0,0,0">
                <w:txbxContent>
                  <w:p w14:paraId="388474F1" w14:textId="665908D2" w:rsidR="004D0AF0" w:rsidRDefault="007A4D6B" w:rsidP="004D0AF0">
                    <w:pPr>
                      <w:pStyle w:val="HeaderOdd"/>
                    </w:pPr>
                    <w:fldSimple w:instr=" STYLEREF  &quot;Heading 1&quot;  \* MERGEFORMAT ">
                      <w:r w:rsidR="00C2021F">
                        <w:rPr>
                          <w:noProof/>
                        </w:rPr>
                        <w:t>Appendix A: Board meetings during 2020-21</w:t>
                      </w:r>
                    </w:fldSimple>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7014C" w14:textId="4CEF70D8" w:rsidR="005671CF" w:rsidRPr="003E1D3A" w:rsidRDefault="005671CF" w:rsidP="00F2236E">
    <w:pPr>
      <w:pStyle w:val="HeaderEve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EF2EB" w14:textId="5F43FB45" w:rsidR="005671CF" w:rsidRPr="00065800" w:rsidRDefault="00C2021F" w:rsidP="00065800">
    <w:pPr>
      <w:pStyle w:val="HeaderOdd"/>
    </w:pPr>
    <w:r>
      <w:fldChar w:fldCharType="begin"/>
    </w:r>
    <w:r>
      <w:instrText xml:space="preserve"> STYLEREF  "Heading 1"  \* MERGEFORMAT </w:instrText>
    </w:r>
    <w:r>
      <w:fldChar w:fldCharType="separate"/>
    </w:r>
    <w:r w:rsidR="0019342F">
      <w:rPr>
        <w:noProof/>
      </w:rPr>
      <w:t>Executive Summary</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80FE8" w14:textId="77777777" w:rsidR="005671CF" w:rsidRPr="00D74D35" w:rsidRDefault="005671CF" w:rsidP="00F2236E">
    <w:pPr>
      <w:pStyle w:val="HeaderEven"/>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0E74" w14:textId="77777777" w:rsidR="00CB7A07" w:rsidRPr="003E1D3A" w:rsidRDefault="00CB7A07" w:rsidP="00F2236E">
    <w:pPr>
      <w:pStyle w:val="HeaderEven"/>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6C0AD" w14:textId="51C6B6FF" w:rsidR="00CB7A07" w:rsidRPr="00CB7A07" w:rsidRDefault="00CB7A07" w:rsidP="00CB7A0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F3984" w14:textId="77777777" w:rsidR="005671CF" w:rsidRPr="000376F1" w:rsidRDefault="005671CF" w:rsidP="006371D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3F55" w14:textId="77777777" w:rsidR="00CB7A07" w:rsidRPr="003E1D3A" w:rsidRDefault="00CB7A07" w:rsidP="00F2236E">
    <w:pPr>
      <w:pStyle w:val="HeaderEven"/>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C557" w14:textId="262E9029" w:rsidR="00CB7A07" w:rsidRPr="003E1D3A" w:rsidRDefault="00C2021F" w:rsidP="00F2236E">
    <w:pPr>
      <w:pStyle w:val="HeaderEven"/>
    </w:pPr>
    <w:r>
      <w:fldChar w:fldCharType="begin"/>
    </w:r>
    <w:r>
      <w:instrText xml:space="preserve"> TITLE   \* MERGEFORMAT </w:instrText>
    </w:r>
    <w:r>
      <w:fldChar w:fldCharType="separate"/>
    </w:r>
    <w:r w:rsidR="0019342F">
      <w:t>Foreign Investment Review Board Annual Report 2020-21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3EA8"/>
    <w:multiLevelType w:val="multilevel"/>
    <w:tmpl w:val="BE44C77E"/>
    <w:lvl w:ilvl="0">
      <w:numFmt w:val="decimal"/>
      <w:lvlText w:val="•"/>
      <w:lvlJc w:val="left"/>
      <w:pPr>
        <w:tabs>
          <w:tab w:val="num" w:pos="567"/>
        </w:tabs>
        <w:ind w:left="567" w:hanging="567"/>
      </w:pPr>
      <w:rPr>
        <w:rFonts w:ascii="Times New Roman" w:hAnsi="Times New Roman" w:cs="Times New Roman"/>
      </w:rPr>
    </w:lvl>
    <w:lvl w:ilvl="1">
      <w:numFmt w:val="decimal"/>
      <w:lvlText w:val="–"/>
      <w:lvlJc w:val="left"/>
      <w:pPr>
        <w:tabs>
          <w:tab w:val="num" w:pos="1134"/>
        </w:tabs>
        <w:ind w:left="1134" w:hanging="567"/>
      </w:pPr>
      <w:rPr>
        <w:rFonts w:ascii="Times New Roman" w:hAnsi="Times New Roman" w:cs="Times New Roman"/>
      </w:rPr>
    </w:lvl>
    <w:lvl w:ilvl="2">
      <w:numFmt w:val="decimal"/>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8927D9E"/>
    <w:multiLevelType w:val="hybridMultilevel"/>
    <w:tmpl w:val="8FDC8600"/>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4578A5"/>
    <w:multiLevelType w:val="multilevel"/>
    <w:tmpl w:val="83667B52"/>
    <w:lvl w:ilvl="0">
      <w:start w:val="1"/>
      <w:numFmt w:val="cardinalText"/>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 w15:restartNumberingAfterBreak="0">
    <w:nsid w:val="19C960FD"/>
    <w:multiLevelType w:val="multilevel"/>
    <w:tmpl w:val="9E2A2866"/>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4" w15:restartNumberingAfterBreak="0">
    <w:nsid w:val="1BFB30DC"/>
    <w:multiLevelType w:val="hybridMultilevel"/>
    <w:tmpl w:val="424A844C"/>
    <w:lvl w:ilvl="0" w:tplc="0EAE9A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6A5BB3"/>
    <w:multiLevelType w:val="multilevel"/>
    <w:tmpl w:val="FA9E4CAC"/>
    <w:lvl w:ilvl="0">
      <w:start w:val="1"/>
      <w:numFmt w:val="decimal"/>
      <w:lvlRestart w:val="0"/>
      <w:pStyle w:val="CaseStudyBullet"/>
      <w:lvlText w:val="%1."/>
      <w:lvlJc w:val="left"/>
      <w:pPr>
        <w:tabs>
          <w:tab w:val="num" w:pos="567"/>
        </w:tabs>
        <w:ind w:left="567" w:hanging="567"/>
      </w:pPr>
      <w:rPr>
        <w:b w:val="0"/>
        <w:i w:val="0"/>
      </w:rPr>
    </w:lvl>
    <w:lvl w:ilvl="1">
      <w:start w:val="1"/>
      <w:numFmt w:val="decimal"/>
      <w:lvlText w:val="%1.%2."/>
      <w:lvlJc w:val="left"/>
      <w:pPr>
        <w:tabs>
          <w:tab w:val="num" w:pos="1134"/>
        </w:tabs>
        <w:ind w:left="1134" w:hanging="567"/>
      </w:pPr>
      <w:rPr>
        <w:b w:val="0"/>
        <w:i w:val="0"/>
      </w:rPr>
    </w:lvl>
    <w:lvl w:ilvl="2">
      <w:start w:val="1"/>
      <w:numFmt w:val="decimal"/>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 w15:restartNumberingAfterBreak="0">
    <w:nsid w:val="23C62640"/>
    <w:multiLevelType w:val="hybridMultilevel"/>
    <w:tmpl w:val="5A48F05E"/>
    <w:lvl w:ilvl="0" w:tplc="5A26E150">
      <w:start w:val="1"/>
      <w:numFmt w:val="bullet"/>
      <w:pStyle w:val="TableText-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4237C5"/>
    <w:multiLevelType w:val="multilevel"/>
    <w:tmpl w:val="F0BE3518"/>
    <w:name w:val="StandardNumberedList"/>
    <w:lvl w:ilvl="0">
      <w:start w:val="1"/>
      <w:numFmt w:val="decimal"/>
      <w:lvlRestart w:val="0"/>
      <w:pStyle w:val="OutlineNumbered1"/>
      <w:lvlText w:val="%1."/>
      <w:lvlJc w:val="left"/>
      <w:pPr>
        <w:tabs>
          <w:tab w:val="num" w:pos="567"/>
        </w:tabs>
        <w:ind w:left="567" w:hanging="567"/>
      </w:pPr>
      <w:rPr>
        <w:b w:val="0"/>
        <w:i w:val="0"/>
      </w:rPr>
    </w:lvl>
    <w:lvl w:ilvl="1">
      <w:start w:val="1"/>
      <w:numFmt w:val="decimal"/>
      <w:pStyle w:val="OutlineNumbered2"/>
      <w:lvlText w:val="%1.%2."/>
      <w:lvlJc w:val="left"/>
      <w:pPr>
        <w:tabs>
          <w:tab w:val="num" w:pos="1134"/>
        </w:tabs>
        <w:ind w:left="1134" w:hanging="567"/>
      </w:pPr>
      <w:rPr>
        <w:b w:val="0"/>
        <w:i w:val="0"/>
      </w:rPr>
    </w:lvl>
    <w:lvl w:ilvl="2">
      <w:start w:val="1"/>
      <w:numFmt w:val="decimal"/>
      <w:pStyle w:val="OutlineNumbered3"/>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 w15:restartNumberingAfterBreak="0">
    <w:nsid w:val="27440C8B"/>
    <w:multiLevelType w:val="multilevel"/>
    <w:tmpl w:val="9560F99E"/>
    <w:name w:val="StandardBulletedList_"/>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360"/>
        </w:tabs>
        <w:ind w:left="36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9" w15:restartNumberingAfterBreak="0">
    <w:nsid w:val="29DE5E77"/>
    <w:multiLevelType w:val="multilevel"/>
    <w:tmpl w:val="2B12B47E"/>
    <w:name w:val="StandardBulletedList"/>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abstractNum w:abstractNumId="10" w15:restartNumberingAfterBreak="0">
    <w:nsid w:val="2BEA786A"/>
    <w:multiLevelType w:val="multilevel"/>
    <w:tmpl w:val="C2664A28"/>
    <w:name w:val="AppendixAHeadingsNoItalics"/>
    <w:lvl w:ilvl="0">
      <w:start w:val="1"/>
      <w:numFmt w:val="decimal"/>
      <w:lvlRestart w:val="0"/>
      <w:lvlText w:val="%1."/>
      <w:lvlJc w:val="left"/>
      <w:pPr>
        <w:tabs>
          <w:tab w:val="num" w:pos="567"/>
        </w:tabs>
        <w:ind w:left="567" w:hanging="567"/>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tabs>
          <w:tab w:val="num" w:pos="567"/>
        </w:tabs>
        <w:ind w:left="0" w:firstLine="0"/>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1" w15:restartNumberingAfterBreak="0">
    <w:nsid w:val="2C723F30"/>
    <w:multiLevelType w:val="singleLevel"/>
    <w:tmpl w:val="1430D9F2"/>
    <w:name w:val="StandardNumberedParagraphList"/>
    <w:lvl w:ilvl="0">
      <w:start w:val="2"/>
      <w:numFmt w:val="decimal"/>
      <w:pStyle w:val="NumberedParagraph"/>
      <w:lvlText w:val="%1."/>
      <w:lvlJc w:val="left"/>
      <w:pPr>
        <w:tabs>
          <w:tab w:val="num" w:pos="567"/>
        </w:tabs>
        <w:ind w:left="0" w:firstLine="0"/>
      </w:pPr>
    </w:lvl>
  </w:abstractNum>
  <w:abstractNum w:abstractNumId="12" w15:restartNumberingAfterBreak="0">
    <w:nsid w:val="2D665DFA"/>
    <w:multiLevelType w:val="singleLevel"/>
    <w:tmpl w:val="106079EE"/>
    <w:lvl w:ilvl="0">
      <w:start w:val="1"/>
      <w:numFmt w:val="lowerLetter"/>
      <w:lvlRestart w:val="0"/>
      <w:pStyle w:val="AlphaParagraph"/>
      <w:lvlText w:val="(%1)"/>
      <w:lvlJc w:val="left"/>
      <w:pPr>
        <w:tabs>
          <w:tab w:val="num" w:pos="1134"/>
        </w:tabs>
        <w:ind w:left="1134" w:hanging="567"/>
      </w:pPr>
      <w:rPr>
        <w:rFonts w:ascii="Book Antiqua" w:hAnsi="Book Antiqua"/>
        <w:b w:val="0"/>
        <w:i w:val="0"/>
        <w:sz w:val="20"/>
      </w:rPr>
    </w:lvl>
  </w:abstractNum>
  <w:abstractNum w:abstractNumId="13" w15:restartNumberingAfterBreak="0">
    <w:nsid w:val="2EC578CA"/>
    <w:multiLevelType w:val="hybridMultilevel"/>
    <w:tmpl w:val="B442C2CA"/>
    <w:lvl w:ilvl="0" w:tplc="4DB82514">
      <w:start w:val="39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2C1B26"/>
    <w:multiLevelType w:val="multilevel"/>
    <w:tmpl w:val="C25AB2AE"/>
    <w:name w:val="AppendixAHeading3"/>
    <w:lvl w:ilvl="0">
      <w:start w:val="1"/>
      <w:numFmt w:val="decimal"/>
      <w:lvlRestart w:val="0"/>
      <w:lvlText w:val="%1."/>
      <w:lvlJc w:val="left"/>
      <w:pPr>
        <w:tabs>
          <w:tab w:val="num" w:pos="567"/>
        </w:tabs>
        <w:ind w:left="567" w:hanging="567"/>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5" w15:restartNumberingAfterBreak="0">
    <w:nsid w:val="3C012BBF"/>
    <w:multiLevelType w:val="hybridMultilevel"/>
    <w:tmpl w:val="49DCD734"/>
    <w:lvl w:ilvl="0" w:tplc="64268AF2">
      <w:start w:val="1"/>
      <w:numFmt w:val="bullet"/>
      <w:pStyle w:val="TableText-bullet"/>
      <w:lvlText w:val=""/>
      <w:lvlJc w:val="left"/>
      <w:pPr>
        <w:ind w:left="720" w:hanging="360"/>
      </w:pPr>
      <w:rPr>
        <w:rFonts w:ascii="Symbol" w:hAnsi="Symbol" w:hint="default"/>
        <w:sz w:val="14"/>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6F47A8"/>
    <w:multiLevelType w:val="hybridMultilevel"/>
    <w:tmpl w:val="73A04E56"/>
    <w:lvl w:ilvl="0" w:tplc="8892E498">
      <w:start w:val="1"/>
      <w:numFmt w:val="lowerLetter"/>
      <w:pStyle w:val="ChartorTableFootnote"/>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18" w15:restartNumberingAfterBreak="0">
    <w:nsid w:val="51F742A0"/>
    <w:multiLevelType w:val="hybridMultilevel"/>
    <w:tmpl w:val="6ABE51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8101827"/>
    <w:multiLevelType w:val="multilevel"/>
    <w:tmpl w:val="072C6E52"/>
    <w:name w:val="BoxBulletedList"/>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0" w15:restartNumberingAfterBreak="0">
    <w:nsid w:val="5E0A6F8D"/>
    <w:multiLevelType w:val="multilevel"/>
    <w:tmpl w:val="51941ED6"/>
    <w:name w:val="RecommendationBulletedList"/>
    <w:lvl w:ilvl="0">
      <w:start w:val="1"/>
      <w:numFmt w:val="bullet"/>
      <w:lvlRestart w:val="0"/>
      <w:lvlText w:val="•"/>
      <w:lvlJc w:val="left"/>
      <w:pPr>
        <w:tabs>
          <w:tab w:val="num" w:pos="283"/>
        </w:tabs>
        <w:ind w:left="283" w:hanging="283"/>
      </w:pPr>
      <w:rPr>
        <w:b w:val="0"/>
        <w:i w:val="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1" w15:restartNumberingAfterBreak="0">
    <w:nsid w:val="6065406C"/>
    <w:multiLevelType w:val="hybridMultilevel"/>
    <w:tmpl w:val="D7C099BC"/>
    <w:lvl w:ilvl="0" w:tplc="06183B36">
      <w:start w:val="2020"/>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4A2A33"/>
    <w:multiLevelType w:val="hybridMultilevel"/>
    <w:tmpl w:val="9B1E6794"/>
    <w:lvl w:ilvl="0" w:tplc="F634B7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C727922"/>
    <w:multiLevelType w:val="multilevel"/>
    <w:tmpl w:val="3F62222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DD52ED8"/>
    <w:multiLevelType w:val="hybridMultilevel"/>
    <w:tmpl w:val="8ED039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8"/>
  </w:num>
  <w:num w:numId="2">
    <w:abstractNumId w:val="7"/>
  </w:num>
  <w:num w:numId="3">
    <w:abstractNumId w:val="17"/>
  </w:num>
  <w:num w:numId="4">
    <w:abstractNumId w:val="5"/>
  </w:num>
  <w:num w:numId="5">
    <w:abstractNumId w:val="3"/>
  </w:num>
  <w:num w:numId="6">
    <w:abstractNumId w:val="11"/>
  </w:num>
  <w:num w:numId="7">
    <w:abstractNumId w:val="12"/>
  </w:num>
  <w:num w:numId="8">
    <w:abstractNumId w:val="15"/>
  </w:num>
  <w:num w:numId="9">
    <w:abstractNumId w:val="6"/>
  </w:num>
  <w:num w:numId="10">
    <w:abstractNumId w:val="1"/>
  </w:num>
  <w:num w:numId="11">
    <w:abstractNumId w:val="16"/>
  </w:num>
  <w:num w:numId="12">
    <w:abstractNumId w:val="18"/>
  </w:num>
  <w:num w:numId="13">
    <w:abstractNumId w:val="4"/>
  </w:num>
  <w:num w:numId="14">
    <w:abstractNumId w:val="17"/>
    <w:lvlOverride w:ilvl="0">
      <w:startOverride w:val="1"/>
    </w:lvlOverride>
  </w:num>
  <w:num w:numId="15">
    <w:abstractNumId w:val="22"/>
  </w:num>
  <w:num w:numId="16">
    <w:abstractNumId w:val="16"/>
    <w:lvlOverride w:ilvl="0">
      <w:startOverride w:val="1"/>
    </w:lvlOverride>
  </w:num>
  <w:num w:numId="17">
    <w:abstractNumId w:val="21"/>
  </w:num>
  <w:num w:numId="18">
    <w:abstractNumId w:val="8"/>
  </w:num>
  <w:num w:numId="19">
    <w:abstractNumId w:val="9"/>
  </w:num>
  <w:num w:numId="20">
    <w:abstractNumId w:val="24"/>
  </w:num>
  <w:num w:numId="21">
    <w:abstractNumId w:val="23"/>
  </w:num>
  <w:num w:numId="22">
    <w:abstractNumId w:val="8"/>
  </w:num>
  <w:num w:numId="23">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
  </w:num>
  <w:num w:numId="26">
    <w:abstractNumId w:val="17"/>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C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1"/>
  <w:defaultTabStop w:val="720"/>
  <w:evenAndOddHeaders/>
  <w:drawingGridHorizontalSpacing w:val="120"/>
  <w:displayHorizontalDrawingGridEvery w:val="2"/>
  <w:displayVerticalDrawingGridEvery w:val="2"/>
  <w:noPunctuationKerning/>
  <w:characterSpacingControl w:val="doNotCompress"/>
  <w:hdrShapeDefaults>
    <o:shapedefaults v:ext="edit" spidmax="2211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68B"/>
    <w:rsid w:val="00000650"/>
    <w:rsid w:val="00002343"/>
    <w:rsid w:val="00002588"/>
    <w:rsid w:val="00003749"/>
    <w:rsid w:val="0000393A"/>
    <w:rsid w:val="00004EE5"/>
    <w:rsid w:val="00005B90"/>
    <w:rsid w:val="00005EA6"/>
    <w:rsid w:val="000063E4"/>
    <w:rsid w:val="000072E4"/>
    <w:rsid w:val="000078B1"/>
    <w:rsid w:val="000109A4"/>
    <w:rsid w:val="00011A4D"/>
    <w:rsid w:val="00012B4B"/>
    <w:rsid w:val="000134D2"/>
    <w:rsid w:val="00013A38"/>
    <w:rsid w:val="000159A5"/>
    <w:rsid w:val="00015EDE"/>
    <w:rsid w:val="00016B99"/>
    <w:rsid w:val="00017A4C"/>
    <w:rsid w:val="00017FA5"/>
    <w:rsid w:val="00021EB5"/>
    <w:rsid w:val="00022858"/>
    <w:rsid w:val="00022E40"/>
    <w:rsid w:val="000236C5"/>
    <w:rsid w:val="000253FC"/>
    <w:rsid w:val="0003111A"/>
    <w:rsid w:val="00031F80"/>
    <w:rsid w:val="000340DB"/>
    <w:rsid w:val="0003636C"/>
    <w:rsid w:val="00040EA9"/>
    <w:rsid w:val="00041C5D"/>
    <w:rsid w:val="000446EC"/>
    <w:rsid w:val="00045F22"/>
    <w:rsid w:val="0004765C"/>
    <w:rsid w:val="00050A7A"/>
    <w:rsid w:val="0005196E"/>
    <w:rsid w:val="00052133"/>
    <w:rsid w:val="0005343C"/>
    <w:rsid w:val="00053C6F"/>
    <w:rsid w:val="00056C48"/>
    <w:rsid w:val="00060663"/>
    <w:rsid w:val="0006079E"/>
    <w:rsid w:val="00060ACB"/>
    <w:rsid w:val="00062791"/>
    <w:rsid w:val="0006283D"/>
    <w:rsid w:val="00065800"/>
    <w:rsid w:val="00066107"/>
    <w:rsid w:val="000671E4"/>
    <w:rsid w:val="000674EC"/>
    <w:rsid w:val="0007025B"/>
    <w:rsid w:val="0007205B"/>
    <w:rsid w:val="00072F36"/>
    <w:rsid w:val="000732B1"/>
    <w:rsid w:val="0007593E"/>
    <w:rsid w:val="0007600B"/>
    <w:rsid w:val="000769C9"/>
    <w:rsid w:val="00076BBA"/>
    <w:rsid w:val="000806DC"/>
    <w:rsid w:val="00081904"/>
    <w:rsid w:val="00081E62"/>
    <w:rsid w:val="00082AAF"/>
    <w:rsid w:val="00086030"/>
    <w:rsid w:val="0009137E"/>
    <w:rsid w:val="00091F38"/>
    <w:rsid w:val="00093A04"/>
    <w:rsid w:val="00094B59"/>
    <w:rsid w:val="000A0F89"/>
    <w:rsid w:val="000A28C3"/>
    <w:rsid w:val="000A3928"/>
    <w:rsid w:val="000A3F36"/>
    <w:rsid w:val="000A48E9"/>
    <w:rsid w:val="000A4C1A"/>
    <w:rsid w:val="000A5E35"/>
    <w:rsid w:val="000A608E"/>
    <w:rsid w:val="000A70E7"/>
    <w:rsid w:val="000B1B1C"/>
    <w:rsid w:val="000B24B7"/>
    <w:rsid w:val="000B3A27"/>
    <w:rsid w:val="000B4527"/>
    <w:rsid w:val="000B51D2"/>
    <w:rsid w:val="000B5A5B"/>
    <w:rsid w:val="000B7D99"/>
    <w:rsid w:val="000C0F10"/>
    <w:rsid w:val="000C204B"/>
    <w:rsid w:val="000C397B"/>
    <w:rsid w:val="000C411B"/>
    <w:rsid w:val="000C4380"/>
    <w:rsid w:val="000C646D"/>
    <w:rsid w:val="000C6479"/>
    <w:rsid w:val="000D0133"/>
    <w:rsid w:val="000D14F9"/>
    <w:rsid w:val="000D3493"/>
    <w:rsid w:val="000D6832"/>
    <w:rsid w:val="000E0AF8"/>
    <w:rsid w:val="000E2011"/>
    <w:rsid w:val="000E4558"/>
    <w:rsid w:val="000E47C5"/>
    <w:rsid w:val="000E4D00"/>
    <w:rsid w:val="000E648F"/>
    <w:rsid w:val="000E79AB"/>
    <w:rsid w:val="000F150F"/>
    <w:rsid w:val="000F3153"/>
    <w:rsid w:val="000F3649"/>
    <w:rsid w:val="000F3C85"/>
    <w:rsid w:val="000F4BCD"/>
    <w:rsid w:val="000F7DD6"/>
    <w:rsid w:val="00101F92"/>
    <w:rsid w:val="00103122"/>
    <w:rsid w:val="001036BE"/>
    <w:rsid w:val="0010548F"/>
    <w:rsid w:val="0010560F"/>
    <w:rsid w:val="0011132A"/>
    <w:rsid w:val="00111C50"/>
    <w:rsid w:val="001170F5"/>
    <w:rsid w:val="001215C6"/>
    <w:rsid w:val="00122E7C"/>
    <w:rsid w:val="00127428"/>
    <w:rsid w:val="0013177C"/>
    <w:rsid w:val="00133BBD"/>
    <w:rsid w:val="00134BE4"/>
    <w:rsid w:val="00134BF3"/>
    <w:rsid w:val="00135D7F"/>
    <w:rsid w:val="001404BF"/>
    <w:rsid w:val="0014068B"/>
    <w:rsid w:val="00145379"/>
    <w:rsid w:val="0014660C"/>
    <w:rsid w:val="00151157"/>
    <w:rsid w:val="00153CD8"/>
    <w:rsid w:val="001542F9"/>
    <w:rsid w:val="001558D2"/>
    <w:rsid w:val="00156592"/>
    <w:rsid w:val="001565DC"/>
    <w:rsid w:val="001570F4"/>
    <w:rsid w:val="001607BB"/>
    <w:rsid w:val="001637FA"/>
    <w:rsid w:val="001643B0"/>
    <w:rsid w:val="001644B9"/>
    <w:rsid w:val="00165111"/>
    <w:rsid w:val="001655A1"/>
    <w:rsid w:val="0016622C"/>
    <w:rsid w:val="0016644D"/>
    <w:rsid w:val="00167787"/>
    <w:rsid w:val="001702BC"/>
    <w:rsid w:val="0017343D"/>
    <w:rsid w:val="001734C1"/>
    <w:rsid w:val="00174DFF"/>
    <w:rsid w:val="00175196"/>
    <w:rsid w:val="00176571"/>
    <w:rsid w:val="001777DE"/>
    <w:rsid w:val="001800C6"/>
    <w:rsid w:val="001814B9"/>
    <w:rsid w:val="00181CD7"/>
    <w:rsid w:val="00181D7A"/>
    <w:rsid w:val="0018488A"/>
    <w:rsid w:val="00185A5B"/>
    <w:rsid w:val="00186576"/>
    <w:rsid w:val="00186B70"/>
    <w:rsid w:val="00190289"/>
    <w:rsid w:val="00190C8B"/>
    <w:rsid w:val="0019286E"/>
    <w:rsid w:val="00192D21"/>
    <w:rsid w:val="00192E9C"/>
    <w:rsid w:val="0019342F"/>
    <w:rsid w:val="00193DBB"/>
    <w:rsid w:val="001943AB"/>
    <w:rsid w:val="001946A7"/>
    <w:rsid w:val="001953A4"/>
    <w:rsid w:val="00195EDD"/>
    <w:rsid w:val="00196729"/>
    <w:rsid w:val="00196F44"/>
    <w:rsid w:val="001973F2"/>
    <w:rsid w:val="00197687"/>
    <w:rsid w:val="001978A0"/>
    <w:rsid w:val="00197A76"/>
    <w:rsid w:val="001A08D4"/>
    <w:rsid w:val="001A0D04"/>
    <w:rsid w:val="001A4AF1"/>
    <w:rsid w:val="001A5EA2"/>
    <w:rsid w:val="001A7961"/>
    <w:rsid w:val="001B01E7"/>
    <w:rsid w:val="001B05A6"/>
    <w:rsid w:val="001B06C9"/>
    <w:rsid w:val="001B133C"/>
    <w:rsid w:val="001B1447"/>
    <w:rsid w:val="001B1F5F"/>
    <w:rsid w:val="001B2047"/>
    <w:rsid w:val="001B31EE"/>
    <w:rsid w:val="001B450F"/>
    <w:rsid w:val="001B575D"/>
    <w:rsid w:val="001B7944"/>
    <w:rsid w:val="001B7B60"/>
    <w:rsid w:val="001C005C"/>
    <w:rsid w:val="001C4560"/>
    <w:rsid w:val="001C6623"/>
    <w:rsid w:val="001C71C2"/>
    <w:rsid w:val="001C73FF"/>
    <w:rsid w:val="001D00FF"/>
    <w:rsid w:val="001D48F1"/>
    <w:rsid w:val="001D4EB0"/>
    <w:rsid w:val="001D4FA5"/>
    <w:rsid w:val="001D5520"/>
    <w:rsid w:val="001D6D33"/>
    <w:rsid w:val="001E24AA"/>
    <w:rsid w:val="001E266F"/>
    <w:rsid w:val="001E2AB7"/>
    <w:rsid w:val="001E328B"/>
    <w:rsid w:val="001E3D51"/>
    <w:rsid w:val="001E624B"/>
    <w:rsid w:val="001E629B"/>
    <w:rsid w:val="001E64C2"/>
    <w:rsid w:val="001E666E"/>
    <w:rsid w:val="001F3E05"/>
    <w:rsid w:val="001F490C"/>
    <w:rsid w:val="001F4A77"/>
    <w:rsid w:val="001F71D8"/>
    <w:rsid w:val="0020236F"/>
    <w:rsid w:val="00202E59"/>
    <w:rsid w:val="00202FAE"/>
    <w:rsid w:val="00203927"/>
    <w:rsid w:val="00203CE5"/>
    <w:rsid w:val="00205914"/>
    <w:rsid w:val="00205C62"/>
    <w:rsid w:val="002069B7"/>
    <w:rsid w:val="00206AFB"/>
    <w:rsid w:val="00207AD1"/>
    <w:rsid w:val="002109A8"/>
    <w:rsid w:val="00210B6E"/>
    <w:rsid w:val="00210D7E"/>
    <w:rsid w:val="0021346D"/>
    <w:rsid w:val="00213A2B"/>
    <w:rsid w:val="002172C3"/>
    <w:rsid w:val="002208AD"/>
    <w:rsid w:val="00223D2C"/>
    <w:rsid w:val="0022422A"/>
    <w:rsid w:val="0022566A"/>
    <w:rsid w:val="002258AB"/>
    <w:rsid w:val="00226E1B"/>
    <w:rsid w:val="00226F56"/>
    <w:rsid w:val="002276BC"/>
    <w:rsid w:val="00234118"/>
    <w:rsid w:val="00234EE2"/>
    <w:rsid w:val="0023512E"/>
    <w:rsid w:val="00236186"/>
    <w:rsid w:val="002370A2"/>
    <w:rsid w:val="0023756C"/>
    <w:rsid w:val="00237B7F"/>
    <w:rsid w:val="00237D47"/>
    <w:rsid w:val="00240DE7"/>
    <w:rsid w:val="00241F0B"/>
    <w:rsid w:val="00243EE4"/>
    <w:rsid w:val="00243FFB"/>
    <w:rsid w:val="002440F7"/>
    <w:rsid w:val="00246D96"/>
    <w:rsid w:val="0024750C"/>
    <w:rsid w:val="00256018"/>
    <w:rsid w:val="00256484"/>
    <w:rsid w:val="00257433"/>
    <w:rsid w:val="0026096C"/>
    <w:rsid w:val="00264477"/>
    <w:rsid w:val="0026551D"/>
    <w:rsid w:val="0027056F"/>
    <w:rsid w:val="0027115A"/>
    <w:rsid w:val="002728A2"/>
    <w:rsid w:val="00272D08"/>
    <w:rsid w:val="0027329D"/>
    <w:rsid w:val="00277700"/>
    <w:rsid w:val="00277CC8"/>
    <w:rsid w:val="002813CC"/>
    <w:rsid w:val="00283A9D"/>
    <w:rsid w:val="0028575F"/>
    <w:rsid w:val="002867A9"/>
    <w:rsid w:val="00287F45"/>
    <w:rsid w:val="00290A66"/>
    <w:rsid w:val="0029302A"/>
    <w:rsid w:val="00293EE1"/>
    <w:rsid w:val="00294D3B"/>
    <w:rsid w:val="002959F2"/>
    <w:rsid w:val="00295D0B"/>
    <w:rsid w:val="00296F20"/>
    <w:rsid w:val="00297813"/>
    <w:rsid w:val="00297A1B"/>
    <w:rsid w:val="002A110A"/>
    <w:rsid w:val="002A1414"/>
    <w:rsid w:val="002A2FB6"/>
    <w:rsid w:val="002A3436"/>
    <w:rsid w:val="002A37B9"/>
    <w:rsid w:val="002A3D45"/>
    <w:rsid w:val="002A4F30"/>
    <w:rsid w:val="002A5D17"/>
    <w:rsid w:val="002A6475"/>
    <w:rsid w:val="002A746E"/>
    <w:rsid w:val="002B19D2"/>
    <w:rsid w:val="002B2498"/>
    <w:rsid w:val="002B251D"/>
    <w:rsid w:val="002B2DBC"/>
    <w:rsid w:val="002B2F13"/>
    <w:rsid w:val="002B3290"/>
    <w:rsid w:val="002B4471"/>
    <w:rsid w:val="002B5EAF"/>
    <w:rsid w:val="002B74A5"/>
    <w:rsid w:val="002B777A"/>
    <w:rsid w:val="002C2032"/>
    <w:rsid w:val="002C479C"/>
    <w:rsid w:val="002C4A9C"/>
    <w:rsid w:val="002C7296"/>
    <w:rsid w:val="002C72E7"/>
    <w:rsid w:val="002D065E"/>
    <w:rsid w:val="002D108B"/>
    <w:rsid w:val="002D3F88"/>
    <w:rsid w:val="002D441C"/>
    <w:rsid w:val="002D60C2"/>
    <w:rsid w:val="002D7830"/>
    <w:rsid w:val="002E0A30"/>
    <w:rsid w:val="002E115C"/>
    <w:rsid w:val="002E32FF"/>
    <w:rsid w:val="002E3C94"/>
    <w:rsid w:val="002E4ADA"/>
    <w:rsid w:val="002E5C15"/>
    <w:rsid w:val="002F4C81"/>
    <w:rsid w:val="002F6BB1"/>
    <w:rsid w:val="002F6C71"/>
    <w:rsid w:val="002F7461"/>
    <w:rsid w:val="002F7BFC"/>
    <w:rsid w:val="003012D9"/>
    <w:rsid w:val="00302738"/>
    <w:rsid w:val="0030400A"/>
    <w:rsid w:val="00304AC4"/>
    <w:rsid w:val="0030516A"/>
    <w:rsid w:val="00305828"/>
    <w:rsid w:val="00306735"/>
    <w:rsid w:val="00307223"/>
    <w:rsid w:val="00311BE1"/>
    <w:rsid w:val="00312807"/>
    <w:rsid w:val="00312CB4"/>
    <w:rsid w:val="00315F43"/>
    <w:rsid w:val="00317B5B"/>
    <w:rsid w:val="00320D95"/>
    <w:rsid w:val="0032169C"/>
    <w:rsid w:val="003219C2"/>
    <w:rsid w:val="00321DEC"/>
    <w:rsid w:val="003234BC"/>
    <w:rsid w:val="003246F8"/>
    <w:rsid w:val="0032497E"/>
    <w:rsid w:val="00325730"/>
    <w:rsid w:val="0032605D"/>
    <w:rsid w:val="00326887"/>
    <w:rsid w:val="0033016B"/>
    <w:rsid w:val="003314BA"/>
    <w:rsid w:val="003319CF"/>
    <w:rsid w:val="0033234A"/>
    <w:rsid w:val="00332644"/>
    <w:rsid w:val="00334452"/>
    <w:rsid w:val="003359C3"/>
    <w:rsid w:val="00336EA2"/>
    <w:rsid w:val="00340D92"/>
    <w:rsid w:val="00340F57"/>
    <w:rsid w:val="00342B25"/>
    <w:rsid w:val="00344A91"/>
    <w:rsid w:val="00344F34"/>
    <w:rsid w:val="00345155"/>
    <w:rsid w:val="00345F37"/>
    <w:rsid w:val="003461F1"/>
    <w:rsid w:val="0035025B"/>
    <w:rsid w:val="0035094C"/>
    <w:rsid w:val="00350B02"/>
    <w:rsid w:val="00350B4F"/>
    <w:rsid w:val="003513C4"/>
    <w:rsid w:val="0035209A"/>
    <w:rsid w:val="00354670"/>
    <w:rsid w:val="00354709"/>
    <w:rsid w:val="00354CE6"/>
    <w:rsid w:val="00355249"/>
    <w:rsid w:val="00355519"/>
    <w:rsid w:val="003558EF"/>
    <w:rsid w:val="0035680C"/>
    <w:rsid w:val="00357914"/>
    <w:rsid w:val="00357FF5"/>
    <w:rsid w:val="00361F9A"/>
    <w:rsid w:val="0036250C"/>
    <w:rsid w:val="00363662"/>
    <w:rsid w:val="00363D89"/>
    <w:rsid w:val="003658DE"/>
    <w:rsid w:val="003665F5"/>
    <w:rsid w:val="00370304"/>
    <w:rsid w:val="0037082F"/>
    <w:rsid w:val="00371CAF"/>
    <w:rsid w:val="00373208"/>
    <w:rsid w:val="0037385E"/>
    <w:rsid w:val="00373BAB"/>
    <w:rsid w:val="00375543"/>
    <w:rsid w:val="0037576C"/>
    <w:rsid w:val="00375EDA"/>
    <w:rsid w:val="003772BD"/>
    <w:rsid w:val="0038068D"/>
    <w:rsid w:val="003818E8"/>
    <w:rsid w:val="00383606"/>
    <w:rsid w:val="00383F30"/>
    <w:rsid w:val="003841AD"/>
    <w:rsid w:val="003858D0"/>
    <w:rsid w:val="00385B58"/>
    <w:rsid w:val="003870C3"/>
    <w:rsid w:val="00390926"/>
    <w:rsid w:val="00392CFC"/>
    <w:rsid w:val="00394238"/>
    <w:rsid w:val="00394986"/>
    <w:rsid w:val="00396B97"/>
    <w:rsid w:val="00397291"/>
    <w:rsid w:val="00397DD4"/>
    <w:rsid w:val="003A0133"/>
    <w:rsid w:val="003A0398"/>
    <w:rsid w:val="003A0911"/>
    <w:rsid w:val="003A0EDE"/>
    <w:rsid w:val="003A436C"/>
    <w:rsid w:val="003A46C1"/>
    <w:rsid w:val="003A4BF6"/>
    <w:rsid w:val="003A5066"/>
    <w:rsid w:val="003A5400"/>
    <w:rsid w:val="003A667A"/>
    <w:rsid w:val="003A6AD4"/>
    <w:rsid w:val="003A72F4"/>
    <w:rsid w:val="003A7C39"/>
    <w:rsid w:val="003B2AB4"/>
    <w:rsid w:val="003B3F33"/>
    <w:rsid w:val="003B4C87"/>
    <w:rsid w:val="003B4CB5"/>
    <w:rsid w:val="003B4DA6"/>
    <w:rsid w:val="003C063E"/>
    <w:rsid w:val="003C2D97"/>
    <w:rsid w:val="003C2E22"/>
    <w:rsid w:val="003C3EEF"/>
    <w:rsid w:val="003C575D"/>
    <w:rsid w:val="003C5DC4"/>
    <w:rsid w:val="003C64A1"/>
    <w:rsid w:val="003C6DD0"/>
    <w:rsid w:val="003C778E"/>
    <w:rsid w:val="003C788F"/>
    <w:rsid w:val="003D13F5"/>
    <w:rsid w:val="003D1F61"/>
    <w:rsid w:val="003D33FB"/>
    <w:rsid w:val="003D5EE8"/>
    <w:rsid w:val="003E0D43"/>
    <w:rsid w:val="003E28F9"/>
    <w:rsid w:val="003E38BC"/>
    <w:rsid w:val="003E3F9D"/>
    <w:rsid w:val="003E41C7"/>
    <w:rsid w:val="003E5A70"/>
    <w:rsid w:val="003E79B6"/>
    <w:rsid w:val="003E7C79"/>
    <w:rsid w:val="003F0677"/>
    <w:rsid w:val="003F1266"/>
    <w:rsid w:val="003F1869"/>
    <w:rsid w:val="003F1E29"/>
    <w:rsid w:val="003F2DC4"/>
    <w:rsid w:val="003F45BA"/>
    <w:rsid w:val="003F45E7"/>
    <w:rsid w:val="003F5B46"/>
    <w:rsid w:val="0040257C"/>
    <w:rsid w:val="00402EE9"/>
    <w:rsid w:val="00403DFE"/>
    <w:rsid w:val="00404A7C"/>
    <w:rsid w:val="00404D4F"/>
    <w:rsid w:val="00405179"/>
    <w:rsid w:val="004053E5"/>
    <w:rsid w:val="00406E89"/>
    <w:rsid w:val="00406F17"/>
    <w:rsid w:val="004078CD"/>
    <w:rsid w:val="00407FD5"/>
    <w:rsid w:val="00410181"/>
    <w:rsid w:val="00410E59"/>
    <w:rsid w:val="00414725"/>
    <w:rsid w:val="00415F67"/>
    <w:rsid w:val="0041764E"/>
    <w:rsid w:val="00417E64"/>
    <w:rsid w:val="00426193"/>
    <w:rsid w:val="00426BA3"/>
    <w:rsid w:val="00427F12"/>
    <w:rsid w:val="00430EAC"/>
    <w:rsid w:val="004310D0"/>
    <w:rsid w:val="00431DD2"/>
    <w:rsid w:val="00432A21"/>
    <w:rsid w:val="00433435"/>
    <w:rsid w:val="004344BB"/>
    <w:rsid w:val="0043489F"/>
    <w:rsid w:val="00435DFE"/>
    <w:rsid w:val="00436F85"/>
    <w:rsid w:val="00440FE6"/>
    <w:rsid w:val="0044534A"/>
    <w:rsid w:val="004459BF"/>
    <w:rsid w:val="00445B6A"/>
    <w:rsid w:val="00447294"/>
    <w:rsid w:val="00447833"/>
    <w:rsid w:val="0045012C"/>
    <w:rsid w:val="004503F1"/>
    <w:rsid w:val="004512F2"/>
    <w:rsid w:val="0045207C"/>
    <w:rsid w:val="00453CAC"/>
    <w:rsid w:val="004555F0"/>
    <w:rsid w:val="004558E4"/>
    <w:rsid w:val="004564C0"/>
    <w:rsid w:val="00460514"/>
    <w:rsid w:val="004635AC"/>
    <w:rsid w:val="0046511E"/>
    <w:rsid w:val="00465BAD"/>
    <w:rsid w:val="00466198"/>
    <w:rsid w:val="00470949"/>
    <w:rsid w:val="00470D7B"/>
    <w:rsid w:val="00474BF6"/>
    <w:rsid w:val="00475ACA"/>
    <w:rsid w:val="00475B0B"/>
    <w:rsid w:val="004768BA"/>
    <w:rsid w:val="004771AD"/>
    <w:rsid w:val="004776B5"/>
    <w:rsid w:val="004778E5"/>
    <w:rsid w:val="00482190"/>
    <w:rsid w:val="004837F5"/>
    <w:rsid w:val="00483AD1"/>
    <w:rsid w:val="00484200"/>
    <w:rsid w:val="0048451E"/>
    <w:rsid w:val="0048602D"/>
    <w:rsid w:val="004875D6"/>
    <w:rsid w:val="004909ED"/>
    <w:rsid w:val="00490B29"/>
    <w:rsid w:val="004944D1"/>
    <w:rsid w:val="00495BF5"/>
    <w:rsid w:val="00497133"/>
    <w:rsid w:val="004A14DE"/>
    <w:rsid w:val="004A2939"/>
    <w:rsid w:val="004A3728"/>
    <w:rsid w:val="004A5296"/>
    <w:rsid w:val="004A5650"/>
    <w:rsid w:val="004A5FEC"/>
    <w:rsid w:val="004A634F"/>
    <w:rsid w:val="004A6B03"/>
    <w:rsid w:val="004A725E"/>
    <w:rsid w:val="004A748C"/>
    <w:rsid w:val="004A77AC"/>
    <w:rsid w:val="004B0E4B"/>
    <w:rsid w:val="004B1627"/>
    <w:rsid w:val="004B1D8E"/>
    <w:rsid w:val="004B224E"/>
    <w:rsid w:val="004B246F"/>
    <w:rsid w:val="004B24F0"/>
    <w:rsid w:val="004B30BB"/>
    <w:rsid w:val="004B3412"/>
    <w:rsid w:val="004B3EEA"/>
    <w:rsid w:val="004B5EAA"/>
    <w:rsid w:val="004B641A"/>
    <w:rsid w:val="004B694C"/>
    <w:rsid w:val="004C1191"/>
    <w:rsid w:val="004C2507"/>
    <w:rsid w:val="004C287B"/>
    <w:rsid w:val="004C2B5C"/>
    <w:rsid w:val="004C6847"/>
    <w:rsid w:val="004D0387"/>
    <w:rsid w:val="004D0AF0"/>
    <w:rsid w:val="004D16AA"/>
    <w:rsid w:val="004D1CF9"/>
    <w:rsid w:val="004D449F"/>
    <w:rsid w:val="004D53E7"/>
    <w:rsid w:val="004D64FF"/>
    <w:rsid w:val="004E030C"/>
    <w:rsid w:val="004E055D"/>
    <w:rsid w:val="004E1257"/>
    <w:rsid w:val="004E145E"/>
    <w:rsid w:val="004E27F9"/>
    <w:rsid w:val="004E6299"/>
    <w:rsid w:val="004E6ABF"/>
    <w:rsid w:val="004E6E99"/>
    <w:rsid w:val="004F145A"/>
    <w:rsid w:val="004F1709"/>
    <w:rsid w:val="004F1C0F"/>
    <w:rsid w:val="004F349F"/>
    <w:rsid w:val="004F519D"/>
    <w:rsid w:val="004F5692"/>
    <w:rsid w:val="004F6EA5"/>
    <w:rsid w:val="004F71E5"/>
    <w:rsid w:val="004F766E"/>
    <w:rsid w:val="0050028B"/>
    <w:rsid w:val="0050037B"/>
    <w:rsid w:val="00505247"/>
    <w:rsid w:val="0050733F"/>
    <w:rsid w:val="00510232"/>
    <w:rsid w:val="005104B2"/>
    <w:rsid w:val="005111D6"/>
    <w:rsid w:val="005125E8"/>
    <w:rsid w:val="00512AAD"/>
    <w:rsid w:val="00512DB0"/>
    <w:rsid w:val="00513737"/>
    <w:rsid w:val="00513CD7"/>
    <w:rsid w:val="0051536C"/>
    <w:rsid w:val="0051632C"/>
    <w:rsid w:val="00517A62"/>
    <w:rsid w:val="00521191"/>
    <w:rsid w:val="00521192"/>
    <w:rsid w:val="00523030"/>
    <w:rsid w:val="00523181"/>
    <w:rsid w:val="005237D1"/>
    <w:rsid w:val="005239E8"/>
    <w:rsid w:val="00524A9D"/>
    <w:rsid w:val="0052539B"/>
    <w:rsid w:val="00526444"/>
    <w:rsid w:val="0052710D"/>
    <w:rsid w:val="005275A2"/>
    <w:rsid w:val="0053006F"/>
    <w:rsid w:val="00530A42"/>
    <w:rsid w:val="005316B6"/>
    <w:rsid w:val="005335F9"/>
    <w:rsid w:val="00533879"/>
    <w:rsid w:val="00534E56"/>
    <w:rsid w:val="00535CE0"/>
    <w:rsid w:val="00542DCF"/>
    <w:rsid w:val="00544D6A"/>
    <w:rsid w:val="00547454"/>
    <w:rsid w:val="00551652"/>
    <w:rsid w:val="0055193E"/>
    <w:rsid w:val="00553B44"/>
    <w:rsid w:val="0055403C"/>
    <w:rsid w:val="00554058"/>
    <w:rsid w:val="00554102"/>
    <w:rsid w:val="0055428A"/>
    <w:rsid w:val="00556675"/>
    <w:rsid w:val="00557155"/>
    <w:rsid w:val="00560AE5"/>
    <w:rsid w:val="00560E73"/>
    <w:rsid w:val="005611C2"/>
    <w:rsid w:val="005630E0"/>
    <w:rsid w:val="005636F1"/>
    <w:rsid w:val="0056450F"/>
    <w:rsid w:val="00564590"/>
    <w:rsid w:val="005660DA"/>
    <w:rsid w:val="0056641B"/>
    <w:rsid w:val="005667D4"/>
    <w:rsid w:val="005669D3"/>
    <w:rsid w:val="005671CF"/>
    <w:rsid w:val="00571AFB"/>
    <w:rsid w:val="00574244"/>
    <w:rsid w:val="005758B6"/>
    <w:rsid w:val="00575919"/>
    <w:rsid w:val="00575FBD"/>
    <w:rsid w:val="00584611"/>
    <w:rsid w:val="00584D5F"/>
    <w:rsid w:val="005857A5"/>
    <w:rsid w:val="00585F37"/>
    <w:rsid w:val="00586625"/>
    <w:rsid w:val="00586C85"/>
    <w:rsid w:val="00592D3F"/>
    <w:rsid w:val="00592EF2"/>
    <w:rsid w:val="00594929"/>
    <w:rsid w:val="005949C0"/>
    <w:rsid w:val="005955A8"/>
    <w:rsid w:val="00595868"/>
    <w:rsid w:val="005958AD"/>
    <w:rsid w:val="00596E2C"/>
    <w:rsid w:val="00597834"/>
    <w:rsid w:val="005A0FD7"/>
    <w:rsid w:val="005A16AB"/>
    <w:rsid w:val="005A1C50"/>
    <w:rsid w:val="005A58D0"/>
    <w:rsid w:val="005A5EB9"/>
    <w:rsid w:val="005A6481"/>
    <w:rsid w:val="005A76DD"/>
    <w:rsid w:val="005B0DAE"/>
    <w:rsid w:val="005B196C"/>
    <w:rsid w:val="005B2C40"/>
    <w:rsid w:val="005B3CDC"/>
    <w:rsid w:val="005B3FE3"/>
    <w:rsid w:val="005C01F4"/>
    <w:rsid w:val="005C04F5"/>
    <w:rsid w:val="005C3DFE"/>
    <w:rsid w:val="005C45F1"/>
    <w:rsid w:val="005C707B"/>
    <w:rsid w:val="005D33D8"/>
    <w:rsid w:val="005D485B"/>
    <w:rsid w:val="005D5190"/>
    <w:rsid w:val="005D6F49"/>
    <w:rsid w:val="005E12C6"/>
    <w:rsid w:val="005E1EA7"/>
    <w:rsid w:val="005E23A0"/>
    <w:rsid w:val="005E23D5"/>
    <w:rsid w:val="005E2E1E"/>
    <w:rsid w:val="005E4142"/>
    <w:rsid w:val="005E5353"/>
    <w:rsid w:val="005F119F"/>
    <w:rsid w:val="005F1796"/>
    <w:rsid w:val="005F3BA4"/>
    <w:rsid w:val="005F4219"/>
    <w:rsid w:val="005F4B0D"/>
    <w:rsid w:val="005F4B25"/>
    <w:rsid w:val="005F563A"/>
    <w:rsid w:val="00601373"/>
    <w:rsid w:val="006017E2"/>
    <w:rsid w:val="006023F9"/>
    <w:rsid w:val="0060459E"/>
    <w:rsid w:val="006056EB"/>
    <w:rsid w:val="006069D3"/>
    <w:rsid w:val="00606DB4"/>
    <w:rsid w:val="0060760F"/>
    <w:rsid w:val="00611E71"/>
    <w:rsid w:val="00613159"/>
    <w:rsid w:val="00613420"/>
    <w:rsid w:val="0061351C"/>
    <w:rsid w:val="00613D1B"/>
    <w:rsid w:val="006170B3"/>
    <w:rsid w:val="0061718F"/>
    <w:rsid w:val="00621AE0"/>
    <w:rsid w:val="00622391"/>
    <w:rsid w:val="00622541"/>
    <w:rsid w:val="00624E9F"/>
    <w:rsid w:val="00625011"/>
    <w:rsid w:val="00625C2F"/>
    <w:rsid w:val="006266B3"/>
    <w:rsid w:val="006271F1"/>
    <w:rsid w:val="00627B0C"/>
    <w:rsid w:val="00632ED0"/>
    <w:rsid w:val="0063486E"/>
    <w:rsid w:val="00634B81"/>
    <w:rsid w:val="00634C6F"/>
    <w:rsid w:val="00635839"/>
    <w:rsid w:val="006371D9"/>
    <w:rsid w:val="0064050A"/>
    <w:rsid w:val="00642FB6"/>
    <w:rsid w:val="006462CC"/>
    <w:rsid w:val="00646854"/>
    <w:rsid w:val="0064714C"/>
    <w:rsid w:val="00647D3E"/>
    <w:rsid w:val="00650A1A"/>
    <w:rsid w:val="006542EC"/>
    <w:rsid w:val="00655ADE"/>
    <w:rsid w:val="00655CC7"/>
    <w:rsid w:val="00655FE7"/>
    <w:rsid w:val="00656B7E"/>
    <w:rsid w:val="00657683"/>
    <w:rsid w:val="006577E2"/>
    <w:rsid w:val="00657F6E"/>
    <w:rsid w:val="00660BA4"/>
    <w:rsid w:val="00665805"/>
    <w:rsid w:val="00670696"/>
    <w:rsid w:val="00671C98"/>
    <w:rsid w:val="00672D29"/>
    <w:rsid w:val="00675B11"/>
    <w:rsid w:val="00675B2E"/>
    <w:rsid w:val="00675CDD"/>
    <w:rsid w:val="00676C85"/>
    <w:rsid w:val="00676EB2"/>
    <w:rsid w:val="00680B6C"/>
    <w:rsid w:val="006824DF"/>
    <w:rsid w:val="00682C91"/>
    <w:rsid w:val="006832C1"/>
    <w:rsid w:val="00686ED2"/>
    <w:rsid w:val="006876F0"/>
    <w:rsid w:val="006879F9"/>
    <w:rsid w:val="00687AEC"/>
    <w:rsid w:val="00687B95"/>
    <w:rsid w:val="00692109"/>
    <w:rsid w:val="00692452"/>
    <w:rsid w:val="00692928"/>
    <w:rsid w:val="00692F69"/>
    <w:rsid w:val="00693BA3"/>
    <w:rsid w:val="00697744"/>
    <w:rsid w:val="006A2E70"/>
    <w:rsid w:val="006A35C1"/>
    <w:rsid w:val="006A3996"/>
    <w:rsid w:val="006A4C69"/>
    <w:rsid w:val="006A4E32"/>
    <w:rsid w:val="006A6178"/>
    <w:rsid w:val="006A768E"/>
    <w:rsid w:val="006B15D3"/>
    <w:rsid w:val="006B1741"/>
    <w:rsid w:val="006B246D"/>
    <w:rsid w:val="006B32E3"/>
    <w:rsid w:val="006B3A51"/>
    <w:rsid w:val="006B3BD5"/>
    <w:rsid w:val="006B3D69"/>
    <w:rsid w:val="006B4859"/>
    <w:rsid w:val="006B62EC"/>
    <w:rsid w:val="006C1591"/>
    <w:rsid w:val="006C1644"/>
    <w:rsid w:val="006C17D8"/>
    <w:rsid w:val="006C1D4B"/>
    <w:rsid w:val="006C7ABA"/>
    <w:rsid w:val="006D00E8"/>
    <w:rsid w:val="006D162D"/>
    <w:rsid w:val="006D18F6"/>
    <w:rsid w:val="006D2BBE"/>
    <w:rsid w:val="006D2D0D"/>
    <w:rsid w:val="006D5EBF"/>
    <w:rsid w:val="006D6BD0"/>
    <w:rsid w:val="006E1097"/>
    <w:rsid w:val="006E15B5"/>
    <w:rsid w:val="006E1834"/>
    <w:rsid w:val="006E2A1D"/>
    <w:rsid w:val="006E4A8E"/>
    <w:rsid w:val="006E5FC3"/>
    <w:rsid w:val="006E73B5"/>
    <w:rsid w:val="006F0F28"/>
    <w:rsid w:val="006F14A3"/>
    <w:rsid w:val="006F2F4E"/>
    <w:rsid w:val="006F56C0"/>
    <w:rsid w:val="006F7945"/>
    <w:rsid w:val="007035D0"/>
    <w:rsid w:val="007060AE"/>
    <w:rsid w:val="007121D6"/>
    <w:rsid w:val="00712679"/>
    <w:rsid w:val="00712743"/>
    <w:rsid w:val="00715BB9"/>
    <w:rsid w:val="00715C72"/>
    <w:rsid w:val="00716F81"/>
    <w:rsid w:val="00717B61"/>
    <w:rsid w:val="0072248F"/>
    <w:rsid w:val="00722654"/>
    <w:rsid w:val="00722DF0"/>
    <w:rsid w:val="00723AFE"/>
    <w:rsid w:val="00723C4E"/>
    <w:rsid w:val="007245C5"/>
    <w:rsid w:val="00725147"/>
    <w:rsid w:val="0072560A"/>
    <w:rsid w:val="007278B4"/>
    <w:rsid w:val="0073036A"/>
    <w:rsid w:val="00731210"/>
    <w:rsid w:val="00735E3C"/>
    <w:rsid w:val="007368B5"/>
    <w:rsid w:val="00740320"/>
    <w:rsid w:val="00741505"/>
    <w:rsid w:val="00741B4E"/>
    <w:rsid w:val="0074486D"/>
    <w:rsid w:val="00744F6C"/>
    <w:rsid w:val="00745500"/>
    <w:rsid w:val="007458BB"/>
    <w:rsid w:val="00746205"/>
    <w:rsid w:val="00746D27"/>
    <w:rsid w:val="007472FD"/>
    <w:rsid w:val="00750A26"/>
    <w:rsid w:val="00750BEE"/>
    <w:rsid w:val="00751102"/>
    <w:rsid w:val="0075174C"/>
    <w:rsid w:val="0075226C"/>
    <w:rsid w:val="00756604"/>
    <w:rsid w:val="00761FEE"/>
    <w:rsid w:val="00762A93"/>
    <w:rsid w:val="007637B8"/>
    <w:rsid w:val="007645E5"/>
    <w:rsid w:val="00765283"/>
    <w:rsid w:val="0076599E"/>
    <w:rsid w:val="00767B56"/>
    <w:rsid w:val="00767CAB"/>
    <w:rsid w:val="00770C8E"/>
    <w:rsid w:val="00771160"/>
    <w:rsid w:val="0077156E"/>
    <w:rsid w:val="00772571"/>
    <w:rsid w:val="0077638A"/>
    <w:rsid w:val="00776645"/>
    <w:rsid w:val="00777B65"/>
    <w:rsid w:val="0078061E"/>
    <w:rsid w:val="0078149D"/>
    <w:rsid w:val="00781851"/>
    <w:rsid w:val="00782E87"/>
    <w:rsid w:val="00783BA8"/>
    <w:rsid w:val="00783E2C"/>
    <w:rsid w:val="00784C19"/>
    <w:rsid w:val="00785CCE"/>
    <w:rsid w:val="00786E67"/>
    <w:rsid w:val="0078720B"/>
    <w:rsid w:val="00787EA9"/>
    <w:rsid w:val="00790134"/>
    <w:rsid w:val="007912CD"/>
    <w:rsid w:val="00794FD8"/>
    <w:rsid w:val="00794FE4"/>
    <w:rsid w:val="0079508E"/>
    <w:rsid w:val="00796AB0"/>
    <w:rsid w:val="00797BAB"/>
    <w:rsid w:val="007A0BA2"/>
    <w:rsid w:val="007A302B"/>
    <w:rsid w:val="007A361F"/>
    <w:rsid w:val="007A386C"/>
    <w:rsid w:val="007A3FB6"/>
    <w:rsid w:val="007A4D6B"/>
    <w:rsid w:val="007A5071"/>
    <w:rsid w:val="007A6214"/>
    <w:rsid w:val="007A6FA5"/>
    <w:rsid w:val="007B1E6D"/>
    <w:rsid w:val="007B1EDA"/>
    <w:rsid w:val="007B39A2"/>
    <w:rsid w:val="007B3BEF"/>
    <w:rsid w:val="007B3E80"/>
    <w:rsid w:val="007B3F2E"/>
    <w:rsid w:val="007B48B3"/>
    <w:rsid w:val="007B568F"/>
    <w:rsid w:val="007B6345"/>
    <w:rsid w:val="007B66F5"/>
    <w:rsid w:val="007C08A3"/>
    <w:rsid w:val="007C157A"/>
    <w:rsid w:val="007C2126"/>
    <w:rsid w:val="007D10D0"/>
    <w:rsid w:val="007D18E6"/>
    <w:rsid w:val="007D2346"/>
    <w:rsid w:val="007D316A"/>
    <w:rsid w:val="007D4643"/>
    <w:rsid w:val="007D67F4"/>
    <w:rsid w:val="007D7E00"/>
    <w:rsid w:val="007E0172"/>
    <w:rsid w:val="007E0F2D"/>
    <w:rsid w:val="007E2E2F"/>
    <w:rsid w:val="007E6B29"/>
    <w:rsid w:val="007F01B2"/>
    <w:rsid w:val="007F04B1"/>
    <w:rsid w:val="007F1886"/>
    <w:rsid w:val="007F36B0"/>
    <w:rsid w:val="007F3955"/>
    <w:rsid w:val="007F43ED"/>
    <w:rsid w:val="007F4715"/>
    <w:rsid w:val="007F6656"/>
    <w:rsid w:val="007F6A40"/>
    <w:rsid w:val="007F6B6F"/>
    <w:rsid w:val="007F749A"/>
    <w:rsid w:val="007F7673"/>
    <w:rsid w:val="007F7765"/>
    <w:rsid w:val="007F78E4"/>
    <w:rsid w:val="008003CD"/>
    <w:rsid w:val="00802E3D"/>
    <w:rsid w:val="00802F97"/>
    <w:rsid w:val="00803D04"/>
    <w:rsid w:val="00804AC0"/>
    <w:rsid w:val="00807E6A"/>
    <w:rsid w:val="00807F11"/>
    <w:rsid w:val="0081115C"/>
    <w:rsid w:val="00811B02"/>
    <w:rsid w:val="00812218"/>
    <w:rsid w:val="00812820"/>
    <w:rsid w:val="00814721"/>
    <w:rsid w:val="00814941"/>
    <w:rsid w:val="00815164"/>
    <w:rsid w:val="0081635F"/>
    <w:rsid w:val="008208BD"/>
    <w:rsid w:val="00820BD2"/>
    <w:rsid w:val="00821D8F"/>
    <w:rsid w:val="00824F67"/>
    <w:rsid w:val="00830754"/>
    <w:rsid w:val="00830968"/>
    <w:rsid w:val="0083345E"/>
    <w:rsid w:val="00833496"/>
    <w:rsid w:val="008336A9"/>
    <w:rsid w:val="00833D15"/>
    <w:rsid w:val="00833D51"/>
    <w:rsid w:val="00834672"/>
    <w:rsid w:val="00834ABF"/>
    <w:rsid w:val="0083634D"/>
    <w:rsid w:val="00837C5E"/>
    <w:rsid w:val="00840271"/>
    <w:rsid w:val="00840E17"/>
    <w:rsid w:val="0084246E"/>
    <w:rsid w:val="00844B67"/>
    <w:rsid w:val="00844C7C"/>
    <w:rsid w:val="00844EA9"/>
    <w:rsid w:val="00846457"/>
    <w:rsid w:val="008500A6"/>
    <w:rsid w:val="0085046C"/>
    <w:rsid w:val="00851C08"/>
    <w:rsid w:val="00853BD9"/>
    <w:rsid w:val="00854E7B"/>
    <w:rsid w:val="008559E1"/>
    <w:rsid w:val="0085748B"/>
    <w:rsid w:val="00860FC8"/>
    <w:rsid w:val="00863191"/>
    <w:rsid w:val="00871988"/>
    <w:rsid w:val="00873486"/>
    <w:rsid w:val="008748E8"/>
    <w:rsid w:val="0087590F"/>
    <w:rsid w:val="008767FC"/>
    <w:rsid w:val="00876DB5"/>
    <w:rsid w:val="008809B5"/>
    <w:rsid w:val="00881E2E"/>
    <w:rsid w:val="0088624A"/>
    <w:rsid w:val="008868D6"/>
    <w:rsid w:val="00886A58"/>
    <w:rsid w:val="00886A9A"/>
    <w:rsid w:val="00890183"/>
    <w:rsid w:val="008903F8"/>
    <w:rsid w:val="00892737"/>
    <w:rsid w:val="00893B76"/>
    <w:rsid w:val="00893BCA"/>
    <w:rsid w:val="00897472"/>
    <w:rsid w:val="008A1403"/>
    <w:rsid w:val="008A2AF3"/>
    <w:rsid w:val="008A2B97"/>
    <w:rsid w:val="008A632A"/>
    <w:rsid w:val="008A72B2"/>
    <w:rsid w:val="008B1996"/>
    <w:rsid w:val="008B2129"/>
    <w:rsid w:val="008B3324"/>
    <w:rsid w:val="008B360A"/>
    <w:rsid w:val="008B4E49"/>
    <w:rsid w:val="008B75F6"/>
    <w:rsid w:val="008C0981"/>
    <w:rsid w:val="008C0DED"/>
    <w:rsid w:val="008C1017"/>
    <w:rsid w:val="008C14CB"/>
    <w:rsid w:val="008C4F71"/>
    <w:rsid w:val="008C5286"/>
    <w:rsid w:val="008C552B"/>
    <w:rsid w:val="008C5C00"/>
    <w:rsid w:val="008D1509"/>
    <w:rsid w:val="008D27B7"/>
    <w:rsid w:val="008D32BF"/>
    <w:rsid w:val="008D41A9"/>
    <w:rsid w:val="008D5496"/>
    <w:rsid w:val="008D6364"/>
    <w:rsid w:val="008D6A45"/>
    <w:rsid w:val="008E2444"/>
    <w:rsid w:val="008E351D"/>
    <w:rsid w:val="008E481C"/>
    <w:rsid w:val="008E5E62"/>
    <w:rsid w:val="008E5ED2"/>
    <w:rsid w:val="008E6B05"/>
    <w:rsid w:val="008F0D46"/>
    <w:rsid w:val="008F1666"/>
    <w:rsid w:val="008F1675"/>
    <w:rsid w:val="008F2798"/>
    <w:rsid w:val="008F29F0"/>
    <w:rsid w:val="008F421E"/>
    <w:rsid w:val="008F6203"/>
    <w:rsid w:val="008F764F"/>
    <w:rsid w:val="0090013C"/>
    <w:rsid w:val="00902624"/>
    <w:rsid w:val="00904335"/>
    <w:rsid w:val="009058A6"/>
    <w:rsid w:val="009067E3"/>
    <w:rsid w:val="00912D84"/>
    <w:rsid w:val="00913760"/>
    <w:rsid w:val="009160B7"/>
    <w:rsid w:val="00916DF0"/>
    <w:rsid w:val="00920142"/>
    <w:rsid w:val="009241E9"/>
    <w:rsid w:val="00925CA1"/>
    <w:rsid w:val="009265D4"/>
    <w:rsid w:val="00926E35"/>
    <w:rsid w:val="0093099F"/>
    <w:rsid w:val="00931E2C"/>
    <w:rsid w:val="0093280F"/>
    <w:rsid w:val="00934670"/>
    <w:rsid w:val="00935F9B"/>
    <w:rsid w:val="009360EE"/>
    <w:rsid w:val="00937464"/>
    <w:rsid w:val="00937EC2"/>
    <w:rsid w:val="00944CAF"/>
    <w:rsid w:val="00945ADB"/>
    <w:rsid w:val="00946908"/>
    <w:rsid w:val="00947A81"/>
    <w:rsid w:val="00953242"/>
    <w:rsid w:val="009542CF"/>
    <w:rsid w:val="00954C65"/>
    <w:rsid w:val="009556E1"/>
    <w:rsid w:val="00956F35"/>
    <w:rsid w:val="009577AC"/>
    <w:rsid w:val="0096124D"/>
    <w:rsid w:val="00964CE5"/>
    <w:rsid w:val="009709ED"/>
    <w:rsid w:val="00970A6B"/>
    <w:rsid w:val="00971C09"/>
    <w:rsid w:val="00972CF5"/>
    <w:rsid w:val="00972DA3"/>
    <w:rsid w:val="00974CD5"/>
    <w:rsid w:val="00975771"/>
    <w:rsid w:val="00975B8D"/>
    <w:rsid w:val="00976243"/>
    <w:rsid w:val="00976535"/>
    <w:rsid w:val="00976ADA"/>
    <w:rsid w:val="00977D07"/>
    <w:rsid w:val="009802CC"/>
    <w:rsid w:val="009812FE"/>
    <w:rsid w:val="00982035"/>
    <w:rsid w:val="0098226E"/>
    <w:rsid w:val="00983B12"/>
    <w:rsid w:val="00983CC4"/>
    <w:rsid w:val="009845D6"/>
    <w:rsid w:val="00986C27"/>
    <w:rsid w:val="0099031F"/>
    <w:rsid w:val="00993765"/>
    <w:rsid w:val="00994836"/>
    <w:rsid w:val="009955B8"/>
    <w:rsid w:val="0099698D"/>
    <w:rsid w:val="009A30B1"/>
    <w:rsid w:val="009A50F6"/>
    <w:rsid w:val="009A51CC"/>
    <w:rsid w:val="009A55BB"/>
    <w:rsid w:val="009A59BD"/>
    <w:rsid w:val="009B1CE0"/>
    <w:rsid w:val="009B3698"/>
    <w:rsid w:val="009B5466"/>
    <w:rsid w:val="009B5F7C"/>
    <w:rsid w:val="009B645D"/>
    <w:rsid w:val="009B6CAD"/>
    <w:rsid w:val="009B75EF"/>
    <w:rsid w:val="009C444A"/>
    <w:rsid w:val="009C5142"/>
    <w:rsid w:val="009C6929"/>
    <w:rsid w:val="009C770C"/>
    <w:rsid w:val="009D00AA"/>
    <w:rsid w:val="009D15B3"/>
    <w:rsid w:val="009D326C"/>
    <w:rsid w:val="009D3D8A"/>
    <w:rsid w:val="009D4022"/>
    <w:rsid w:val="009D66F5"/>
    <w:rsid w:val="009D68ED"/>
    <w:rsid w:val="009D7247"/>
    <w:rsid w:val="009E117F"/>
    <w:rsid w:val="009E2D99"/>
    <w:rsid w:val="009E416F"/>
    <w:rsid w:val="009E41AF"/>
    <w:rsid w:val="009E503F"/>
    <w:rsid w:val="009E6B8A"/>
    <w:rsid w:val="009E6D77"/>
    <w:rsid w:val="009E6EA0"/>
    <w:rsid w:val="009E7883"/>
    <w:rsid w:val="009F194B"/>
    <w:rsid w:val="009F1AF7"/>
    <w:rsid w:val="009F1F1A"/>
    <w:rsid w:val="009F22DF"/>
    <w:rsid w:val="009F6197"/>
    <w:rsid w:val="00A0276C"/>
    <w:rsid w:val="00A0366C"/>
    <w:rsid w:val="00A04F77"/>
    <w:rsid w:val="00A0612C"/>
    <w:rsid w:val="00A070DC"/>
    <w:rsid w:val="00A07983"/>
    <w:rsid w:val="00A1195F"/>
    <w:rsid w:val="00A1519F"/>
    <w:rsid w:val="00A1581F"/>
    <w:rsid w:val="00A158A3"/>
    <w:rsid w:val="00A17F7E"/>
    <w:rsid w:val="00A20575"/>
    <w:rsid w:val="00A20644"/>
    <w:rsid w:val="00A22754"/>
    <w:rsid w:val="00A23092"/>
    <w:rsid w:val="00A23A10"/>
    <w:rsid w:val="00A25706"/>
    <w:rsid w:val="00A2649C"/>
    <w:rsid w:val="00A26B8A"/>
    <w:rsid w:val="00A26C71"/>
    <w:rsid w:val="00A2718F"/>
    <w:rsid w:val="00A314A4"/>
    <w:rsid w:val="00A31616"/>
    <w:rsid w:val="00A31B03"/>
    <w:rsid w:val="00A3239A"/>
    <w:rsid w:val="00A3242A"/>
    <w:rsid w:val="00A326F9"/>
    <w:rsid w:val="00A32E43"/>
    <w:rsid w:val="00A355A2"/>
    <w:rsid w:val="00A3593D"/>
    <w:rsid w:val="00A40356"/>
    <w:rsid w:val="00A40481"/>
    <w:rsid w:val="00A409C2"/>
    <w:rsid w:val="00A41722"/>
    <w:rsid w:val="00A42E3F"/>
    <w:rsid w:val="00A4319E"/>
    <w:rsid w:val="00A435E9"/>
    <w:rsid w:val="00A439CA"/>
    <w:rsid w:val="00A44160"/>
    <w:rsid w:val="00A4681C"/>
    <w:rsid w:val="00A46DE3"/>
    <w:rsid w:val="00A52E4F"/>
    <w:rsid w:val="00A53D35"/>
    <w:rsid w:val="00A549CA"/>
    <w:rsid w:val="00A54C48"/>
    <w:rsid w:val="00A55288"/>
    <w:rsid w:val="00A55C83"/>
    <w:rsid w:val="00A562F5"/>
    <w:rsid w:val="00A56DEF"/>
    <w:rsid w:val="00A57653"/>
    <w:rsid w:val="00A60431"/>
    <w:rsid w:val="00A61506"/>
    <w:rsid w:val="00A63906"/>
    <w:rsid w:val="00A6447A"/>
    <w:rsid w:val="00A65C07"/>
    <w:rsid w:val="00A6665C"/>
    <w:rsid w:val="00A670E0"/>
    <w:rsid w:val="00A67AF1"/>
    <w:rsid w:val="00A70DA9"/>
    <w:rsid w:val="00A742DE"/>
    <w:rsid w:val="00A74CD8"/>
    <w:rsid w:val="00A7657B"/>
    <w:rsid w:val="00A7684A"/>
    <w:rsid w:val="00A76893"/>
    <w:rsid w:val="00A76F6B"/>
    <w:rsid w:val="00A77B99"/>
    <w:rsid w:val="00A80821"/>
    <w:rsid w:val="00A8115B"/>
    <w:rsid w:val="00A81461"/>
    <w:rsid w:val="00A8180F"/>
    <w:rsid w:val="00A81E1B"/>
    <w:rsid w:val="00A826ED"/>
    <w:rsid w:val="00A82924"/>
    <w:rsid w:val="00A837A1"/>
    <w:rsid w:val="00A83C29"/>
    <w:rsid w:val="00A84EEB"/>
    <w:rsid w:val="00A8573F"/>
    <w:rsid w:val="00A871CE"/>
    <w:rsid w:val="00A91410"/>
    <w:rsid w:val="00A918FD"/>
    <w:rsid w:val="00A91999"/>
    <w:rsid w:val="00A92C9D"/>
    <w:rsid w:val="00A93D64"/>
    <w:rsid w:val="00A94046"/>
    <w:rsid w:val="00A94569"/>
    <w:rsid w:val="00A94E78"/>
    <w:rsid w:val="00A957C5"/>
    <w:rsid w:val="00AA1E7D"/>
    <w:rsid w:val="00AA20F8"/>
    <w:rsid w:val="00AA37D3"/>
    <w:rsid w:val="00AA45A9"/>
    <w:rsid w:val="00AA478F"/>
    <w:rsid w:val="00AA55E0"/>
    <w:rsid w:val="00AA5E3E"/>
    <w:rsid w:val="00AA63DC"/>
    <w:rsid w:val="00AB02E3"/>
    <w:rsid w:val="00AB2BF3"/>
    <w:rsid w:val="00AB2E43"/>
    <w:rsid w:val="00AB350F"/>
    <w:rsid w:val="00AB43CF"/>
    <w:rsid w:val="00AB4DE2"/>
    <w:rsid w:val="00AB6F5E"/>
    <w:rsid w:val="00AB7FBE"/>
    <w:rsid w:val="00AC3578"/>
    <w:rsid w:val="00AC4934"/>
    <w:rsid w:val="00AC4D6E"/>
    <w:rsid w:val="00AC6677"/>
    <w:rsid w:val="00AC6FEE"/>
    <w:rsid w:val="00AC7053"/>
    <w:rsid w:val="00AD0791"/>
    <w:rsid w:val="00AD0802"/>
    <w:rsid w:val="00AD0F91"/>
    <w:rsid w:val="00AD19C9"/>
    <w:rsid w:val="00AD4820"/>
    <w:rsid w:val="00AD5159"/>
    <w:rsid w:val="00AD6512"/>
    <w:rsid w:val="00AD7133"/>
    <w:rsid w:val="00AD7983"/>
    <w:rsid w:val="00AD7FBC"/>
    <w:rsid w:val="00AE17E7"/>
    <w:rsid w:val="00AE235A"/>
    <w:rsid w:val="00AE3FB0"/>
    <w:rsid w:val="00AE430D"/>
    <w:rsid w:val="00AE4FEF"/>
    <w:rsid w:val="00AE65C9"/>
    <w:rsid w:val="00AE7E5C"/>
    <w:rsid w:val="00AF3257"/>
    <w:rsid w:val="00AF3B9A"/>
    <w:rsid w:val="00AF6A2D"/>
    <w:rsid w:val="00AF6B98"/>
    <w:rsid w:val="00B035E9"/>
    <w:rsid w:val="00B06790"/>
    <w:rsid w:val="00B101D5"/>
    <w:rsid w:val="00B10B1F"/>
    <w:rsid w:val="00B12D67"/>
    <w:rsid w:val="00B13871"/>
    <w:rsid w:val="00B14CF4"/>
    <w:rsid w:val="00B16F1D"/>
    <w:rsid w:val="00B207F2"/>
    <w:rsid w:val="00B208BD"/>
    <w:rsid w:val="00B23680"/>
    <w:rsid w:val="00B23C45"/>
    <w:rsid w:val="00B24DC0"/>
    <w:rsid w:val="00B250A9"/>
    <w:rsid w:val="00B25802"/>
    <w:rsid w:val="00B26BAD"/>
    <w:rsid w:val="00B272FD"/>
    <w:rsid w:val="00B3366B"/>
    <w:rsid w:val="00B35236"/>
    <w:rsid w:val="00B37AD2"/>
    <w:rsid w:val="00B40B8F"/>
    <w:rsid w:val="00B424F6"/>
    <w:rsid w:val="00B4320A"/>
    <w:rsid w:val="00B452D1"/>
    <w:rsid w:val="00B47375"/>
    <w:rsid w:val="00B50EB4"/>
    <w:rsid w:val="00B519AC"/>
    <w:rsid w:val="00B52375"/>
    <w:rsid w:val="00B5344C"/>
    <w:rsid w:val="00B53476"/>
    <w:rsid w:val="00B538CB"/>
    <w:rsid w:val="00B5406D"/>
    <w:rsid w:val="00B5515B"/>
    <w:rsid w:val="00B55393"/>
    <w:rsid w:val="00B555C1"/>
    <w:rsid w:val="00B55B49"/>
    <w:rsid w:val="00B55CBC"/>
    <w:rsid w:val="00B562B8"/>
    <w:rsid w:val="00B57702"/>
    <w:rsid w:val="00B602B8"/>
    <w:rsid w:val="00B61B9A"/>
    <w:rsid w:val="00B621ED"/>
    <w:rsid w:val="00B6278A"/>
    <w:rsid w:val="00B63743"/>
    <w:rsid w:val="00B63F32"/>
    <w:rsid w:val="00B64186"/>
    <w:rsid w:val="00B733F8"/>
    <w:rsid w:val="00B73595"/>
    <w:rsid w:val="00B74728"/>
    <w:rsid w:val="00B75583"/>
    <w:rsid w:val="00B7595C"/>
    <w:rsid w:val="00B75EDE"/>
    <w:rsid w:val="00B7652D"/>
    <w:rsid w:val="00B77448"/>
    <w:rsid w:val="00B81380"/>
    <w:rsid w:val="00B83702"/>
    <w:rsid w:val="00B85DC8"/>
    <w:rsid w:val="00B877ED"/>
    <w:rsid w:val="00B878DB"/>
    <w:rsid w:val="00B90F15"/>
    <w:rsid w:val="00B91178"/>
    <w:rsid w:val="00B93B9B"/>
    <w:rsid w:val="00B93C80"/>
    <w:rsid w:val="00B95D25"/>
    <w:rsid w:val="00B96889"/>
    <w:rsid w:val="00B96FF6"/>
    <w:rsid w:val="00BA14C2"/>
    <w:rsid w:val="00BA2270"/>
    <w:rsid w:val="00BA47FD"/>
    <w:rsid w:val="00BA6635"/>
    <w:rsid w:val="00BA6960"/>
    <w:rsid w:val="00BB0C6D"/>
    <w:rsid w:val="00BB1A44"/>
    <w:rsid w:val="00BB2B1E"/>
    <w:rsid w:val="00BB3189"/>
    <w:rsid w:val="00BB3876"/>
    <w:rsid w:val="00BB3F80"/>
    <w:rsid w:val="00BB4A0D"/>
    <w:rsid w:val="00BB52DA"/>
    <w:rsid w:val="00BB5494"/>
    <w:rsid w:val="00BB6803"/>
    <w:rsid w:val="00BB7730"/>
    <w:rsid w:val="00BB7F09"/>
    <w:rsid w:val="00BB7F93"/>
    <w:rsid w:val="00BC14C2"/>
    <w:rsid w:val="00BC1780"/>
    <w:rsid w:val="00BC7F99"/>
    <w:rsid w:val="00BD1682"/>
    <w:rsid w:val="00BD1EC1"/>
    <w:rsid w:val="00BD2674"/>
    <w:rsid w:val="00BD2877"/>
    <w:rsid w:val="00BD3F3A"/>
    <w:rsid w:val="00BD5BA3"/>
    <w:rsid w:val="00BD5E9E"/>
    <w:rsid w:val="00BD7ED1"/>
    <w:rsid w:val="00BE1F04"/>
    <w:rsid w:val="00BE1F25"/>
    <w:rsid w:val="00BE2B45"/>
    <w:rsid w:val="00BE4432"/>
    <w:rsid w:val="00BE4976"/>
    <w:rsid w:val="00BF1C8F"/>
    <w:rsid w:val="00BF274E"/>
    <w:rsid w:val="00BF2B0B"/>
    <w:rsid w:val="00BF2D03"/>
    <w:rsid w:val="00BF3F54"/>
    <w:rsid w:val="00BF51F4"/>
    <w:rsid w:val="00BF54DF"/>
    <w:rsid w:val="00BF64DA"/>
    <w:rsid w:val="00C0228A"/>
    <w:rsid w:val="00C02F71"/>
    <w:rsid w:val="00C02F7D"/>
    <w:rsid w:val="00C040C2"/>
    <w:rsid w:val="00C04C9B"/>
    <w:rsid w:val="00C06267"/>
    <w:rsid w:val="00C06FCF"/>
    <w:rsid w:val="00C10AD2"/>
    <w:rsid w:val="00C10CF2"/>
    <w:rsid w:val="00C13597"/>
    <w:rsid w:val="00C14814"/>
    <w:rsid w:val="00C17003"/>
    <w:rsid w:val="00C17F09"/>
    <w:rsid w:val="00C2021F"/>
    <w:rsid w:val="00C20BDA"/>
    <w:rsid w:val="00C212A1"/>
    <w:rsid w:val="00C24233"/>
    <w:rsid w:val="00C2447E"/>
    <w:rsid w:val="00C24781"/>
    <w:rsid w:val="00C312E3"/>
    <w:rsid w:val="00C32E0D"/>
    <w:rsid w:val="00C40676"/>
    <w:rsid w:val="00C40905"/>
    <w:rsid w:val="00C40BFD"/>
    <w:rsid w:val="00C43E80"/>
    <w:rsid w:val="00C44A94"/>
    <w:rsid w:val="00C46AE3"/>
    <w:rsid w:val="00C47BA3"/>
    <w:rsid w:val="00C51183"/>
    <w:rsid w:val="00C51716"/>
    <w:rsid w:val="00C53067"/>
    <w:rsid w:val="00C54C44"/>
    <w:rsid w:val="00C54DEB"/>
    <w:rsid w:val="00C54E6F"/>
    <w:rsid w:val="00C56166"/>
    <w:rsid w:val="00C568C0"/>
    <w:rsid w:val="00C5770B"/>
    <w:rsid w:val="00C57741"/>
    <w:rsid w:val="00C60020"/>
    <w:rsid w:val="00C601AE"/>
    <w:rsid w:val="00C6081A"/>
    <w:rsid w:val="00C6113A"/>
    <w:rsid w:val="00C62C97"/>
    <w:rsid w:val="00C64693"/>
    <w:rsid w:val="00C66112"/>
    <w:rsid w:val="00C6635C"/>
    <w:rsid w:val="00C70B82"/>
    <w:rsid w:val="00C71562"/>
    <w:rsid w:val="00C734DF"/>
    <w:rsid w:val="00C73AFD"/>
    <w:rsid w:val="00C77975"/>
    <w:rsid w:val="00C82124"/>
    <w:rsid w:val="00C82915"/>
    <w:rsid w:val="00C82BBB"/>
    <w:rsid w:val="00C82E4A"/>
    <w:rsid w:val="00C839B9"/>
    <w:rsid w:val="00C8556A"/>
    <w:rsid w:val="00C8564E"/>
    <w:rsid w:val="00C85927"/>
    <w:rsid w:val="00C85E57"/>
    <w:rsid w:val="00C86BA0"/>
    <w:rsid w:val="00C87505"/>
    <w:rsid w:val="00C907E3"/>
    <w:rsid w:val="00C9092C"/>
    <w:rsid w:val="00C93080"/>
    <w:rsid w:val="00C9526D"/>
    <w:rsid w:val="00C957D1"/>
    <w:rsid w:val="00C96A16"/>
    <w:rsid w:val="00C96FB5"/>
    <w:rsid w:val="00C97A15"/>
    <w:rsid w:val="00CA02BB"/>
    <w:rsid w:val="00CA3337"/>
    <w:rsid w:val="00CA5106"/>
    <w:rsid w:val="00CA7B0F"/>
    <w:rsid w:val="00CB04DB"/>
    <w:rsid w:val="00CB15C0"/>
    <w:rsid w:val="00CB1F62"/>
    <w:rsid w:val="00CB2B80"/>
    <w:rsid w:val="00CB4748"/>
    <w:rsid w:val="00CB4DA1"/>
    <w:rsid w:val="00CB6FCD"/>
    <w:rsid w:val="00CB755B"/>
    <w:rsid w:val="00CB7A07"/>
    <w:rsid w:val="00CC0D85"/>
    <w:rsid w:val="00CC27B9"/>
    <w:rsid w:val="00CC3DA5"/>
    <w:rsid w:val="00CC44C7"/>
    <w:rsid w:val="00CC5EC2"/>
    <w:rsid w:val="00CC7DB9"/>
    <w:rsid w:val="00CD0379"/>
    <w:rsid w:val="00CD0989"/>
    <w:rsid w:val="00CD1500"/>
    <w:rsid w:val="00CD181A"/>
    <w:rsid w:val="00CD197C"/>
    <w:rsid w:val="00CD4B7D"/>
    <w:rsid w:val="00CD558A"/>
    <w:rsid w:val="00CD61CA"/>
    <w:rsid w:val="00CD6D98"/>
    <w:rsid w:val="00CD7685"/>
    <w:rsid w:val="00CE1E89"/>
    <w:rsid w:val="00CE2D18"/>
    <w:rsid w:val="00CE432E"/>
    <w:rsid w:val="00CE4D45"/>
    <w:rsid w:val="00CE7250"/>
    <w:rsid w:val="00CE7A77"/>
    <w:rsid w:val="00CF3FD5"/>
    <w:rsid w:val="00CF5740"/>
    <w:rsid w:val="00D00D74"/>
    <w:rsid w:val="00D0132A"/>
    <w:rsid w:val="00D01A6D"/>
    <w:rsid w:val="00D01E92"/>
    <w:rsid w:val="00D03997"/>
    <w:rsid w:val="00D0457A"/>
    <w:rsid w:val="00D04692"/>
    <w:rsid w:val="00D065E2"/>
    <w:rsid w:val="00D06A4E"/>
    <w:rsid w:val="00D115E3"/>
    <w:rsid w:val="00D122D6"/>
    <w:rsid w:val="00D140FB"/>
    <w:rsid w:val="00D1439E"/>
    <w:rsid w:val="00D14588"/>
    <w:rsid w:val="00D149E3"/>
    <w:rsid w:val="00D15B27"/>
    <w:rsid w:val="00D16AC3"/>
    <w:rsid w:val="00D17B28"/>
    <w:rsid w:val="00D21029"/>
    <w:rsid w:val="00D306C3"/>
    <w:rsid w:val="00D30B2A"/>
    <w:rsid w:val="00D331B8"/>
    <w:rsid w:val="00D33CFA"/>
    <w:rsid w:val="00D34839"/>
    <w:rsid w:val="00D354F3"/>
    <w:rsid w:val="00D36AD8"/>
    <w:rsid w:val="00D37764"/>
    <w:rsid w:val="00D379EE"/>
    <w:rsid w:val="00D40B06"/>
    <w:rsid w:val="00D44B1E"/>
    <w:rsid w:val="00D45122"/>
    <w:rsid w:val="00D457AF"/>
    <w:rsid w:val="00D5044F"/>
    <w:rsid w:val="00D51119"/>
    <w:rsid w:val="00D51D9C"/>
    <w:rsid w:val="00D52B28"/>
    <w:rsid w:val="00D52C2C"/>
    <w:rsid w:val="00D53212"/>
    <w:rsid w:val="00D54B8A"/>
    <w:rsid w:val="00D55343"/>
    <w:rsid w:val="00D55654"/>
    <w:rsid w:val="00D55833"/>
    <w:rsid w:val="00D558DA"/>
    <w:rsid w:val="00D55906"/>
    <w:rsid w:val="00D55A61"/>
    <w:rsid w:val="00D576B3"/>
    <w:rsid w:val="00D6110F"/>
    <w:rsid w:val="00D62662"/>
    <w:rsid w:val="00D62C48"/>
    <w:rsid w:val="00D641FC"/>
    <w:rsid w:val="00D6423E"/>
    <w:rsid w:val="00D664C5"/>
    <w:rsid w:val="00D70D81"/>
    <w:rsid w:val="00D71ECC"/>
    <w:rsid w:val="00D73BE4"/>
    <w:rsid w:val="00D73E54"/>
    <w:rsid w:val="00D74161"/>
    <w:rsid w:val="00D74FB2"/>
    <w:rsid w:val="00D7529E"/>
    <w:rsid w:val="00D75B8F"/>
    <w:rsid w:val="00D76ED2"/>
    <w:rsid w:val="00D77A72"/>
    <w:rsid w:val="00D8074D"/>
    <w:rsid w:val="00D80DA5"/>
    <w:rsid w:val="00D850AF"/>
    <w:rsid w:val="00D85FD9"/>
    <w:rsid w:val="00D86A8A"/>
    <w:rsid w:val="00D92334"/>
    <w:rsid w:val="00D92363"/>
    <w:rsid w:val="00D9246E"/>
    <w:rsid w:val="00D92BBB"/>
    <w:rsid w:val="00D92E7E"/>
    <w:rsid w:val="00D97E47"/>
    <w:rsid w:val="00DA194A"/>
    <w:rsid w:val="00DA3357"/>
    <w:rsid w:val="00DA49CF"/>
    <w:rsid w:val="00DA632F"/>
    <w:rsid w:val="00DB066D"/>
    <w:rsid w:val="00DB1222"/>
    <w:rsid w:val="00DB13F7"/>
    <w:rsid w:val="00DB23BB"/>
    <w:rsid w:val="00DB3AB8"/>
    <w:rsid w:val="00DB4CC2"/>
    <w:rsid w:val="00DB5619"/>
    <w:rsid w:val="00DB71C4"/>
    <w:rsid w:val="00DC03E9"/>
    <w:rsid w:val="00DC0FCA"/>
    <w:rsid w:val="00DC1252"/>
    <w:rsid w:val="00DC1928"/>
    <w:rsid w:val="00DC215A"/>
    <w:rsid w:val="00DC3C14"/>
    <w:rsid w:val="00DC53FB"/>
    <w:rsid w:val="00DC6893"/>
    <w:rsid w:val="00DC6BFD"/>
    <w:rsid w:val="00DC792D"/>
    <w:rsid w:val="00DD0629"/>
    <w:rsid w:val="00DD0D56"/>
    <w:rsid w:val="00DD367C"/>
    <w:rsid w:val="00DD3FC6"/>
    <w:rsid w:val="00DD4069"/>
    <w:rsid w:val="00DD4EF7"/>
    <w:rsid w:val="00DD53F8"/>
    <w:rsid w:val="00DD7B34"/>
    <w:rsid w:val="00DD7D8C"/>
    <w:rsid w:val="00DE010C"/>
    <w:rsid w:val="00DE1E4A"/>
    <w:rsid w:val="00DE20CE"/>
    <w:rsid w:val="00DE4EA8"/>
    <w:rsid w:val="00DE6FE8"/>
    <w:rsid w:val="00DE7D8B"/>
    <w:rsid w:val="00DF19DB"/>
    <w:rsid w:val="00DF1B59"/>
    <w:rsid w:val="00DF366A"/>
    <w:rsid w:val="00DF43B8"/>
    <w:rsid w:val="00DF56A1"/>
    <w:rsid w:val="00DF7A71"/>
    <w:rsid w:val="00E00CCE"/>
    <w:rsid w:val="00E039DF"/>
    <w:rsid w:val="00E05795"/>
    <w:rsid w:val="00E05F50"/>
    <w:rsid w:val="00E1047C"/>
    <w:rsid w:val="00E11798"/>
    <w:rsid w:val="00E11FD9"/>
    <w:rsid w:val="00E127AB"/>
    <w:rsid w:val="00E12828"/>
    <w:rsid w:val="00E16BCD"/>
    <w:rsid w:val="00E20918"/>
    <w:rsid w:val="00E22B5E"/>
    <w:rsid w:val="00E23A22"/>
    <w:rsid w:val="00E2433C"/>
    <w:rsid w:val="00E24A34"/>
    <w:rsid w:val="00E25874"/>
    <w:rsid w:val="00E25ECD"/>
    <w:rsid w:val="00E26056"/>
    <w:rsid w:val="00E26B22"/>
    <w:rsid w:val="00E27CFB"/>
    <w:rsid w:val="00E304D5"/>
    <w:rsid w:val="00E315B6"/>
    <w:rsid w:val="00E32977"/>
    <w:rsid w:val="00E32D47"/>
    <w:rsid w:val="00E34A39"/>
    <w:rsid w:val="00E36968"/>
    <w:rsid w:val="00E3756F"/>
    <w:rsid w:val="00E425E6"/>
    <w:rsid w:val="00E44184"/>
    <w:rsid w:val="00E44262"/>
    <w:rsid w:val="00E461C5"/>
    <w:rsid w:val="00E46A11"/>
    <w:rsid w:val="00E47098"/>
    <w:rsid w:val="00E47885"/>
    <w:rsid w:val="00E47AC5"/>
    <w:rsid w:val="00E522C4"/>
    <w:rsid w:val="00E53899"/>
    <w:rsid w:val="00E53AA1"/>
    <w:rsid w:val="00E54C44"/>
    <w:rsid w:val="00E550D8"/>
    <w:rsid w:val="00E55A16"/>
    <w:rsid w:val="00E55BDA"/>
    <w:rsid w:val="00E57741"/>
    <w:rsid w:val="00E6092D"/>
    <w:rsid w:val="00E61002"/>
    <w:rsid w:val="00E6128A"/>
    <w:rsid w:val="00E61829"/>
    <w:rsid w:val="00E61D2B"/>
    <w:rsid w:val="00E62623"/>
    <w:rsid w:val="00E62951"/>
    <w:rsid w:val="00E62A48"/>
    <w:rsid w:val="00E64EF0"/>
    <w:rsid w:val="00E66089"/>
    <w:rsid w:val="00E67511"/>
    <w:rsid w:val="00E676B0"/>
    <w:rsid w:val="00E67E85"/>
    <w:rsid w:val="00E7012D"/>
    <w:rsid w:val="00E70819"/>
    <w:rsid w:val="00E70B2F"/>
    <w:rsid w:val="00E70C16"/>
    <w:rsid w:val="00E71CA2"/>
    <w:rsid w:val="00E72A46"/>
    <w:rsid w:val="00E73A52"/>
    <w:rsid w:val="00E745B2"/>
    <w:rsid w:val="00E75105"/>
    <w:rsid w:val="00E765A5"/>
    <w:rsid w:val="00E84279"/>
    <w:rsid w:val="00E850DC"/>
    <w:rsid w:val="00E876F2"/>
    <w:rsid w:val="00E87A3A"/>
    <w:rsid w:val="00E87B6D"/>
    <w:rsid w:val="00E87F8C"/>
    <w:rsid w:val="00E90437"/>
    <w:rsid w:val="00E909F4"/>
    <w:rsid w:val="00E928F3"/>
    <w:rsid w:val="00E92BDF"/>
    <w:rsid w:val="00E95268"/>
    <w:rsid w:val="00E97BBA"/>
    <w:rsid w:val="00EA09E8"/>
    <w:rsid w:val="00EA09F5"/>
    <w:rsid w:val="00EA1AD5"/>
    <w:rsid w:val="00EA2E88"/>
    <w:rsid w:val="00EA454F"/>
    <w:rsid w:val="00EA7742"/>
    <w:rsid w:val="00EB0291"/>
    <w:rsid w:val="00EB0DE8"/>
    <w:rsid w:val="00EB138F"/>
    <w:rsid w:val="00EB2480"/>
    <w:rsid w:val="00EB3441"/>
    <w:rsid w:val="00EB5953"/>
    <w:rsid w:val="00EC0471"/>
    <w:rsid w:val="00EC18A2"/>
    <w:rsid w:val="00EC1D87"/>
    <w:rsid w:val="00EC37FC"/>
    <w:rsid w:val="00EC422A"/>
    <w:rsid w:val="00EC45B1"/>
    <w:rsid w:val="00EC798B"/>
    <w:rsid w:val="00ED04B5"/>
    <w:rsid w:val="00ED0915"/>
    <w:rsid w:val="00ED1147"/>
    <w:rsid w:val="00ED2F87"/>
    <w:rsid w:val="00ED38F1"/>
    <w:rsid w:val="00ED4BCB"/>
    <w:rsid w:val="00ED5928"/>
    <w:rsid w:val="00ED5C23"/>
    <w:rsid w:val="00ED6633"/>
    <w:rsid w:val="00ED7089"/>
    <w:rsid w:val="00EE604B"/>
    <w:rsid w:val="00EF26FE"/>
    <w:rsid w:val="00EF4A57"/>
    <w:rsid w:val="00EF6AF6"/>
    <w:rsid w:val="00EF7F96"/>
    <w:rsid w:val="00F00997"/>
    <w:rsid w:val="00F0109A"/>
    <w:rsid w:val="00F01ECD"/>
    <w:rsid w:val="00F021EE"/>
    <w:rsid w:val="00F032B9"/>
    <w:rsid w:val="00F04F9E"/>
    <w:rsid w:val="00F06349"/>
    <w:rsid w:val="00F067CF"/>
    <w:rsid w:val="00F07785"/>
    <w:rsid w:val="00F10748"/>
    <w:rsid w:val="00F113D8"/>
    <w:rsid w:val="00F139A0"/>
    <w:rsid w:val="00F1615E"/>
    <w:rsid w:val="00F166B3"/>
    <w:rsid w:val="00F1711D"/>
    <w:rsid w:val="00F2236E"/>
    <w:rsid w:val="00F24428"/>
    <w:rsid w:val="00F24959"/>
    <w:rsid w:val="00F25048"/>
    <w:rsid w:val="00F25586"/>
    <w:rsid w:val="00F258B2"/>
    <w:rsid w:val="00F26120"/>
    <w:rsid w:val="00F274B0"/>
    <w:rsid w:val="00F275DE"/>
    <w:rsid w:val="00F332BE"/>
    <w:rsid w:val="00F34A43"/>
    <w:rsid w:val="00F34B22"/>
    <w:rsid w:val="00F34CEE"/>
    <w:rsid w:val="00F35638"/>
    <w:rsid w:val="00F40B56"/>
    <w:rsid w:val="00F4177A"/>
    <w:rsid w:val="00F42F0B"/>
    <w:rsid w:val="00F437A6"/>
    <w:rsid w:val="00F43AE3"/>
    <w:rsid w:val="00F44413"/>
    <w:rsid w:val="00F4495E"/>
    <w:rsid w:val="00F44D6F"/>
    <w:rsid w:val="00F46800"/>
    <w:rsid w:val="00F50151"/>
    <w:rsid w:val="00F5396D"/>
    <w:rsid w:val="00F54907"/>
    <w:rsid w:val="00F54B6A"/>
    <w:rsid w:val="00F551D0"/>
    <w:rsid w:val="00F57FD7"/>
    <w:rsid w:val="00F60544"/>
    <w:rsid w:val="00F608E0"/>
    <w:rsid w:val="00F609A5"/>
    <w:rsid w:val="00F63551"/>
    <w:rsid w:val="00F642C2"/>
    <w:rsid w:val="00F65967"/>
    <w:rsid w:val="00F67344"/>
    <w:rsid w:val="00F67E13"/>
    <w:rsid w:val="00F73E73"/>
    <w:rsid w:val="00F74E3C"/>
    <w:rsid w:val="00F75448"/>
    <w:rsid w:val="00F76246"/>
    <w:rsid w:val="00F76342"/>
    <w:rsid w:val="00F7727C"/>
    <w:rsid w:val="00F81741"/>
    <w:rsid w:val="00F81CCB"/>
    <w:rsid w:val="00F81DFA"/>
    <w:rsid w:val="00F82DC2"/>
    <w:rsid w:val="00F83C7F"/>
    <w:rsid w:val="00F85B92"/>
    <w:rsid w:val="00F865D3"/>
    <w:rsid w:val="00F910DA"/>
    <w:rsid w:val="00F93AFB"/>
    <w:rsid w:val="00F960C2"/>
    <w:rsid w:val="00F9649C"/>
    <w:rsid w:val="00FA05B5"/>
    <w:rsid w:val="00FA3954"/>
    <w:rsid w:val="00FA4D25"/>
    <w:rsid w:val="00FB0663"/>
    <w:rsid w:val="00FB1983"/>
    <w:rsid w:val="00FB224C"/>
    <w:rsid w:val="00FB2AD2"/>
    <w:rsid w:val="00FB444A"/>
    <w:rsid w:val="00FB5320"/>
    <w:rsid w:val="00FB679F"/>
    <w:rsid w:val="00FB6956"/>
    <w:rsid w:val="00FB6AEE"/>
    <w:rsid w:val="00FC4BD9"/>
    <w:rsid w:val="00FC5691"/>
    <w:rsid w:val="00FC56DF"/>
    <w:rsid w:val="00FC70DD"/>
    <w:rsid w:val="00FD0188"/>
    <w:rsid w:val="00FD1601"/>
    <w:rsid w:val="00FD1756"/>
    <w:rsid w:val="00FD4AF4"/>
    <w:rsid w:val="00FD4F3B"/>
    <w:rsid w:val="00FD4F64"/>
    <w:rsid w:val="00FD5127"/>
    <w:rsid w:val="00FD5A47"/>
    <w:rsid w:val="00FD6AF5"/>
    <w:rsid w:val="00FE016D"/>
    <w:rsid w:val="00FE3E87"/>
    <w:rsid w:val="00FE4246"/>
    <w:rsid w:val="00FE6454"/>
    <w:rsid w:val="00FE6521"/>
    <w:rsid w:val="00FE770A"/>
    <w:rsid w:val="00FF036D"/>
    <w:rsid w:val="00FF06F0"/>
    <w:rsid w:val="00FF42D0"/>
    <w:rsid w:val="00FF4676"/>
    <w:rsid w:val="00FF5228"/>
    <w:rsid w:val="00FF60DF"/>
    <w:rsid w:val="00FF6B75"/>
    <w:rsid w:val="00FF7EE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1185"/>
    <o:shapelayout v:ext="edit">
      <o:idmap v:ext="edit" data="1"/>
    </o:shapelayout>
  </w:shapeDefaults>
  <w:decimalSymbol w:val="."/>
  <w:listSeparator w:val=","/>
  <w14:docId w14:val="635E5B82"/>
  <w15:docId w15:val="{6E715270-20EA-4F2B-BE6E-35FBF9DBD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7744"/>
    <w:pPr>
      <w:spacing w:after="240" w:line="260" w:lineRule="exact"/>
      <w:jc w:val="both"/>
    </w:pPr>
    <w:rPr>
      <w:rFonts w:asciiTheme="minorHAnsi" w:hAnsiTheme="minorHAnsi"/>
      <w:color w:val="000000"/>
    </w:rPr>
  </w:style>
  <w:style w:type="paragraph" w:styleId="Heading1">
    <w:name w:val="heading 1"/>
    <w:basedOn w:val="HeadingBase"/>
    <w:next w:val="Normal"/>
    <w:qFormat/>
    <w:rsid w:val="00065800"/>
    <w:pPr>
      <w:keepNext/>
      <w:numPr>
        <w:numId w:val="25"/>
      </w:numPr>
      <w:spacing w:after="240"/>
      <w:outlineLvl w:val="0"/>
    </w:pPr>
    <w:rPr>
      <w:rFonts w:cs="Arial"/>
      <w:b/>
      <w:bCs/>
      <w:caps/>
      <w:kern w:val="32"/>
      <w:sz w:val="32"/>
      <w:szCs w:val="48"/>
    </w:rPr>
  </w:style>
  <w:style w:type="paragraph" w:styleId="Heading2">
    <w:name w:val="heading 2"/>
    <w:basedOn w:val="HeadingBase"/>
    <w:next w:val="Normal"/>
    <w:link w:val="Heading2Char"/>
    <w:qFormat/>
    <w:rsid w:val="003F0677"/>
    <w:pPr>
      <w:keepNext/>
      <w:numPr>
        <w:ilvl w:val="1"/>
        <w:numId w:val="25"/>
      </w:numPr>
      <w:spacing w:before="240" w:after="120" w:line="260" w:lineRule="exact"/>
      <w:outlineLvl w:val="1"/>
    </w:pPr>
    <w:rPr>
      <w:rFonts w:cs="Arial"/>
      <w:b/>
      <w:bCs/>
      <w:iCs/>
      <w:sz w:val="28"/>
      <w:szCs w:val="28"/>
    </w:rPr>
  </w:style>
  <w:style w:type="paragraph" w:styleId="Heading3">
    <w:name w:val="heading 3"/>
    <w:basedOn w:val="HeadingBase"/>
    <w:next w:val="Normal"/>
    <w:link w:val="Heading3Char"/>
    <w:qFormat/>
    <w:rsid w:val="00065800"/>
    <w:pPr>
      <w:keepNext/>
      <w:numPr>
        <w:ilvl w:val="2"/>
        <w:numId w:val="25"/>
      </w:numPr>
      <w:spacing w:before="240" w:after="180" w:line="260" w:lineRule="exact"/>
      <w:outlineLvl w:val="2"/>
    </w:pPr>
    <w:rPr>
      <w:rFonts w:cs="Arial"/>
      <w:b/>
      <w:bCs/>
      <w:sz w:val="24"/>
      <w:szCs w:val="26"/>
    </w:rPr>
  </w:style>
  <w:style w:type="paragraph" w:styleId="Heading4">
    <w:name w:val="heading 4"/>
    <w:basedOn w:val="HeadingBase"/>
    <w:next w:val="Normal"/>
    <w:qFormat/>
    <w:rsid w:val="00F40B56"/>
    <w:pPr>
      <w:keepNext/>
      <w:numPr>
        <w:ilvl w:val="3"/>
        <w:numId w:val="25"/>
      </w:numPr>
      <w:spacing w:before="240" w:after="120" w:line="280" w:lineRule="exact"/>
      <w:outlineLvl w:val="3"/>
    </w:pPr>
    <w:rPr>
      <w:b/>
      <w:bCs/>
      <w:i/>
      <w:sz w:val="24"/>
      <w:szCs w:val="22"/>
    </w:rPr>
  </w:style>
  <w:style w:type="paragraph" w:styleId="Heading5">
    <w:name w:val="heading 5"/>
    <w:basedOn w:val="HeadingBase"/>
    <w:next w:val="Normal"/>
    <w:link w:val="Heading5Char"/>
    <w:qFormat/>
    <w:rsid w:val="00C54C44"/>
    <w:pPr>
      <w:keepNext/>
      <w:numPr>
        <w:ilvl w:val="4"/>
        <w:numId w:val="25"/>
      </w:numPr>
      <w:spacing w:before="180" w:after="240" w:line="280" w:lineRule="exact"/>
      <w:outlineLvl w:val="4"/>
    </w:pPr>
    <w:rPr>
      <w:bCs/>
      <w:iCs/>
      <w:color w:val="auto"/>
      <w:sz w:val="22"/>
    </w:rPr>
  </w:style>
  <w:style w:type="paragraph" w:styleId="Heading6">
    <w:name w:val="heading 6"/>
    <w:basedOn w:val="HeadingBase"/>
    <w:next w:val="Normal"/>
    <w:unhideWhenUsed/>
    <w:rsid w:val="00415F67"/>
    <w:pPr>
      <w:keepNext/>
      <w:numPr>
        <w:ilvl w:val="5"/>
        <w:numId w:val="25"/>
      </w:numPr>
      <w:spacing w:after="120"/>
      <w:outlineLvl w:val="5"/>
    </w:pPr>
    <w:rPr>
      <w:bCs/>
      <w:szCs w:val="22"/>
    </w:rPr>
  </w:style>
  <w:style w:type="paragraph" w:styleId="Heading7">
    <w:name w:val="heading 7"/>
    <w:basedOn w:val="Heading2"/>
    <w:next w:val="Normal"/>
    <w:unhideWhenUsed/>
    <w:rsid w:val="006C17D8"/>
    <w:pPr>
      <w:numPr>
        <w:ilvl w:val="6"/>
      </w:numPr>
      <w:jc w:val="right"/>
      <w:outlineLvl w:val="6"/>
    </w:pPr>
  </w:style>
  <w:style w:type="paragraph" w:styleId="Heading8">
    <w:name w:val="heading 8"/>
    <w:basedOn w:val="HeadingBase"/>
    <w:next w:val="Normal"/>
    <w:unhideWhenUsed/>
    <w:rsid w:val="00415F67"/>
    <w:pPr>
      <w:keepNext/>
      <w:numPr>
        <w:ilvl w:val="7"/>
        <w:numId w:val="25"/>
      </w:numPr>
      <w:spacing w:before="284" w:after="360"/>
      <w:jc w:val="right"/>
      <w:outlineLvl w:val="7"/>
    </w:pPr>
    <w:rPr>
      <w:iCs/>
      <w:sz w:val="48"/>
      <w:szCs w:val="24"/>
    </w:rPr>
  </w:style>
  <w:style w:type="paragraph" w:styleId="Heading9">
    <w:name w:val="heading 9"/>
    <w:basedOn w:val="HeadingBase"/>
    <w:next w:val="Normal"/>
    <w:unhideWhenUsed/>
    <w:rsid w:val="00415F67"/>
    <w:pPr>
      <w:keepNext/>
      <w:numPr>
        <w:ilvl w:val="8"/>
        <w:numId w:val="25"/>
      </w:numPr>
      <w:spacing w:before="170" w:after="113" w:line="320" w:lineRule="exact"/>
      <w:jc w:val="right"/>
      <w:outlineLvl w:val="8"/>
    </w:pPr>
    <w:rPr>
      <w:rFonts w:cs="Arial"/>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415F67"/>
    <w:pPr>
      <w:spacing w:after="0"/>
    </w:pPr>
  </w:style>
  <w:style w:type="character" w:styleId="Hyperlink">
    <w:name w:val="Hyperlink"/>
    <w:basedOn w:val="DefaultParagraphFont"/>
    <w:uiPriority w:val="99"/>
    <w:rsid w:val="00D306C3"/>
    <w:rPr>
      <w:color w:val="000000"/>
      <w:u w:val="none"/>
    </w:rPr>
  </w:style>
  <w:style w:type="character" w:styleId="FootnoteReference">
    <w:name w:val="footnote reference"/>
    <w:basedOn w:val="DefaultParagraphFont"/>
    <w:rsid w:val="00415F67"/>
    <w:rPr>
      <w:vertAlign w:val="superscript"/>
    </w:rPr>
  </w:style>
  <w:style w:type="paragraph" w:customStyle="1" w:styleId="Title2">
    <w:name w:val="Title 2"/>
    <w:basedOn w:val="HeadingBase"/>
    <w:rsid w:val="00787EA9"/>
    <w:pPr>
      <w:spacing w:after="600"/>
      <w:jc w:val="right"/>
    </w:pPr>
    <w:rPr>
      <w:color w:val="A32035"/>
      <w:sz w:val="36"/>
      <w:szCs w:val="36"/>
    </w:rPr>
  </w:style>
  <w:style w:type="character" w:styleId="PageNumber">
    <w:name w:val="page number"/>
    <w:basedOn w:val="DefaultParagraphFont"/>
    <w:rsid w:val="00CB2B80"/>
    <w:rPr>
      <w:rFonts w:asciiTheme="minorHAnsi" w:hAnsiTheme="minorHAnsi"/>
      <w:color w:val="003E74"/>
      <w:sz w:val="18"/>
      <w:szCs w:val="18"/>
    </w:rPr>
  </w:style>
  <w:style w:type="paragraph" w:styleId="FootnoteText">
    <w:name w:val="footnote text"/>
    <w:basedOn w:val="Normal"/>
    <w:link w:val="FootnoteTextChar"/>
    <w:rsid w:val="00415F67"/>
    <w:pPr>
      <w:tabs>
        <w:tab w:val="left" w:pos="284"/>
      </w:tabs>
      <w:spacing w:after="0" w:line="240" w:lineRule="auto"/>
      <w:ind w:left="284" w:hanging="284"/>
    </w:pPr>
    <w:rPr>
      <w:sz w:val="18"/>
    </w:rPr>
  </w:style>
  <w:style w:type="paragraph" w:customStyle="1" w:styleId="Bullet">
    <w:name w:val="Bullet"/>
    <w:aliases w:val="b,b1,b + line,Body,level 1,Bullet + line"/>
    <w:basedOn w:val="Normal"/>
    <w:link w:val="BulletChar"/>
    <w:qFormat/>
    <w:rsid w:val="00D86A8A"/>
    <w:pPr>
      <w:numPr>
        <w:numId w:val="1"/>
      </w:numPr>
    </w:pPr>
  </w:style>
  <w:style w:type="paragraph" w:customStyle="1" w:styleId="Dash">
    <w:name w:val="Dash"/>
    <w:basedOn w:val="Normal"/>
    <w:link w:val="DashChar"/>
    <w:qFormat/>
    <w:rsid w:val="00363D89"/>
    <w:pPr>
      <w:numPr>
        <w:ilvl w:val="1"/>
        <w:numId w:val="1"/>
      </w:numPr>
      <w:tabs>
        <w:tab w:val="clear" w:pos="567"/>
        <w:tab w:val="num" w:pos="360"/>
      </w:tabs>
      <w:ind w:left="568"/>
    </w:pPr>
  </w:style>
  <w:style w:type="paragraph" w:customStyle="1" w:styleId="DoubleDot">
    <w:name w:val="Double Dot"/>
    <w:basedOn w:val="Normal"/>
    <w:qFormat/>
    <w:rsid w:val="00363D89"/>
    <w:pPr>
      <w:numPr>
        <w:ilvl w:val="2"/>
        <w:numId w:val="1"/>
      </w:numPr>
      <w:tabs>
        <w:tab w:val="clear" w:pos="850"/>
        <w:tab w:val="num" w:pos="360"/>
      </w:tabs>
      <w:ind w:left="851" w:hanging="284"/>
    </w:pPr>
  </w:style>
  <w:style w:type="paragraph" w:customStyle="1" w:styleId="OutlineNumbered1">
    <w:name w:val="Outline Numbered 1"/>
    <w:basedOn w:val="Normal"/>
    <w:unhideWhenUsed/>
    <w:rsid w:val="00415F67"/>
    <w:pPr>
      <w:numPr>
        <w:numId w:val="2"/>
      </w:numPr>
      <w:tabs>
        <w:tab w:val="clear" w:pos="567"/>
        <w:tab w:val="num" w:pos="360"/>
      </w:tabs>
      <w:ind w:left="0" w:firstLine="0"/>
    </w:pPr>
  </w:style>
  <w:style w:type="paragraph" w:customStyle="1" w:styleId="OutlineNumbered2">
    <w:name w:val="Outline Numbered 2"/>
    <w:basedOn w:val="Normal"/>
    <w:unhideWhenUsed/>
    <w:rsid w:val="00415F67"/>
    <w:pPr>
      <w:numPr>
        <w:ilvl w:val="1"/>
        <w:numId w:val="2"/>
      </w:numPr>
      <w:tabs>
        <w:tab w:val="clear" w:pos="1134"/>
        <w:tab w:val="num" w:pos="360"/>
      </w:tabs>
      <w:ind w:left="0" w:firstLine="0"/>
    </w:pPr>
  </w:style>
  <w:style w:type="paragraph" w:customStyle="1" w:styleId="OutlineNumbered3">
    <w:name w:val="Outline Numbered 3"/>
    <w:basedOn w:val="Normal"/>
    <w:unhideWhenUsed/>
    <w:rsid w:val="00415F67"/>
    <w:pPr>
      <w:numPr>
        <w:ilvl w:val="2"/>
        <w:numId w:val="2"/>
      </w:numPr>
      <w:tabs>
        <w:tab w:val="clear" w:pos="1701"/>
        <w:tab w:val="num" w:pos="360"/>
      </w:tabs>
      <w:ind w:left="0" w:firstLine="0"/>
    </w:pPr>
  </w:style>
  <w:style w:type="paragraph" w:customStyle="1" w:styleId="AlphaParagraph">
    <w:name w:val="Alpha Paragraph"/>
    <w:basedOn w:val="Normal"/>
    <w:rsid w:val="002E3C94"/>
    <w:pPr>
      <w:numPr>
        <w:numId w:val="7"/>
      </w:numPr>
      <w:tabs>
        <w:tab w:val="clear" w:pos="1134"/>
        <w:tab w:val="num" w:pos="360"/>
      </w:tabs>
      <w:ind w:left="0" w:firstLine="0"/>
    </w:pPr>
  </w:style>
  <w:style w:type="paragraph" w:customStyle="1" w:styleId="HeadingBase">
    <w:name w:val="Heading Base"/>
    <w:next w:val="Normal"/>
    <w:link w:val="HeadingBaseChar"/>
    <w:rsid w:val="007B48B3"/>
    <w:rPr>
      <w:rFonts w:ascii="Calibri" w:hAnsi="Calibri"/>
      <w:color w:val="4F6772"/>
    </w:rPr>
  </w:style>
  <w:style w:type="paragraph" w:customStyle="1" w:styleId="AppendixHeading">
    <w:name w:val="Appendix Heading"/>
    <w:basedOn w:val="HeadingBase"/>
    <w:next w:val="Normal"/>
    <w:rsid w:val="00CB2B80"/>
    <w:pPr>
      <w:spacing w:before="720" w:after="360"/>
    </w:pPr>
    <w:rPr>
      <w:b/>
      <w:smallCaps/>
      <w:sz w:val="36"/>
      <w:szCs w:val="36"/>
    </w:rPr>
  </w:style>
  <w:style w:type="character" w:customStyle="1" w:styleId="Bold">
    <w:name w:val="Bold"/>
    <w:basedOn w:val="DefaultParagraphFont"/>
    <w:rsid w:val="00415F67"/>
    <w:rPr>
      <w:b/>
    </w:rPr>
  </w:style>
  <w:style w:type="paragraph" w:customStyle="1" w:styleId="ChartandTableFootnoteAlpha">
    <w:name w:val="Chart and Table Footnote Alpha"/>
    <w:rsid w:val="00415F67"/>
    <w:pPr>
      <w:numPr>
        <w:numId w:val="3"/>
      </w:numPr>
      <w:jc w:val="both"/>
    </w:pPr>
    <w:rPr>
      <w:rFonts w:ascii="Arial" w:hAnsi="Arial"/>
      <w:color w:val="000000"/>
      <w:sz w:val="16"/>
      <w:szCs w:val="16"/>
    </w:rPr>
  </w:style>
  <w:style w:type="paragraph" w:customStyle="1" w:styleId="ChartGraphic">
    <w:name w:val="Chart Graphic"/>
    <w:basedOn w:val="HeadingBase"/>
    <w:rsid w:val="00415F67"/>
    <w:pPr>
      <w:jc w:val="center"/>
    </w:pPr>
  </w:style>
  <w:style w:type="paragraph" w:customStyle="1" w:styleId="ChartMainHeading">
    <w:name w:val="Chart Main Heading"/>
    <w:basedOn w:val="HeadingBase"/>
    <w:next w:val="ChartGraphic"/>
    <w:rsid w:val="00E24A34"/>
    <w:pPr>
      <w:keepNext/>
      <w:spacing w:before="120"/>
      <w:jc w:val="center"/>
    </w:pPr>
    <w:rPr>
      <w:b/>
      <w:sz w:val="22"/>
    </w:rPr>
  </w:style>
  <w:style w:type="paragraph" w:customStyle="1" w:styleId="ChartorTableNote">
    <w:name w:val="Chart or Table Note"/>
    <w:next w:val="Normal"/>
    <w:link w:val="ChartorTableNoteChar"/>
    <w:rsid w:val="00415F67"/>
    <w:pPr>
      <w:jc w:val="both"/>
    </w:pPr>
    <w:rPr>
      <w:rFonts w:ascii="Arial" w:hAnsi="Arial"/>
      <w:color w:val="000000"/>
      <w:sz w:val="16"/>
    </w:rPr>
  </w:style>
  <w:style w:type="paragraph" w:customStyle="1" w:styleId="ChartSecondHeading">
    <w:name w:val="Chart Second Heading"/>
    <w:basedOn w:val="HeadingBase"/>
    <w:next w:val="ChartGraphic"/>
    <w:rsid w:val="000C204B"/>
    <w:pPr>
      <w:keepNext/>
      <w:spacing w:after="20"/>
    </w:pPr>
  </w:style>
  <w:style w:type="paragraph" w:customStyle="1" w:styleId="CaseStudyHeading">
    <w:name w:val="Case Study Heading"/>
    <w:basedOn w:val="Normal"/>
    <w:qFormat/>
    <w:rsid w:val="00C54C44"/>
    <w:pPr>
      <w:tabs>
        <w:tab w:val="left" w:pos="1418"/>
      </w:tabs>
      <w:spacing w:before="300" w:after="120" w:line="240" w:lineRule="auto"/>
      <w:jc w:val="center"/>
    </w:pPr>
    <w:rPr>
      <w:rFonts w:ascii="Calibri" w:hAnsi="Calibri"/>
      <w:b/>
      <w:color w:val="FFFFFF" w:themeColor="background1"/>
      <w:sz w:val="28"/>
      <w:szCs w:val="24"/>
    </w:rPr>
  </w:style>
  <w:style w:type="paragraph" w:styleId="Footer">
    <w:name w:val="footer"/>
    <w:basedOn w:val="HeadingBase"/>
    <w:link w:val="FooterChar"/>
    <w:uiPriority w:val="99"/>
    <w:rsid w:val="00415F67"/>
    <w:rPr>
      <w:sz w:val="18"/>
    </w:rPr>
  </w:style>
  <w:style w:type="paragraph" w:customStyle="1" w:styleId="FooterEven">
    <w:name w:val="Footer Even"/>
    <w:basedOn w:val="Footer"/>
    <w:rsid w:val="00065800"/>
  </w:style>
  <w:style w:type="paragraph" w:customStyle="1" w:styleId="FooterOdd">
    <w:name w:val="Footer Odd"/>
    <w:basedOn w:val="Footer"/>
    <w:rsid w:val="00065800"/>
    <w:pPr>
      <w:jc w:val="right"/>
    </w:pPr>
  </w:style>
  <w:style w:type="character" w:customStyle="1" w:styleId="FramedFooter">
    <w:name w:val="Framed Footer"/>
    <w:rsid w:val="00CB2B80"/>
    <w:rPr>
      <w:rFonts w:ascii="Calibri" w:hAnsi="Calibri"/>
      <w:color w:val="003E74"/>
      <w:sz w:val="18"/>
      <w:szCs w:val="18"/>
    </w:rPr>
  </w:style>
  <w:style w:type="character" w:customStyle="1" w:styleId="FramedHeader">
    <w:name w:val="Framed Header"/>
    <w:basedOn w:val="DefaultParagraphFont"/>
    <w:rsid w:val="00CB2B80"/>
    <w:rPr>
      <w:rFonts w:ascii="Calibri" w:hAnsi="Calibri"/>
      <w:dstrike w:val="0"/>
      <w:color w:val="003E74"/>
      <w:sz w:val="18"/>
      <w:szCs w:val="18"/>
      <w:vertAlign w:val="baseline"/>
    </w:rPr>
  </w:style>
  <w:style w:type="paragraph" w:styleId="Header">
    <w:name w:val="header"/>
    <w:basedOn w:val="HeadingBase"/>
    <w:rsid w:val="00415F67"/>
    <w:rPr>
      <w:sz w:val="18"/>
    </w:rPr>
  </w:style>
  <w:style w:type="paragraph" w:customStyle="1" w:styleId="HeaderEven">
    <w:name w:val="Header Even"/>
    <w:basedOn w:val="Header"/>
    <w:rsid w:val="00065800"/>
  </w:style>
  <w:style w:type="paragraph" w:customStyle="1" w:styleId="HeaderOdd">
    <w:name w:val="Header Odd"/>
    <w:basedOn w:val="Header"/>
    <w:rsid w:val="00065800"/>
    <w:pPr>
      <w:jc w:val="right"/>
    </w:pPr>
  </w:style>
  <w:style w:type="paragraph" w:styleId="NormalIndent">
    <w:name w:val="Normal Indent"/>
    <w:basedOn w:val="Normal"/>
    <w:rsid w:val="00415F67"/>
    <w:pPr>
      <w:ind w:left="567"/>
    </w:pPr>
  </w:style>
  <w:style w:type="paragraph" w:customStyle="1" w:styleId="CaseStudyText">
    <w:name w:val="Case Study Text"/>
    <w:basedOn w:val="Normal"/>
    <w:rsid w:val="00C54C44"/>
    <w:pPr>
      <w:spacing w:after="120" w:line="240" w:lineRule="exact"/>
      <w:ind w:left="284" w:right="284"/>
    </w:pPr>
    <w:rPr>
      <w:rFonts w:ascii="Calibri" w:hAnsi="Calibri"/>
      <w:color w:val="FFFFFF" w:themeColor="background1"/>
    </w:rPr>
  </w:style>
  <w:style w:type="paragraph" w:customStyle="1" w:styleId="CaseStudyBullet">
    <w:name w:val="Case Study Bullet"/>
    <w:basedOn w:val="Normal"/>
    <w:rsid w:val="005F119F"/>
    <w:pPr>
      <w:numPr>
        <w:numId w:val="4"/>
      </w:numPr>
      <w:tabs>
        <w:tab w:val="left" w:pos="397"/>
      </w:tabs>
      <w:spacing w:after="120" w:line="240" w:lineRule="exact"/>
      <w:ind w:left="624" w:right="340" w:hanging="284"/>
    </w:pPr>
    <w:rPr>
      <w:color w:val="FFFFFF" w:themeColor="background1"/>
    </w:rPr>
  </w:style>
  <w:style w:type="paragraph" w:customStyle="1" w:styleId="TableText-bullet">
    <w:name w:val="Table Text - bullet"/>
    <w:basedOn w:val="TableTextLeft"/>
    <w:rsid w:val="00022E40"/>
    <w:pPr>
      <w:numPr>
        <w:numId w:val="8"/>
      </w:numPr>
      <w:ind w:left="227" w:hanging="227"/>
    </w:pPr>
  </w:style>
  <w:style w:type="paragraph" w:customStyle="1" w:styleId="TableTextBase">
    <w:name w:val="Table Text Base"/>
    <w:rsid w:val="00CB2B80"/>
    <w:pPr>
      <w:spacing w:before="40" w:after="40"/>
    </w:pPr>
    <w:rPr>
      <w:rFonts w:ascii="Calibri" w:hAnsi="Calibri"/>
      <w:color w:val="000000"/>
      <w:sz w:val="16"/>
    </w:rPr>
  </w:style>
  <w:style w:type="paragraph" w:customStyle="1" w:styleId="TableColumnHeadingCentred">
    <w:name w:val="Table Column Heading Centred"/>
    <w:basedOn w:val="TableTextBase"/>
    <w:rsid w:val="00415F67"/>
    <w:pPr>
      <w:jc w:val="center"/>
    </w:pPr>
    <w:rPr>
      <w:b/>
    </w:rPr>
  </w:style>
  <w:style w:type="paragraph" w:customStyle="1" w:styleId="TableColumnHeadingLeft">
    <w:name w:val="Table Column Heading Left"/>
    <w:basedOn w:val="TableTextBase"/>
    <w:rsid w:val="00415F67"/>
    <w:rPr>
      <w:b/>
    </w:rPr>
  </w:style>
  <w:style w:type="paragraph" w:customStyle="1" w:styleId="TableColumnHeadingRight">
    <w:name w:val="Table Column Heading Right"/>
    <w:basedOn w:val="TableTextBase"/>
    <w:rsid w:val="00415F67"/>
    <w:pPr>
      <w:jc w:val="right"/>
    </w:pPr>
    <w:rPr>
      <w:b/>
    </w:rPr>
  </w:style>
  <w:style w:type="paragraph" w:customStyle="1" w:styleId="TableGraphic">
    <w:name w:val="Table Graphic"/>
    <w:basedOn w:val="HeadingBase"/>
    <w:next w:val="Normal"/>
    <w:rsid w:val="008D32BF"/>
    <w:pPr>
      <w:spacing w:after="20"/>
      <w:ind w:right="-113"/>
    </w:pPr>
    <w:rPr>
      <w:rFonts w:ascii="Helvetica" w:hAnsi="Helvetica"/>
    </w:rPr>
  </w:style>
  <w:style w:type="paragraph" w:customStyle="1" w:styleId="TableMainHeading">
    <w:name w:val="Table Main Heading"/>
    <w:basedOn w:val="HeadingBase"/>
    <w:next w:val="TableGraphic"/>
    <w:link w:val="TableMainHeadingChar"/>
    <w:rsid w:val="00257433"/>
    <w:pPr>
      <w:keepNext/>
      <w:spacing w:before="120"/>
    </w:pPr>
    <w:rPr>
      <w:b/>
      <w:sz w:val="22"/>
    </w:rPr>
  </w:style>
  <w:style w:type="paragraph" w:customStyle="1" w:styleId="TableMainHeadingContd">
    <w:name w:val="Table Main Heading Contd"/>
    <w:basedOn w:val="HeadingBase"/>
    <w:next w:val="TableGraphic"/>
    <w:rsid w:val="00CB2B80"/>
    <w:pPr>
      <w:keepNext/>
      <w:spacing w:after="20"/>
    </w:pPr>
    <w:rPr>
      <w:b/>
      <w:sz w:val="22"/>
    </w:rPr>
  </w:style>
  <w:style w:type="paragraph" w:customStyle="1" w:styleId="TableSecondHeading">
    <w:name w:val="Table Second Heading"/>
    <w:basedOn w:val="HeadingBase"/>
    <w:next w:val="TableGraphic"/>
    <w:rsid w:val="00415F67"/>
    <w:pPr>
      <w:keepNext/>
      <w:spacing w:after="20"/>
    </w:pPr>
  </w:style>
  <w:style w:type="paragraph" w:customStyle="1" w:styleId="TableTextCentered">
    <w:name w:val="Table Text Centered"/>
    <w:basedOn w:val="TableTextBase"/>
    <w:rsid w:val="00415F67"/>
    <w:pPr>
      <w:jc w:val="center"/>
    </w:pPr>
  </w:style>
  <w:style w:type="paragraph" w:customStyle="1" w:styleId="TableTextIndented">
    <w:name w:val="Table Text Indented"/>
    <w:basedOn w:val="TableTextBase"/>
    <w:rsid w:val="00415F67"/>
    <w:pPr>
      <w:ind w:left="284"/>
    </w:pPr>
  </w:style>
  <w:style w:type="paragraph" w:customStyle="1" w:styleId="TableTextLeft">
    <w:name w:val="Table Text Left"/>
    <w:basedOn w:val="TableTextBase"/>
    <w:rsid w:val="007E6B29"/>
    <w:pPr>
      <w:spacing w:before="60" w:after="60"/>
    </w:pPr>
  </w:style>
  <w:style w:type="paragraph" w:customStyle="1" w:styleId="TableTextRight">
    <w:name w:val="Table Text Right"/>
    <w:basedOn w:val="TableTextBase"/>
    <w:rsid w:val="00415F67"/>
    <w:pPr>
      <w:jc w:val="right"/>
    </w:pPr>
  </w:style>
  <w:style w:type="paragraph" w:styleId="TOC1">
    <w:name w:val="toc 1"/>
    <w:basedOn w:val="HeadingBase"/>
    <w:next w:val="Normal"/>
    <w:uiPriority w:val="39"/>
    <w:rsid w:val="00065800"/>
    <w:pPr>
      <w:tabs>
        <w:tab w:val="right" w:leader="dot" w:pos="7700"/>
      </w:tabs>
      <w:spacing w:before="120"/>
      <w:ind w:right="851"/>
    </w:pPr>
    <w:rPr>
      <w:b/>
      <w:caps/>
      <w:noProof/>
      <w:sz w:val="24"/>
      <w:szCs w:val="22"/>
    </w:rPr>
  </w:style>
  <w:style w:type="paragraph" w:styleId="TOC2">
    <w:name w:val="toc 2"/>
    <w:basedOn w:val="Normal"/>
    <w:next w:val="Normal"/>
    <w:uiPriority w:val="39"/>
    <w:rsid w:val="00D86A8A"/>
    <w:pPr>
      <w:tabs>
        <w:tab w:val="right" w:leader="dot" w:pos="7700"/>
      </w:tabs>
      <w:spacing w:after="40"/>
      <w:ind w:right="851"/>
      <w:jc w:val="left"/>
    </w:pPr>
    <w:rPr>
      <w:rFonts w:ascii="Calibri" w:hAnsi="Calibri"/>
      <w:noProof/>
    </w:rPr>
  </w:style>
  <w:style w:type="paragraph" w:styleId="TOC3">
    <w:name w:val="toc 3"/>
    <w:basedOn w:val="Normal"/>
    <w:next w:val="Normal"/>
    <w:uiPriority w:val="39"/>
    <w:rsid w:val="007B6345"/>
    <w:pPr>
      <w:tabs>
        <w:tab w:val="right" w:leader="dot" w:pos="7700"/>
      </w:tabs>
      <w:spacing w:after="40" w:line="240" w:lineRule="auto"/>
      <w:ind w:left="227" w:right="851"/>
      <w:jc w:val="left"/>
    </w:pPr>
    <w:rPr>
      <w:rFonts w:ascii="Calibri" w:hAnsi="Calibri"/>
      <w:noProof/>
    </w:rPr>
  </w:style>
  <w:style w:type="paragraph" w:styleId="TOC4">
    <w:name w:val="toc 4"/>
    <w:basedOn w:val="Normal"/>
    <w:next w:val="Normal"/>
    <w:unhideWhenUsed/>
    <w:rsid w:val="00CB2B80"/>
    <w:pPr>
      <w:tabs>
        <w:tab w:val="right" w:leader="dot" w:pos="7700"/>
      </w:tabs>
      <w:spacing w:after="0" w:line="240" w:lineRule="auto"/>
      <w:ind w:left="284" w:right="851" w:hanging="284"/>
      <w:jc w:val="left"/>
    </w:pPr>
    <w:rPr>
      <w:rFonts w:ascii="Calibri" w:hAnsi="Calibri"/>
      <w:noProof/>
    </w:rPr>
  </w:style>
  <w:style w:type="paragraph" w:customStyle="1" w:styleId="OneLevelNumberedParagraph">
    <w:name w:val="One Level Numbered Paragraph"/>
    <w:basedOn w:val="Normal"/>
    <w:unhideWhenUsed/>
    <w:rsid w:val="00415F67"/>
    <w:pPr>
      <w:numPr>
        <w:numId w:val="5"/>
      </w:numPr>
    </w:pPr>
  </w:style>
  <w:style w:type="paragraph" w:customStyle="1" w:styleId="TableText-dash">
    <w:name w:val="Table Text - dash"/>
    <w:basedOn w:val="TableText-bullet"/>
    <w:rsid w:val="007E6B29"/>
    <w:pPr>
      <w:numPr>
        <w:numId w:val="9"/>
      </w:numPr>
      <w:ind w:left="568" w:hanging="284"/>
    </w:pPr>
  </w:style>
  <w:style w:type="character" w:customStyle="1" w:styleId="Boldanditalic">
    <w:name w:val="Bold and italic"/>
    <w:basedOn w:val="DefaultParagraphFont"/>
    <w:rsid w:val="00415F67"/>
    <w:rPr>
      <w:b/>
      <w:i/>
    </w:rPr>
  </w:style>
  <w:style w:type="character" w:styleId="EndnoteReference">
    <w:name w:val="endnote reference"/>
    <w:basedOn w:val="DefaultParagraphFont"/>
    <w:rsid w:val="00415F67"/>
    <w:rPr>
      <w:vertAlign w:val="superscript"/>
    </w:rPr>
  </w:style>
  <w:style w:type="paragraph" w:styleId="EndnoteText">
    <w:name w:val="endnote text"/>
    <w:basedOn w:val="Normal"/>
    <w:rsid w:val="00415F67"/>
  </w:style>
  <w:style w:type="paragraph" w:styleId="TOC6">
    <w:name w:val="toc 6"/>
    <w:basedOn w:val="Normal"/>
    <w:next w:val="Normal"/>
    <w:semiHidden/>
    <w:rsid w:val="00E05795"/>
    <w:pPr>
      <w:tabs>
        <w:tab w:val="left" w:pos="1080"/>
        <w:tab w:val="left" w:pos="1134"/>
        <w:tab w:val="right" w:leader="dot" w:pos="7700"/>
      </w:tabs>
      <w:spacing w:after="40"/>
      <w:ind w:left="1080" w:right="851" w:hanging="1080"/>
      <w:jc w:val="left"/>
    </w:pPr>
    <w:rPr>
      <w:rFonts w:ascii="Calibri" w:hAnsi="Calibri"/>
      <w:noProof/>
    </w:rPr>
  </w:style>
  <w:style w:type="paragraph" w:styleId="TOC7">
    <w:name w:val="toc 7"/>
    <w:basedOn w:val="Normal"/>
    <w:next w:val="Normal"/>
    <w:autoRedefine/>
    <w:semiHidden/>
    <w:rsid w:val="00CB2B80"/>
    <w:pPr>
      <w:ind w:left="1200"/>
    </w:pPr>
    <w:rPr>
      <w:rFonts w:ascii="Calibri" w:hAnsi="Calibri"/>
    </w:rPr>
  </w:style>
  <w:style w:type="paragraph" w:customStyle="1" w:styleId="NumberedParagraph">
    <w:name w:val="Numbered Paragraph"/>
    <w:basedOn w:val="Normal"/>
    <w:rsid w:val="00415F67"/>
    <w:pPr>
      <w:numPr>
        <w:numId w:val="6"/>
      </w:numPr>
    </w:pPr>
  </w:style>
  <w:style w:type="paragraph" w:customStyle="1" w:styleId="Heading3noTOC">
    <w:name w:val="Heading 3 no TOC"/>
    <w:basedOn w:val="Heading3"/>
    <w:rsid w:val="006D18F6"/>
    <w:pPr>
      <w:outlineLvl w:val="9"/>
    </w:pPr>
  </w:style>
  <w:style w:type="character" w:styleId="FollowedHyperlink">
    <w:name w:val="FollowedHyperlink"/>
    <w:basedOn w:val="DefaultParagraphFont"/>
    <w:rsid w:val="00D306C3"/>
    <w:rPr>
      <w:color w:val="000000"/>
      <w:u w:val="none"/>
    </w:rPr>
  </w:style>
  <w:style w:type="paragraph" w:customStyle="1" w:styleId="Heading1noTOC">
    <w:name w:val="Heading 1 no TOC"/>
    <w:basedOn w:val="Heading1"/>
    <w:next w:val="Normal"/>
    <w:rsid w:val="008748E8"/>
  </w:style>
  <w:style w:type="paragraph" w:customStyle="1" w:styleId="Heading2noTOC">
    <w:name w:val="Heading 2 no TOC"/>
    <w:basedOn w:val="Heading2"/>
    <w:next w:val="Normal"/>
    <w:rsid w:val="003F0677"/>
    <w:pPr>
      <w:outlineLvl w:val="9"/>
    </w:pPr>
  </w:style>
  <w:style w:type="paragraph" w:styleId="TOCHeading">
    <w:name w:val="TOC Heading"/>
    <w:basedOn w:val="Heading1"/>
    <w:next w:val="Normal"/>
    <w:uiPriority w:val="39"/>
    <w:unhideWhenUsed/>
    <w:qFormat/>
    <w:rsid w:val="003F0677"/>
    <w:pPr>
      <w:keepLines/>
      <w:spacing w:before="480" w:line="260" w:lineRule="exact"/>
      <w:jc w:val="both"/>
      <w:outlineLvl w:val="9"/>
    </w:pPr>
    <w:rPr>
      <w:rFonts w:asciiTheme="majorHAnsi" w:eastAsiaTheme="majorEastAsia" w:hAnsiTheme="majorHAnsi" w:cstheme="majorBidi"/>
      <w:kern w:val="0"/>
      <w:sz w:val="28"/>
      <w:szCs w:val="28"/>
    </w:rPr>
  </w:style>
  <w:style w:type="paragraph" w:styleId="Subtitle">
    <w:name w:val="Subtitle"/>
    <w:basedOn w:val="Normal"/>
    <w:next w:val="Normal"/>
    <w:link w:val="SubtitleChar"/>
    <w:qFormat/>
    <w:rsid w:val="007B48B3"/>
    <w:pPr>
      <w:numPr>
        <w:ilvl w:val="1"/>
      </w:numPr>
      <w:spacing w:line="240" w:lineRule="auto"/>
      <w:jc w:val="right"/>
    </w:pPr>
    <w:rPr>
      <w:rFonts w:asciiTheme="majorHAnsi" w:eastAsiaTheme="majorEastAsia" w:hAnsiTheme="majorHAnsi" w:cstheme="majorBidi"/>
      <w:iCs/>
      <w:color w:val="4F6772"/>
      <w:sz w:val="36"/>
      <w:szCs w:val="24"/>
    </w:rPr>
  </w:style>
  <w:style w:type="character" w:customStyle="1" w:styleId="SubtitleChar">
    <w:name w:val="Subtitle Char"/>
    <w:basedOn w:val="DefaultParagraphFont"/>
    <w:link w:val="Subtitle"/>
    <w:rsid w:val="007B48B3"/>
    <w:rPr>
      <w:rFonts w:asciiTheme="majorHAnsi" w:eastAsiaTheme="majorEastAsia" w:hAnsiTheme="majorHAnsi" w:cstheme="majorBidi"/>
      <w:iCs/>
      <w:color w:val="4F6772"/>
      <w:sz w:val="36"/>
      <w:szCs w:val="24"/>
    </w:rPr>
  </w:style>
  <w:style w:type="paragraph" w:styleId="NormalWeb">
    <w:name w:val="Normal (Web)"/>
    <w:basedOn w:val="Normal"/>
    <w:uiPriority w:val="99"/>
    <w:rsid w:val="00807F11"/>
    <w:rPr>
      <w:rFonts w:ascii="Times New Roman" w:hAnsi="Times New Roman"/>
      <w:sz w:val="24"/>
      <w:szCs w:val="24"/>
    </w:rPr>
  </w:style>
  <w:style w:type="paragraph" w:styleId="Title">
    <w:name w:val="Title"/>
    <w:basedOn w:val="Normal"/>
    <w:next w:val="Normal"/>
    <w:link w:val="TitleChar"/>
    <w:qFormat/>
    <w:rsid w:val="007B48B3"/>
    <w:pPr>
      <w:spacing w:after="600" w:line="240" w:lineRule="auto"/>
      <w:contextualSpacing/>
      <w:jc w:val="right"/>
    </w:pPr>
    <w:rPr>
      <w:rFonts w:asciiTheme="majorHAnsi" w:eastAsiaTheme="majorEastAsia" w:hAnsiTheme="majorHAnsi" w:cstheme="majorBidi"/>
      <w:b/>
      <w:color w:val="4F6772"/>
      <w:spacing w:val="-10"/>
      <w:kern w:val="28"/>
      <w:sz w:val="48"/>
      <w:szCs w:val="56"/>
    </w:rPr>
  </w:style>
  <w:style w:type="character" w:customStyle="1" w:styleId="TitleChar">
    <w:name w:val="Title Char"/>
    <w:basedOn w:val="DefaultParagraphFont"/>
    <w:link w:val="Title"/>
    <w:rsid w:val="007B48B3"/>
    <w:rPr>
      <w:rFonts w:asciiTheme="majorHAnsi" w:eastAsiaTheme="majorEastAsia" w:hAnsiTheme="majorHAnsi" w:cstheme="majorBidi"/>
      <w:b/>
      <w:color w:val="4F6772"/>
      <w:spacing w:val="-10"/>
      <w:kern w:val="28"/>
      <w:sz w:val="48"/>
      <w:szCs w:val="56"/>
    </w:rPr>
  </w:style>
  <w:style w:type="character" w:customStyle="1" w:styleId="A5">
    <w:name w:val="A5"/>
    <w:uiPriority w:val="99"/>
    <w:rsid w:val="00D70D81"/>
    <w:rPr>
      <w:rFonts w:cs="Swiss 721 BT"/>
      <w:color w:val="000000"/>
      <w:sz w:val="20"/>
      <w:szCs w:val="20"/>
    </w:rPr>
  </w:style>
  <w:style w:type="table" w:styleId="TableGrid">
    <w:name w:val="Table Grid"/>
    <w:basedOn w:val="TableNormal"/>
    <w:uiPriority w:val="39"/>
    <w:rsid w:val="00394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Char">
    <w:name w:val="Bullet Char"/>
    <w:aliases w:val="b Char,b + line Char Char,b Char Char,b1 Char,b + line Char,Body Char,level 1 Char,Bullet + line Char,Number Char,Bullets Char,L Char,List Paragraph1 Char,List Paragraph11 Char,Recommendation Char,List Paragraph2 Char,List Paragraph Char"/>
    <w:basedOn w:val="DefaultParagraphFont"/>
    <w:link w:val="Bullet"/>
    <w:qFormat/>
    <w:rsid w:val="00394986"/>
    <w:rPr>
      <w:rFonts w:asciiTheme="minorHAnsi" w:hAnsiTheme="minorHAnsi"/>
      <w:color w:val="000000"/>
    </w:rPr>
  </w:style>
  <w:style w:type="character" w:customStyle="1" w:styleId="FootnoteTextChar">
    <w:name w:val="Footnote Text Char"/>
    <w:basedOn w:val="DefaultParagraphFont"/>
    <w:link w:val="FootnoteText"/>
    <w:rsid w:val="00394986"/>
    <w:rPr>
      <w:rFonts w:asciiTheme="minorHAnsi" w:hAnsiTheme="minorHAnsi"/>
      <w:color w:val="000000"/>
      <w:sz w:val="18"/>
    </w:rPr>
  </w:style>
  <w:style w:type="character" w:styleId="CommentReference">
    <w:name w:val="annotation reference"/>
    <w:basedOn w:val="DefaultParagraphFont"/>
    <w:uiPriority w:val="99"/>
    <w:unhideWhenUsed/>
    <w:rsid w:val="00975771"/>
    <w:rPr>
      <w:sz w:val="16"/>
      <w:szCs w:val="16"/>
    </w:rPr>
  </w:style>
  <w:style w:type="paragraph" w:styleId="CommentText">
    <w:name w:val="annotation text"/>
    <w:basedOn w:val="Normal"/>
    <w:link w:val="CommentTextChar"/>
    <w:uiPriority w:val="99"/>
    <w:unhideWhenUsed/>
    <w:rsid w:val="00975771"/>
    <w:pPr>
      <w:spacing w:line="240" w:lineRule="auto"/>
    </w:pPr>
  </w:style>
  <w:style w:type="character" w:customStyle="1" w:styleId="CommentTextChar">
    <w:name w:val="Comment Text Char"/>
    <w:basedOn w:val="DefaultParagraphFont"/>
    <w:link w:val="CommentText"/>
    <w:uiPriority w:val="99"/>
    <w:rsid w:val="00975771"/>
    <w:rPr>
      <w:rFonts w:asciiTheme="minorHAnsi" w:hAnsiTheme="minorHAnsi"/>
      <w:color w:val="000000"/>
    </w:rPr>
  </w:style>
  <w:style w:type="paragraph" w:styleId="CommentSubject">
    <w:name w:val="annotation subject"/>
    <w:basedOn w:val="CommentText"/>
    <w:next w:val="CommentText"/>
    <w:link w:val="CommentSubjectChar"/>
    <w:semiHidden/>
    <w:unhideWhenUsed/>
    <w:rsid w:val="00975771"/>
    <w:rPr>
      <w:b/>
      <w:bCs/>
    </w:rPr>
  </w:style>
  <w:style w:type="character" w:customStyle="1" w:styleId="CommentSubjectChar">
    <w:name w:val="Comment Subject Char"/>
    <w:basedOn w:val="CommentTextChar"/>
    <w:link w:val="CommentSubject"/>
    <w:semiHidden/>
    <w:rsid w:val="00975771"/>
    <w:rPr>
      <w:rFonts w:asciiTheme="minorHAnsi" w:hAnsiTheme="minorHAnsi"/>
      <w:b/>
      <w:bCs/>
      <w:color w:val="000000"/>
    </w:rPr>
  </w:style>
  <w:style w:type="paragraph" w:customStyle="1" w:styleId="Caveat">
    <w:name w:val="Caveat"/>
    <w:basedOn w:val="ChartorTableNote"/>
    <w:link w:val="CaveatChar"/>
    <w:qFormat/>
    <w:rsid w:val="0051536C"/>
  </w:style>
  <w:style w:type="character" w:customStyle="1" w:styleId="CaveatChar">
    <w:name w:val="Caveat Char"/>
    <w:basedOn w:val="DefaultParagraphFont"/>
    <w:link w:val="Caveat"/>
    <w:rsid w:val="0051536C"/>
    <w:rPr>
      <w:rFonts w:ascii="Arial" w:hAnsi="Arial"/>
      <w:color w:val="000000"/>
      <w:sz w:val="16"/>
    </w:rPr>
  </w:style>
  <w:style w:type="paragraph" w:styleId="ListParagraph">
    <w:name w:val="List Paragraph"/>
    <w:basedOn w:val="Normal"/>
    <w:uiPriority w:val="34"/>
    <w:qFormat/>
    <w:rsid w:val="00F74E3C"/>
    <w:pPr>
      <w:ind w:left="720"/>
      <w:contextualSpacing/>
    </w:pPr>
  </w:style>
  <w:style w:type="character" w:customStyle="1" w:styleId="ChartorTableNoteChar">
    <w:name w:val="Chart or Table Note Char"/>
    <w:basedOn w:val="DefaultParagraphFont"/>
    <w:link w:val="ChartorTableNote"/>
    <w:rsid w:val="00F74E3C"/>
    <w:rPr>
      <w:rFonts w:ascii="Arial" w:hAnsi="Arial"/>
      <w:color w:val="000000"/>
      <w:sz w:val="16"/>
    </w:rPr>
  </w:style>
  <w:style w:type="paragraph" w:customStyle="1" w:styleId="BoxHeading">
    <w:name w:val="Box Heading"/>
    <w:basedOn w:val="HeadingBase"/>
    <w:next w:val="Normal"/>
    <w:link w:val="BoxHeadingChar"/>
    <w:rsid w:val="003F0677"/>
    <w:pPr>
      <w:spacing w:after="240"/>
    </w:pPr>
    <w:rPr>
      <w:b/>
      <w:sz w:val="28"/>
    </w:rPr>
  </w:style>
  <w:style w:type="character" w:customStyle="1" w:styleId="DashChar">
    <w:name w:val="Dash Char"/>
    <w:basedOn w:val="DefaultParagraphFont"/>
    <w:link w:val="Dash"/>
    <w:rsid w:val="00597834"/>
    <w:rPr>
      <w:rFonts w:asciiTheme="minorHAnsi" w:hAnsiTheme="minorHAnsi"/>
      <w:color w:val="000000"/>
    </w:rPr>
  </w:style>
  <w:style w:type="paragraph" w:styleId="BodyText">
    <w:name w:val="Body Text"/>
    <w:link w:val="BodyTextChar"/>
    <w:qFormat/>
    <w:rsid w:val="00EC1D87"/>
    <w:pPr>
      <w:spacing w:after="120" w:line="276" w:lineRule="auto"/>
      <w:jc w:val="both"/>
    </w:pPr>
    <w:rPr>
      <w:rFonts w:ascii="Calibri" w:eastAsiaTheme="minorEastAsia" w:hAnsi="Calibri" w:cstheme="minorBidi"/>
      <w:sz w:val="21"/>
      <w:szCs w:val="22"/>
      <w:lang w:val="en-GB" w:eastAsia="en-GB"/>
    </w:rPr>
  </w:style>
  <w:style w:type="character" w:customStyle="1" w:styleId="BodyTextChar">
    <w:name w:val="Body Text Char"/>
    <w:basedOn w:val="DefaultParagraphFont"/>
    <w:link w:val="BodyText"/>
    <w:rsid w:val="00EC1D87"/>
    <w:rPr>
      <w:rFonts w:ascii="Calibri" w:eastAsiaTheme="minorEastAsia" w:hAnsi="Calibri" w:cstheme="minorBidi"/>
      <w:sz w:val="21"/>
      <w:szCs w:val="22"/>
      <w:lang w:val="en-GB" w:eastAsia="en-GB"/>
    </w:rPr>
  </w:style>
  <w:style w:type="paragraph" w:customStyle="1" w:styleId="ChartorTableFootnote">
    <w:name w:val="Chart or Table Footnote"/>
    <w:basedOn w:val="ChartorTableNote"/>
    <w:next w:val="Normal"/>
    <w:autoRedefine/>
    <w:qFormat/>
    <w:rsid w:val="00EC1D87"/>
    <w:pPr>
      <w:numPr>
        <w:numId w:val="11"/>
      </w:numPr>
    </w:pPr>
  </w:style>
  <w:style w:type="character" w:customStyle="1" w:styleId="FooterChar">
    <w:name w:val="Footer Char"/>
    <w:basedOn w:val="DefaultParagraphFont"/>
    <w:link w:val="Footer"/>
    <w:uiPriority w:val="99"/>
    <w:rsid w:val="00414725"/>
    <w:rPr>
      <w:rFonts w:ascii="Calibri" w:hAnsi="Calibri"/>
      <w:color w:val="003E74"/>
      <w:sz w:val="18"/>
    </w:rPr>
  </w:style>
  <w:style w:type="character" w:customStyle="1" w:styleId="StyleBold">
    <w:name w:val="Style Bold"/>
    <w:basedOn w:val="DefaultParagraphFont"/>
    <w:rsid w:val="00556675"/>
    <w:rPr>
      <w:b/>
      <w:bCs/>
    </w:rPr>
  </w:style>
  <w:style w:type="table" w:customStyle="1" w:styleId="Tablewithborder">
    <w:name w:val="Table with border"/>
    <w:basedOn w:val="TableNormal"/>
    <w:rsid w:val="00556675"/>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3F0677"/>
    <w:rPr>
      <w:rFonts w:ascii="Calibri" w:hAnsi="Calibri" w:cs="Arial"/>
      <w:b/>
      <w:bCs/>
      <w:iCs/>
      <w:color w:val="4F6772"/>
      <w:sz w:val="28"/>
      <w:szCs w:val="28"/>
    </w:rPr>
  </w:style>
  <w:style w:type="character" w:customStyle="1" w:styleId="Heading3Char">
    <w:name w:val="Heading 3 Char"/>
    <w:basedOn w:val="DefaultParagraphFont"/>
    <w:link w:val="Heading3"/>
    <w:rsid w:val="00065800"/>
    <w:rPr>
      <w:rFonts w:ascii="Calibri" w:hAnsi="Calibri" w:cs="Arial"/>
      <w:b/>
      <w:bCs/>
      <w:color w:val="4F6772"/>
      <w:sz w:val="24"/>
      <w:szCs w:val="26"/>
    </w:rPr>
  </w:style>
  <w:style w:type="paragraph" w:styleId="NoSpacing">
    <w:name w:val="No Spacing"/>
    <w:uiPriority w:val="1"/>
    <w:qFormat/>
    <w:rsid w:val="00E522C4"/>
    <w:pPr>
      <w:jc w:val="both"/>
    </w:pPr>
    <w:rPr>
      <w:rFonts w:asciiTheme="minorHAnsi" w:hAnsiTheme="minorHAnsi"/>
      <w:color w:val="000000"/>
    </w:rPr>
  </w:style>
  <w:style w:type="character" w:customStyle="1" w:styleId="Heading5Char">
    <w:name w:val="Heading 5 Char"/>
    <w:basedOn w:val="DefaultParagraphFont"/>
    <w:link w:val="Heading5"/>
    <w:rsid w:val="00474BF6"/>
    <w:rPr>
      <w:rFonts w:ascii="Calibri" w:hAnsi="Calibri"/>
      <w:bCs/>
      <w:iCs/>
      <w:sz w:val="22"/>
    </w:rPr>
  </w:style>
  <w:style w:type="paragraph" w:styleId="Revision">
    <w:name w:val="Revision"/>
    <w:hidden/>
    <w:uiPriority w:val="99"/>
    <w:semiHidden/>
    <w:rsid w:val="00A67AF1"/>
    <w:rPr>
      <w:rFonts w:asciiTheme="minorHAnsi" w:hAnsiTheme="minorHAnsi"/>
      <w:color w:val="000000"/>
    </w:rPr>
  </w:style>
  <w:style w:type="character" w:styleId="UnresolvedMention">
    <w:name w:val="Unresolved Mention"/>
    <w:basedOn w:val="DefaultParagraphFont"/>
    <w:uiPriority w:val="99"/>
    <w:semiHidden/>
    <w:unhideWhenUsed/>
    <w:rsid w:val="0074486D"/>
    <w:rPr>
      <w:color w:val="605E5C"/>
      <w:shd w:val="clear" w:color="auto" w:fill="E1DFDD"/>
    </w:rPr>
  </w:style>
  <w:style w:type="paragraph" w:customStyle="1" w:styleId="Table">
    <w:name w:val="Table"/>
    <w:basedOn w:val="TableMainHeading"/>
    <w:link w:val="TableChar"/>
    <w:qFormat/>
    <w:rsid w:val="004D449F"/>
    <w:pPr>
      <w:keepLines/>
      <w:spacing w:before="0"/>
    </w:pPr>
    <w:rPr>
      <w:color w:val="4F81BD" w:themeColor="accent1"/>
    </w:rPr>
  </w:style>
  <w:style w:type="paragraph" w:customStyle="1" w:styleId="Box">
    <w:name w:val="Box"/>
    <w:basedOn w:val="BoxHeading"/>
    <w:link w:val="BoxChar"/>
    <w:qFormat/>
    <w:rsid w:val="00717B61"/>
    <w:pPr>
      <w:spacing w:before="240"/>
    </w:pPr>
    <w:rPr>
      <w:color w:val="000000"/>
    </w:rPr>
  </w:style>
  <w:style w:type="character" w:customStyle="1" w:styleId="HeadingBaseChar">
    <w:name w:val="Heading Base Char"/>
    <w:basedOn w:val="DefaultParagraphFont"/>
    <w:link w:val="HeadingBase"/>
    <w:rsid w:val="007B48B3"/>
    <w:rPr>
      <w:rFonts w:ascii="Calibri" w:hAnsi="Calibri"/>
      <w:color w:val="4F6772"/>
    </w:rPr>
  </w:style>
  <w:style w:type="character" w:customStyle="1" w:styleId="TableMainHeadingChar">
    <w:name w:val="Table Main Heading Char"/>
    <w:basedOn w:val="HeadingBaseChar"/>
    <w:link w:val="TableMainHeading"/>
    <w:rsid w:val="00257433"/>
    <w:rPr>
      <w:rFonts w:ascii="Calibri" w:hAnsi="Calibri"/>
      <w:b/>
      <w:color w:val="4F6772"/>
      <w:sz w:val="22"/>
    </w:rPr>
  </w:style>
  <w:style w:type="character" w:customStyle="1" w:styleId="TableChar">
    <w:name w:val="Table Char"/>
    <w:basedOn w:val="TableMainHeadingChar"/>
    <w:link w:val="Table"/>
    <w:rsid w:val="004D449F"/>
    <w:rPr>
      <w:rFonts w:ascii="Calibri" w:hAnsi="Calibri"/>
      <w:b/>
      <w:color w:val="4F81BD" w:themeColor="accent1"/>
      <w:sz w:val="22"/>
    </w:rPr>
  </w:style>
  <w:style w:type="paragraph" w:customStyle="1" w:styleId="BOXES">
    <w:name w:val="BOXES"/>
    <w:aliases w:val="CHARTS AND FIGURES"/>
    <w:basedOn w:val="Box"/>
    <w:link w:val="BOXESChar"/>
    <w:qFormat/>
    <w:rsid w:val="0011132A"/>
  </w:style>
  <w:style w:type="character" w:customStyle="1" w:styleId="BoxHeadingChar">
    <w:name w:val="Box Heading Char"/>
    <w:basedOn w:val="HeadingBaseChar"/>
    <w:link w:val="BoxHeading"/>
    <w:rsid w:val="003F0677"/>
    <w:rPr>
      <w:rFonts w:ascii="Calibri" w:hAnsi="Calibri"/>
      <w:b/>
      <w:color w:val="4F6772"/>
      <w:sz w:val="28"/>
    </w:rPr>
  </w:style>
  <w:style w:type="character" w:customStyle="1" w:styleId="BoxChar">
    <w:name w:val="Box Char"/>
    <w:basedOn w:val="BoxHeadingChar"/>
    <w:link w:val="Box"/>
    <w:rsid w:val="00717B61"/>
    <w:rPr>
      <w:rFonts w:ascii="Calibri" w:hAnsi="Calibri"/>
      <w:b/>
      <w:color w:val="000000"/>
      <w:sz w:val="28"/>
    </w:rPr>
  </w:style>
  <w:style w:type="paragraph" w:customStyle="1" w:styleId="Charts">
    <w:name w:val="Charts"/>
    <w:basedOn w:val="Normal"/>
    <w:link w:val="ChartsChar"/>
    <w:qFormat/>
    <w:rsid w:val="0011132A"/>
    <w:rPr>
      <w:noProof/>
    </w:rPr>
  </w:style>
  <w:style w:type="character" w:customStyle="1" w:styleId="BOXESChar">
    <w:name w:val="BOXES Char"/>
    <w:aliases w:val="CHARTS AND FIGURES Char"/>
    <w:basedOn w:val="BoxChar"/>
    <w:link w:val="BOXES"/>
    <w:rsid w:val="0011132A"/>
    <w:rPr>
      <w:rFonts w:ascii="Calibri" w:hAnsi="Calibri"/>
      <w:b/>
      <w:color w:val="000000"/>
      <w:sz w:val="28"/>
    </w:rPr>
  </w:style>
  <w:style w:type="paragraph" w:customStyle="1" w:styleId="CHART">
    <w:name w:val="CHART"/>
    <w:basedOn w:val="Charts"/>
    <w:link w:val="CHARTChar"/>
    <w:qFormat/>
    <w:rsid w:val="00BF274E"/>
  </w:style>
  <w:style w:type="character" w:customStyle="1" w:styleId="ChartsChar">
    <w:name w:val="Charts Char"/>
    <w:basedOn w:val="DefaultParagraphFont"/>
    <w:link w:val="Charts"/>
    <w:rsid w:val="0011132A"/>
    <w:rPr>
      <w:rFonts w:asciiTheme="minorHAnsi" w:hAnsiTheme="minorHAnsi"/>
      <w:noProof/>
      <w:color w:val="000000"/>
    </w:rPr>
  </w:style>
  <w:style w:type="character" w:customStyle="1" w:styleId="CHARTChar">
    <w:name w:val="CHART Char"/>
    <w:basedOn w:val="ChartsChar"/>
    <w:link w:val="CHART"/>
    <w:rsid w:val="00BF274E"/>
    <w:rPr>
      <w:rFonts w:asciiTheme="minorHAnsi" w:hAnsiTheme="minorHAnsi"/>
      <w:noProof/>
      <w:color w:val="000000"/>
    </w:rPr>
  </w:style>
  <w:style w:type="paragraph" w:styleId="Caption">
    <w:name w:val="caption"/>
    <w:basedOn w:val="Normal"/>
    <w:next w:val="Normal"/>
    <w:unhideWhenUsed/>
    <w:rsid w:val="00383606"/>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BF64DA"/>
    <w:pPr>
      <w:spacing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8508">
      <w:bodyDiv w:val="1"/>
      <w:marLeft w:val="0"/>
      <w:marRight w:val="0"/>
      <w:marTop w:val="0"/>
      <w:marBottom w:val="0"/>
      <w:divBdr>
        <w:top w:val="none" w:sz="0" w:space="0" w:color="auto"/>
        <w:left w:val="none" w:sz="0" w:space="0" w:color="auto"/>
        <w:bottom w:val="none" w:sz="0" w:space="0" w:color="auto"/>
        <w:right w:val="none" w:sz="0" w:space="0" w:color="auto"/>
      </w:divBdr>
    </w:div>
    <w:div w:id="191655638">
      <w:bodyDiv w:val="1"/>
      <w:marLeft w:val="0"/>
      <w:marRight w:val="0"/>
      <w:marTop w:val="0"/>
      <w:marBottom w:val="0"/>
      <w:divBdr>
        <w:top w:val="none" w:sz="0" w:space="0" w:color="auto"/>
        <w:left w:val="none" w:sz="0" w:space="0" w:color="auto"/>
        <w:bottom w:val="none" w:sz="0" w:space="0" w:color="auto"/>
        <w:right w:val="none" w:sz="0" w:space="0" w:color="auto"/>
      </w:divBdr>
    </w:div>
    <w:div w:id="197359320">
      <w:bodyDiv w:val="1"/>
      <w:marLeft w:val="0"/>
      <w:marRight w:val="0"/>
      <w:marTop w:val="0"/>
      <w:marBottom w:val="0"/>
      <w:divBdr>
        <w:top w:val="none" w:sz="0" w:space="0" w:color="auto"/>
        <w:left w:val="none" w:sz="0" w:space="0" w:color="auto"/>
        <w:bottom w:val="none" w:sz="0" w:space="0" w:color="auto"/>
        <w:right w:val="none" w:sz="0" w:space="0" w:color="auto"/>
      </w:divBdr>
    </w:div>
    <w:div w:id="256063121">
      <w:bodyDiv w:val="1"/>
      <w:marLeft w:val="0"/>
      <w:marRight w:val="0"/>
      <w:marTop w:val="0"/>
      <w:marBottom w:val="0"/>
      <w:divBdr>
        <w:top w:val="none" w:sz="0" w:space="0" w:color="auto"/>
        <w:left w:val="none" w:sz="0" w:space="0" w:color="auto"/>
        <w:bottom w:val="none" w:sz="0" w:space="0" w:color="auto"/>
        <w:right w:val="none" w:sz="0" w:space="0" w:color="auto"/>
      </w:divBdr>
    </w:div>
    <w:div w:id="261841375">
      <w:bodyDiv w:val="1"/>
      <w:marLeft w:val="0"/>
      <w:marRight w:val="0"/>
      <w:marTop w:val="0"/>
      <w:marBottom w:val="0"/>
      <w:divBdr>
        <w:top w:val="none" w:sz="0" w:space="0" w:color="auto"/>
        <w:left w:val="none" w:sz="0" w:space="0" w:color="auto"/>
        <w:bottom w:val="none" w:sz="0" w:space="0" w:color="auto"/>
        <w:right w:val="none" w:sz="0" w:space="0" w:color="auto"/>
      </w:divBdr>
    </w:div>
    <w:div w:id="288434754">
      <w:bodyDiv w:val="1"/>
      <w:marLeft w:val="0"/>
      <w:marRight w:val="0"/>
      <w:marTop w:val="0"/>
      <w:marBottom w:val="0"/>
      <w:divBdr>
        <w:top w:val="none" w:sz="0" w:space="0" w:color="auto"/>
        <w:left w:val="none" w:sz="0" w:space="0" w:color="auto"/>
        <w:bottom w:val="none" w:sz="0" w:space="0" w:color="auto"/>
        <w:right w:val="none" w:sz="0" w:space="0" w:color="auto"/>
      </w:divBdr>
    </w:div>
    <w:div w:id="438182366">
      <w:bodyDiv w:val="1"/>
      <w:marLeft w:val="0"/>
      <w:marRight w:val="0"/>
      <w:marTop w:val="0"/>
      <w:marBottom w:val="0"/>
      <w:divBdr>
        <w:top w:val="none" w:sz="0" w:space="0" w:color="auto"/>
        <w:left w:val="none" w:sz="0" w:space="0" w:color="auto"/>
        <w:bottom w:val="none" w:sz="0" w:space="0" w:color="auto"/>
        <w:right w:val="none" w:sz="0" w:space="0" w:color="auto"/>
      </w:divBdr>
    </w:div>
    <w:div w:id="512569980">
      <w:bodyDiv w:val="1"/>
      <w:marLeft w:val="0"/>
      <w:marRight w:val="0"/>
      <w:marTop w:val="0"/>
      <w:marBottom w:val="0"/>
      <w:divBdr>
        <w:top w:val="none" w:sz="0" w:space="0" w:color="auto"/>
        <w:left w:val="none" w:sz="0" w:space="0" w:color="auto"/>
        <w:bottom w:val="none" w:sz="0" w:space="0" w:color="auto"/>
        <w:right w:val="none" w:sz="0" w:space="0" w:color="auto"/>
      </w:divBdr>
    </w:div>
    <w:div w:id="516163830">
      <w:bodyDiv w:val="1"/>
      <w:marLeft w:val="0"/>
      <w:marRight w:val="0"/>
      <w:marTop w:val="0"/>
      <w:marBottom w:val="0"/>
      <w:divBdr>
        <w:top w:val="none" w:sz="0" w:space="0" w:color="auto"/>
        <w:left w:val="none" w:sz="0" w:space="0" w:color="auto"/>
        <w:bottom w:val="none" w:sz="0" w:space="0" w:color="auto"/>
        <w:right w:val="none" w:sz="0" w:space="0" w:color="auto"/>
      </w:divBdr>
    </w:div>
    <w:div w:id="610630684">
      <w:bodyDiv w:val="1"/>
      <w:marLeft w:val="0"/>
      <w:marRight w:val="0"/>
      <w:marTop w:val="0"/>
      <w:marBottom w:val="0"/>
      <w:divBdr>
        <w:top w:val="none" w:sz="0" w:space="0" w:color="auto"/>
        <w:left w:val="none" w:sz="0" w:space="0" w:color="auto"/>
        <w:bottom w:val="none" w:sz="0" w:space="0" w:color="auto"/>
        <w:right w:val="none" w:sz="0" w:space="0" w:color="auto"/>
      </w:divBdr>
    </w:div>
    <w:div w:id="665593298">
      <w:bodyDiv w:val="1"/>
      <w:marLeft w:val="0"/>
      <w:marRight w:val="0"/>
      <w:marTop w:val="0"/>
      <w:marBottom w:val="0"/>
      <w:divBdr>
        <w:top w:val="none" w:sz="0" w:space="0" w:color="auto"/>
        <w:left w:val="none" w:sz="0" w:space="0" w:color="auto"/>
        <w:bottom w:val="none" w:sz="0" w:space="0" w:color="auto"/>
        <w:right w:val="none" w:sz="0" w:space="0" w:color="auto"/>
      </w:divBdr>
    </w:div>
    <w:div w:id="672300404">
      <w:bodyDiv w:val="1"/>
      <w:marLeft w:val="0"/>
      <w:marRight w:val="0"/>
      <w:marTop w:val="0"/>
      <w:marBottom w:val="0"/>
      <w:divBdr>
        <w:top w:val="none" w:sz="0" w:space="0" w:color="auto"/>
        <w:left w:val="none" w:sz="0" w:space="0" w:color="auto"/>
        <w:bottom w:val="none" w:sz="0" w:space="0" w:color="auto"/>
        <w:right w:val="none" w:sz="0" w:space="0" w:color="auto"/>
      </w:divBdr>
    </w:div>
    <w:div w:id="673923617">
      <w:bodyDiv w:val="1"/>
      <w:marLeft w:val="0"/>
      <w:marRight w:val="0"/>
      <w:marTop w:val="0"/>
      <w:marBottom w:val="0"/>
      <w:divBdr>
        <w:top w:val="none" w:sz="0" w:space="0" w:color="auto"/>
        <w:left w:val="none" w:sz="0" w:space="0" w:color="auto"/>
        <w:bottom w:val="none" w:sz="0" w:space="0" w:color="auto"/>
        <w:right w:val="none" w:sz="0" w:space="0" w:color="auto"/>
      </w:divBdr>
    </w:div>
    <w:div w:id="876622720">
      <w:bodyDiv w:val="1"/>
      <w:marLeft w:val="0"/>
      <w:marRight w:val="0"/>
      <w:marTop w:val="0"/>
      <w:marBottom w:val="0"/>
      <w:divBdr>
        <w:top w:val="none" w:sz="0" w:space="0" w:color="auto"/>
        <w:left w:val="none" w:sz="0" w:space="0" w:color="auto"/>
        <w:bottom w:val="none" w:sz="0" w:space="0" w:color="auto"/>
        <w:right w:val="none" w:sz="0" w:space="0" w:color="auto"/>
      </w:divBdr>
    </w:div>
    <w:div w:id="930546562">
      <w:bodyDiv w:val="1"/>
      <w:marLeft w:val="0"/>
      <w:marRight w:val="0"/>
      <w:marTop w:val="0"/>
      <w:marBottom w:val="0"/>
      <w:divBdr>
        <w:top w:val="none" w:sz="0" w:space="0" w:color="auto"/>
        <w:left w:val="none" w:sz="0" w:space="0" w:color="auto"/>
        <w:bottom w:val="none" w:sz="0" w:space="0" w:color="auto"/>
        <w:right w:val="none" w:sz="0" w:space="0" w:color="auto"/>
      </w:divBdr>
    </w:div>
    <w:div w:id="999038497">
      <w:bodyDiv w:val="1"/>
      <w:marLeft w:val="0"/>
      <w:marRight w:val="0"/>
      <w:marTop w:val="0"/>
      <w:marBottom w:val="0"/>
      <w:divBdr>
        <w:top w:val="none" w:sz="0" w:space="0" w:color="auto"/>
        <w:left w:val="none" w:sz="0" w:space="0" w:color="auto"/>
        <w:bottom w:val="none" w:sz="0" w:space="0" w:color="auto"/>
        <w:right w:val="none" w:sz="0" w:space="0" w:color="auto"/>
      </w:divBdr>
    </w:div>
    <w:div w:id="1037320420">
      <w:bodyDiv w:val="1"/>
      <w:marLeft w:val="0"/>
      <w:marRight w:val="0"/>
      <w:marTop w:val="0"/>
      <w:marBottom w:val="0"/>
      <w:divBdr>
        <w:top w:val="none" w:sz="0" w:space="0" w:color="auto"/>
        <w:left w:val="none" w:sz="0" w:space="0" w:color="auto"/>
        <w:bottom w:val="none" w:sz="0" w:space="0" w:color="auto"/>
        <w:right w:val="none" w:sz="0" w:space="0" w:color="auto"/>
      </w:divBdr>
    </w:div>
    <w:div w:id="1088384751">
      <w:bodyDiv w:val="1"/>
      <w:marLeft w:val="0"/>
      <w:marRight w:val="0"/>
      <w:marTop w:val="0"/>
      <w:marBottom w:val="0"/>
      <w:divBdr>
        <w:top w:val="none" w:sz="0" w:space="0" w:color="auto"/>
        <w:left w:val="none" w:sz="0" w:space="0" w:color="auto"/>
        <w:bottom w:val="none" w:sz="0" w:space="0" w:color="auto"/>
        <w:right w:val="none" w:sz="0" w:space="0" w:color="auto"/>
      </w:divBdr>
    </w:div>
    <w:div w:id="1135416910">
      <w:bodyDiv w:val="1"/>
      <w:marLeft w:val="0"/>
      <w:marRight w:val="0"/>
      <w:marTop w:val="0"/>
      <w:marBottom w:val="0"/>
      <w:divBdr>
        <w:top w:val="none" w:sz="0" w:space="0" w:color="auto"/>
        <w:left w:val="none" w:sz="0" w:space="0" w:color="auto"/>
        <w:bottom w:val="none" w:sz="0" w:space="0" w:color="auto"/>
        <w:right w:val="none" w:sz="0" w:space="0" w:color="auto"/>
      </w:divBdr>
    </w:div>
    <w:div w:id="1177236355">
      <w:bodyDiv w:val="1"/>
      <w:marLeft w:val="0"/>
      <w:marRight w:val="0"/>
      <w:marTop w:val="0"/>
      <w:marBottom w:val="0"/>
      <w:divBdr>
        <w:top w:val="none" w:sz="0" w:space="0" w:color="auto"/>
        <w:left w:val="none" w:sz="0" w:space="0" w:color="auto"/>
        <w:bottom w:val="none" w:sz="0" w:space="0" w:color="auto"/>
        <w:right w:val="none" w:sz="0" w:space="0" w:color="auto"/>
      </w:divBdr>
    </w:div>
    <w:div w:id="1178806656">
      <w:bodyDiv w:val="1"/>
      <w:marLeft w:val="0"/>
      <w:marRight w:val="0"/>
      <w:marTop w:val="0"/>
      <w:marBottom w:val="0"/>
      <w:divBdr>
        <w:top w:val="none" w:sz="0" w:space="0" w:color="auto"/>
        <w:left w:val="none" w:sz="0" w:space="0" w:color="auto"/>
        <w:bottom w:val="none" w:sz="0" w:space="0" w:color="auto"/>
        <w:right w:val="none" w:sz="0" w:space="0" w:color="auto"/>
      </w:divBdr>
    </w:div>
    <w:div w:id="1278829102">
      <w:bodyDiv w:val="1"/>
      <w:marLeft w:val="0"/>
      <w:marRight w:val="0"/>
      <w:marTop w:val="0"/>
      <w:marBottom w:val="0"/>
      <w:divBdr>
        <w:top w:val="none" w:sz="0" w:space="0" w:color="auto"/>
        <w:left w:val="none" w:sz="0" w:space="0" w:color="auto"/>
        <w:bottom w:val="none" w:sz="0" w:space="0" w:color="auto"/>
        <w:right w:val="none" w:sz="0" w:space="0" w:color="auto"/>
      </w:divBdr>
    </w:div>
    <w:div w:id="1286738176">
      <w:bodyDiv w:val="1"/>
      <w:marLeft w:val="0"/>
      <w:marRight w:val="0"/>
      <w:marTop w:val="0"/>
      <w:marBottom w:val="0"/>
      <w:divBdr>
        <w:top w:val="none" w:sz="0" w:space="0" w:color="auto"/>
        <w:left w:val="none" w:sz="0" w:space="0" w:color="auto"/>
        <w:bottom w:val="none" w:sz="0" w:space="0" w:color="auto"/>
        <w:right w:val="none" w:sz="0" w:space="0" w:color="auto"/>
      </w:divBdr>
    </w:div>
    <w:div w:id="1332681408">
      <w:bodyDiv w:val="1"/>
      <w:marLeft w:val="0"/>
      <w:marRight w:val="0"/>
      <w:marTop w:val="0"/>
      <w:marBottom w:val="0"/>
      <w:divBdr>
        <w:top w:val="none" w:sz="0" w:space="0" w:color="auto"/>
        <w:left w:val="none" w:sz="0" w:space="0" w:color="auto"/>
        <w:bottom w:val="none" w:sz="0" w:space="0" w:color="auto"/>
        <w:right w:val="none" w:sz="0" w:space="0" w:color="auto"/>
      </w:divBdr>
    </w:div>
    <w:div w:id="1352219376">
      <w:bodyDiv w:val="1"/>
      <w:marLeft w:val="0"/>
      <w:marRight w:val="0"/>
      <w:marTop w:val="0"/>
      <w:marBottom w:val="0"/>
      <w:divBdr>
        <w:top w:val="none" w:sz="0" w:space="0" w:color="auto"/>
        <w:left w:val="none" w:sz="0" w:space="0" w:color="auto"/>
        <w:bottom w:val="none" w:sz="0" w:space="0" w:color="auto"/>
        <w:right w:val="none" w:sz="0" w:space="0" w:color="auto"/>
      </w:divBdr>
    </w:div>
    <w:div w:id="1408071549">
      <w:bodyDiv w:val="1"/>
      <w:marLeft w:val="0"/>
      <w:marRight w:val="0"/>
      <w:marTop w:val="0"/>
      <w:marBottom w:val="0"/>
      <w:divBdr>
        <w:top w:val="none" w:sz="0" w:space="0" w:color="auto"/>
        <w:left w:val="none" w:sz="0" w:space="0" w:color="auto"/>
        <w:bottom w:val="none" w:sz="0" w:space="0" w:color="auto"/>
        <w:right w:val="none" w:sz="0" w:space="0" w:color="auto"/>
      </w:divBdr>
    </w:div>
    <w:div w:id="1496654069">
      <w:bodyDiv w:val="1"/>
      <w:marLeft w:val="0"/>
      <w:marRight w:val="0"/>
      <w:marTop w:val="0"/>
      <w:marBottom w:val="0"/>
      <w:divBdr>
        <w:top w:val="none" w:sz="0" w:space="0" w:color="auto"/>
        <w:left w:val="none" w:sz="0" w:space="0" w:color="auto"/>
        <w:bottom w:val="none" w:sz="0" w:space="0" w:color="auto"/>
        <w:right w:val="none" w:sz="0" w:space="0" w:color="auto"/>
      </w:divBdr>
      <w:divsChild>
        <w:div w:id="1442139841">
          <w:marLeft w:val="-225"/>
          <w:marRight w:val="-225"/>
          <w:marTop w:val="0"/>
          <w:marBottom w:val="0"/>
          <w:divBdr>
            <w:top w:val="none" w:sz="0" w:space="0" w:color="auto"/>
            <w:left w:val="none" w:sz="0" w:space="0" w:color="auto"/>
            <w:bottom w:val="none" w:sz="0" w:space="0" w:color="auto"/>
            <w:right w:val="none" w:sz="0" w:space="0" w:color="auto"/>
          </w:divBdr>
          <w:divsChild>
            <w:div w:id="149488885">
              <w:marLeft w:val="0"/>
              <w:marRight w:val="0"/>
              <w:marTop w:val="0"/>
              <w:marBottom w:val="0"/>
              <w:divBdr>
                <w:top w:val="none" w:sz="0" w:space="0" w:color="auto"/>
                <w:left w:val="none" w:sz="0" w:space="0" w:color="auto"/>
                <w:bottom w:val="none" w:sz="0" w:space="0" w:color="auto"/>
                <w:right w:val="none" w:sz="0" w:space="0" w:color="auto"/>
              </w:divBdr>
            </w:div>
            <w:div w:id="949095030">
              <w:marLeft w:val="0"/>
              <w:marRight w:val="0"/>
              <w:marTop w:val="0"/>
              <w:marBottom w:val="0"/>
              <w:divBdr>
                <w:top w:val="none" w:sz="0" w:space="0" w:color="auto"/>
                <w:left w:val="none" w:sz="0" w:space="0" w:color="auto"/>
                <w:bottom w:val="none" w:sz="0" w:space="0" w:color="auto"/>
                <w:right w:val="none" w:sz="0" w:space="0" w:color="auto"/>
              </w:divBdr>
            </w:div>
          </w:divsChild>
        </w:div>
        <w:div w:id="967592564">
          <w:marLeft w:val="-225"/>
          <w:marRight w:val="-225"/>
          <w:marTop w:val="0"/>
          <w:marBottom w:val="0"/>
          <w:divBdr>
            <w:top w:val="none" w:sz="0" w:space="0" w:color="auto"/>
            <w:left w:val="none" w:sz="0" w:space="0" w:color="auto"/>
            <w:bottom w:val="none" w:sz="0" w:space="0" w:color="auto"/>
            <w:right w:val="none" w:sz="0" w:space="0" w:color="auto"/>
          </w:divBdr>
          <w:divsChild>
            <w:div w:id="1426147007">
              <w:marLeft w:val="0"/>
              <w:marRight w:val="0"/>
              <w:marTop w:val="0"/>
              <w:marBottom w:val="0"/>
              <w:divBdr>
                <w:top w:val="none" w:sz="0" w:space="0" w:color="auto"/>
                <w:left w:val="none" w:sz="0" w:space="0" w:color="auto"/>
                <w:bottom w:val="none" w:sz="0" w:space="0" w:color="auto"/>
                <w:right w:val="none" w:sz="0" w:space="0" w:color="auto"/>
              </w:divBdr>
            </w:div>
            <w:div w:id="811942344">
              <w:marLeft w:val="0"/>
              <w:marRight w:val="0"/>
              <w:marTop w:val="0"/>
              <w:marBottom w:val="0"/>
              <w:divBdr>
                <w:top w:val="none" w:sz="0" w:space="0" w:color="auto"/>
                <w:left w:val="none" w:sz="0" w:space="0" w:color="auto"/>
                <w:bottom w:val="none" w:sz="0" w:space="0" w:color="auto"/>
                <w:right w:val="none" w:sz="0" w:space="0" w:color="auto"/>
              </w:divBdr>
            </w:div>
          </w:divsChild>
        </w:div>
        <w:div w:id="75053731">
          <w:marLeft w:val="-225"/>
          <w:marRight w:val="-225"/>
          <w:marTop w:val="0"/>
          <w:marBottom w:val="0"/>
          <w:divBdr>
            <w:top w:val="none" w:sz="0" w:space="0" w:color="auto"/>
            <w:left w:val="none" w:sz="0" w:space="0" w:color="auto"/>
            <w:bottom w:val="none" w:sz="0" w:space="0" w:color="auto"/>
            <w:right w:val="none" w:sz="0" w:space="0" w:color="auto"/>
          </w:divBdr>
          <w:divsChild>
            <w:div w:id="1753235744">
              <w:marLeft w:val="0"/>
              <w:marRight w:val="0"/>
              <w:marTop w:val="0"/>
              <w:marBottom w:val="0"/>
              <w:divBdr>
                <w:top w:val="none" w:sz="0" w:space="0" w:color="auto"/>
                <w:left w:val="none" w:sz="0" w:space="0" w:color="auto"/>
                <w:bottom w:val="none" w:sz="0" w:space="0" w:color="auto"/>
                <w:right w:val="none" w:sz="0" w:space="0" w:color="auto"/>
              </w:divBdr>
            </w:div>
            <w:div w:id="255133406">
              <w:marLeft w:val="0"/>
              <w:marRight w:val="0"/>
              <w:marTop w:val="0"/>
              <w:marBottom w:val="0"/>
              <w:divBdr>
                <w:top w:val="none" w:sz="0" w:space="0" w:color="auto"/>
                <w:left w:val="none" w:sz="0" w:space="0" w:color="auto"/>
                <w:bottom w:val="none" w:sz="0" w:space="0" w:color="auto"/>
                <w:right w:val="none" w:sz="0" w:space="0" w:color="auto"/>
              </w:divBdr>
            </w:div>
          </w:divsChild>
        </w:div>
        <w:div w:id="1050760802">
          <w:marLeft w:val="-225"/>
          <w:marRight w:val="-225"/>
          <w:marTop w:val="0"/>
          <w:marBottom w:val="0"/>
          <w:divBdr>
            <w:top w:val="none" w:sz="0" w:space="0" w:color="auto"/>
            <w:left w:val="none" w:sz="0" w:space="0" w:color="auto"/>
            <w:bottom w:val="none" w:sz="0" w:space="0" w:color="auto"/>
            <w:right w:val="none" w:sz="0" w:space="0" w:color="auto"/>
          </w:divBdr>
          <w:divsChild>
            <w:div w:id="669452107">
              <w:marLeft w:val="0"/>
              <w:marRight w:val="0"/>
              <w:marTop w:val="0"/>
              <w:marBottom w:val="0"/>
              <w:divBdr>
                <w:top w:val="none" w:sz="0" w:space="0" w:color="auto"/>
                <w:left w:val="none" w:sz="0" w:space="0" w:color="auto"/>
                <w:bottom w:val="none" w:sz="0" w:space="0" w:color="auto"/>
                <w:right w:val="none" w:sz="0" w:space="0" w:color="auto"/>
              </w:divBdr>
            </w:div>
            <w:div w:id="1472136124">
              <w:marLeft w:val="0"/>
              <w:marRight w:val="0"/>
              <w:marTop w:val="0"/>
              <w:marBottom w:val="0"/>
              <w:divBdr>
                <w:top w:val="none" w:sz="0" w:space="0" w:color="auto"/>
                <w:left w:val="none" w:sz="0" w:space="0" w:color="auto"/>
                <w:bottom w:val="none" w:sz="0" w:space="0" w:color="auto"/>
                <w:right w:val="none" w:sz="0" w:space="0" w:color="auto"/>
              </w:divBdr>
            </w:div>
          </w:divsChild>
        </w:div>
        <w:div w:id="1744984671">
          <w:marLeft w:val="-225"/>
          <w:marRight w:val="-225"/>
          <w:marTop w:val="0"/>
          <w:marBottom w:val="0"/>
          <w:divBdr>
            <w:top w:val="none" w:sz="0" w:space="0" w:color="auto"/>
            <w:left w:val="none" w:sz="0" w:space="0" w:color="auto"/>
            <w:bottom w:val="none" w:sz="0" w:space="0" w:color="auto"/>
            <w:right w:val="none" w:sz="0" w:space="0" w:color="auto"/>
          </w:divBdr>
          <w:divsChild>
            <w:div w:id="391005386">
              <w:marLeft w:val="0"/>
              <w:marRight w:val="0"/>
              <w:marTop w:val="0"/>
              <w:marBottom w:val="0"/>
              <w:divBdr>
                <w:top w:val="none" w:sz="0" w:space="0" w:color="auto"/>
                <w:left w:val="none" w:sz="0" w:space="0" w:color="auto"/>
                <w:bottom w:val="none" w:sz="0" w:space="0" w:color="auto"/>
                <w:right w:val="none" w:sz="0" w:space="0" w:color="auto"/>
              </w:divBdr>
            </w:div>
            <w:div w:id="607664391">
              <w:marLeft w:val="0"/>
              <w:marRight w:val="0"/>
              <w:marTop w:val="0"/>
              <w:marBottom w:val="0"/>
              <w:divBdr>
                <w:top w:val="none" w:sz="0" w:space="0" w:color="auto"/>
                <w:left w:val="none" w:sz="0" w:space="0" w:color="auto"/>
                <w:bottom w:val="none" w:sz="0" w:space="0" w:color="auto"/>
                <w:right w:val="none" w:sz="0" w:space="0" w:color="auto"/>
              </w:divBdr>
            </w:div>
          </w:divsChild>
        </w:div>
        <w:div w:id="2036885724">
          <w:marLeft w:val="-225"/>
          <w:marRight w:val="-225"/>
          <w:marTop w:val="0"/>
          <w:marBottom w:val="0"/>
          <w:divBdr>
            <w:top w:val="none" w:sz="0" w:space="0" w:color="auto"/>
            <w:left w:val="none" w:sz="0" w:space="0" w:color="auto"/>
            <w:bottom w:val="none" w:sz="0" w:space="0" w:color="auto"/>
            <w:right w:val="none" w:sz="0" w:space="0" w:color="auto"/>
          </w:divBdr>
          <w:divsChild>
            <w:div w:id="297615556">
              <w:marLeft w:val="0"/>
              <w:marRight w:val="0"/>
              <w:marTop w:val="0"/>
              <w:marBottom w:val="0"/>
              <w:divBdr>
                <w:top w:val="none" w:sz="0" w:space="0" w:color="auto"/>
                <w:left w:val="none" w:sz="0" w:space="0" w:color="auto"/>
                <w:bottom w:val="none" w:sz="0" w:space="0" w:color="auto"/>
                <w:right w:val="none" w:sz="0" w:space="0" w:color="auto"/>
              </w:divBdr>
            </w:div>
            <w:div w:id="988629881">
              <w:marLeft w:val="0"/>
              <w:marRight w:val="0"/>
              <w:marTop w:val="0"/>
              <w:marBottom w:val="0"/>
              <w:divBdr>
                <w:top w:val="none" w:sz="0" w:space="0" w:color="auto"/>
                <w:left w:val="none" w:sz="0" w:space="0" w:color="auto"/>
                <w:bottom w:val="none" w:sz="0" w:space="0" w:color="auto"/>
                <w:right w:val="none" w:sz="0" w:space="0" w:color="auto"/>
              </w:divBdr>
            </w:div>
          </w:divsChild>
        </w:div>
        <w:div w:id="1489054061">
          <w:marLeft w:val="-225"/>
          <w:marRight w:val="-225"/>
          <w:marTop w:val="0"/>
          <w:marBottom w:val="0"/>
          <w:divBdr>
            <w:top w:val="none" w:sz="0" w:space="0" w:color="auto"/>
            <w:left w:val="none" w:sz="0" w:space="0" w:color="auto"/>
            <w:bottom w:val="none" w:sz="0" w:space="0" w:color="auto"/>
            <w:right w:val="none" w:sz="0" w:space="0" w:color="auto"/>
          </w:divBdr>
          <w:divsChild>
            <w:div w:id="1677534798">
              <w:marLeft w:val="0"/>
              <w:marRight w:val="0"/>
              <w:marTop w:val="0"/>
              <w:marBottom w:val="0"/>
              <w:divBdr>
                <w:top w:val="none" w:sz="0" w:space="0" w:color="auto"/>
                <w:left w:val="none" w:sz="0" w:space="0" w:color="auto"/>
                <w:bottom w:val="none" w:sz="0" w:space="0" w:color="auto"/>
                <w:right w:val="none" w:sz="0" w:space="0" w:color="auto"/>
              </w:divBdr>
            </w:div>
            <w:div w:id="3362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31782">
      <w:bodyDiv w:val="1"/>
      <w:marLeft w:val="0"/>
      <w:marRight w:val="0"/>
      <w:marTop w:val="0"/>
      <w:marBottom w:val="0"/>
      <w:divBdr>
        <w:top w:val="none" w:sz="0" w:space="0" w:color="auto"/>
        <w:left w:val="none" w:sz="0" w:space="0" w:color="auto"/>
        <w:bottom w:val="none" w:sz="0" w:space="0" w:color="auto"/>
        <w:right w:val="none" w:sz="0" w:space="0" w:color="auto"/>
      </w:divBdr>
    </w:div>
    <w:div w:id="1622758718">
      <w:bodyDiv w:val="1"/>
      <w:marLeft w:val="0"/>
      <w:marRight w:val="0"/>
      <w:marTop w:val="0"/>
      <w:marBottom w:val="0"/>
      <w:divBdr>
        <w:top w:val="none" w:sz="0" w:space="0" w:color="auto"/>
        <w:left w:val="none" w:sz="0" w:space="0" w:color="auto"/>
        <w:bottom w:val="none" w:sz="0" w:space="0" w:color="auto"/>
        <w:right w:val="none" w:sz="0" w:space="0" w:color="auto"/>
      </w:divBdr>
    </w:div>
    <w:div w:id="1768576399">
      <w:bodyDiv w:val="1"/>
      <w:marLeft w:val="0"/>
      <w:marRight w:val="0"/>
      <w:marTop w:val="0"/>
      <w:marBottom w:val="0"/>
      <w:divBdr>
        <w:top w:val="none" w:sz="0" w:space="0" w:color="auto"/>
        <w:left w:val="none" w:sz="0" w:space="0" w:color="auto"/>
        <w:bottom w:val="none" w:sz="0" w:space="0" w:color="auto"/>
        <w:right w:val="none" w:sz="0" w:space="0" w:color="auto"/>
      </w:divBdr>
    </w:div>
    <w:div w:id="1774978166">
      <w:bodyDiv w:val="1"/>
      <w:marLeft w:val="0"/>
      <w:marRight w:val="0"/>
      <w:marTop w:val="0"/>
      <w:marBottom w:val="0"/>
      <w:divBdr>
        <w:top w:val="none" w:sz="0" w:space="0" w:color="auto"/>
        <w:left w:val="none" w:sz="0" w:space="0" w:color="auto"/>
        <w:bottom w:val="none" w:sz="0" w:space="0" w:color="auto"/>
        <w:right w:val="none" w:sz="0" w:space="0" w:color="auto"/>
      </w:divBdr>
    </w:div>
    <w:div w:id="1819149770">
      <w:bodyDiv w:val="1"/>
      <w:marLeft w:val="0"/>
      <w:marRight w:val="0"/>
      <w:marTop w:val="0"/>
      <w:marBottom w:val="0"/>
      <w:divBdr>
        <w:top w:val="none" w:sz="0" w:space="0" w:color="auto"/>
        <w:left w:val="none" w:sz="0" w:space="0" w:color="auto"/>
        <w:bottom w:val="none" w:sz="0" w:space="0" w:color="auto"/>
        <w:right w:val="none" w:sz="0" w:space="0" w:color="auto"/>
      </w:divBdr>
    </w:div>
    <w:div w:id="1834643060">
      <w:bodyDiv w:val="1"/>
      <w:marLeft w:val="0"/>
      <w:marRight w:val="0"/>
      <w:marTop w:val="0"/>
      <w:marBottom w:val="0"/>
      <w:divBdr>
        <w:top w:val="none" w:sz="0" w:space="0" w:color="auto"/>
        <w:left w:val="none" w:sz="0" w:space="0" w:color="auto"/>
        <w:bottom w:val="none" w:sz="0" w:space="0" w:color="auto"/>
        <w:right w:val="none" w:sz="0" w:space="0" w:color="auto"/>
      </w:divBdr>
    </w:div>
    <w:div w:id="1886214847">
      <w:bodyDiv w:val="1"/>
      <w:marLeft w:val="0"/>
      <w:marRight w:val="0"/>
      <w:marTop w:val="0"/>
      <w:marBottom w:val="0"/>
      <w:divBdr>
        <w:top w:val="none" w:sz="0" w:space="0" w:color="auto"/>
        <w:left w:val="none" w:sz="0" w:space="0" w:color="auto"/>
        <w:bottom w:val="none" w:sz="0" w:space="0" w:color="auto"/>
        <w:right w:val="none" w:sz="0" w:space="0" w:color="auto"/>
      </w:divBdr>
      <w:divsChild>
        <w:div w:id="310452922">
          <w:marLeft w:val="-225"/>
          <w:marRight w:val="-225"/>
          <w:marTop w:val="0"/>
          <w:marBottom w:val="0"/>
          <w:divBdr>
            <w:top w:val="none" w:sz="0" w:space="0" w:color="auto"/>
            <w:left w:val="none" w:sz="0" w:space="0" w:color="auto"/>
            <w:bottom w:val="none" w:sz="0" w:space="0" w:color="auto"/>
            <w:right w:val="none" w:sz="0" w:space="0" w:color="auto"/>
          </w:divBdr>
          <w:divsChild>
            <w:div w:id="964890401">
              <w:marLeft w:val="0"/>
              <w:marRight w:val="0"/>
              <w:marTop w:val="0"/>
              <w:marBottom w:val="0"/>
              <w:divBdr>
                <w:top w:val="none" w:sz="0" w:space="0" w:color="auto"/>
                <w:left w:val="none" w:sz="0" w:space="0" w:color="auto"/>
                <w:bottom w:val="none" w:sz="0" w:space="0" w:color="auto"/>
                <w:right w:val="none" w:sz="0" w:space="0" w:color="auto"/>
              </w:divBdr>
            </w:div>
            <w:div w:id="1774403315">
              <w:marLeft w:val="0"/>
              <w:marRight w:val="0"/>
              <w:marTop w:val="0"/>
              <w:marBottom w:val="0"/>
              <w:divBdr>
                <w:top w:val="none" w:sz="0" w:space="0" w:color="auto"/>
                <w:left w:val="none" w:sz="0" w:space="0" w:color="auto"/>
                <w:bottom w:val="none" w:sz="0" w:space="0" w:color="auto"/>
                <w:right w:val="none" w:sz="0" w:space="0" w:color="auto"/>
              </w:divBdr>
            </w:div>
          </w:divsChild>
        </w:div>
        <w:div w:id="663164307">
          <w:marLeft w:val="-225"/>
          <w:marRight w:val="-225"/>
          <w:marTop w:val="0"/>
          <w:marBottom w:val="0"/>
          <w:divBdr>
            <w:top w:val="none" w:sz="0" w:space="0" w:color="auto"/>
            <w:left w:val="none" w:sz="0" w:space="0" w:color="auto"/>
            <w:bottom w:val="none" w:sz="0" w:space="0" w:color="auto"/>
            <w:right w:val="none" w:sz="0" w:space="0" w:color="auto"/>
          </w:divBdr>
          <w:divsChild>
            <w:div w:id="1579439493">
              <w:marLeft w:val="0"/>
              <w:marRight w:val="0"/>
              <w:marTop w:val="0"/>
              <w:marBottom w:val="0"/>
              <w:divBdr>
                <w:top w:val="none" w:sz="0" w:space="0" w:color="auto"/>
                <w:left w:val="none" w:sz="0" w:space="0" w:color="auto"/>
                <w:bottom w:val="none" w:sz="0" w:space="0" w:color="auto"/>
                <w:right w:val="none" w:sz="0" w:space="0" w:color="auto"/>
              </w:divBdr>
            </w:div>
            <w:div w:id="1852142407">
              <w:marLeft w:val="0"/>
              <w:marRight w:val="0"/>
              <w:marTop w:val="0"/>
              <w:marBottom w:val="0"/>
              <w:divBdr>
                <w:top w:val="none" w:sz="0" w:space="0" w:color="auto"/>
                <w:left w:val="none" w:sz="0" w:space="0" w:color="auto"/>
                <w:bottom w:val="none" w:sz="0" w:space="0" w:color="auto"/>
                <w:right w:val="none" w:sz="0" w:space="0" w:color="auto"/>
              </w:divBdr>
            </w:div>
          </w:divsChild>
        </w:div>
        <w:div w:id="10883740">
          <w:marLeft w:val="-225"/>
          <w:marRight w:val="-225"/>
          <w:marTop w:val="0"/>
          <w:marBottom w:val="0"/>
          <w:divBdr>
            <w:top w:val="none" w:sz="0" w:space="0" w:color="auto"/>
            <w:left w:val="none" w:sz="0" w:space="0" w:color="auto"/>
            <w:bottom w:val="none" w:sz="0" w:space="0" w:color="auto"/>
            <w:right w:val="none" w:sz="0" w:space="0" w:color="auto"/>
          </w:divBdr>
          <w:divsChild>
            <w:div w:id="928386313">
              <w:marLeft w:val="0"/>
              <w:marRight w:val="0"/>
              <w:marTop w:val="0"/>
              <w:marBottom w:val="0"/>
              <w:divBdr>
                <w:top w:val="none" w:sz="0" w:space="0" w:color="auto"/>
                <w:left w:val="none" w:sz="0" w:space="0" w:color="auto"/>
                <w:bottom w:val="none" w:sz="0" w:space="0" w:color="auto"/>
                <w:right w:val="none" w:sz="0" w:space="0" w:color="auto"/>
              </w:divBdr>
            </w:div>
            <w:div w:id="205066735">
              <w:marLeft w:val="0"/>
              <w:marRight w:val="0"/>
              <w:marTop w:val="0"/>
              <w:marBottom w:val="0"/>
              <w:divBdr>
                <w:top w:val="none" w:sz="0" w:space="0" w:color="auto"/>
                <w:left w:val="none" w:sz="0" w:space="0" w:color="auto"/>
                <w:bottom w:val="none" w:sz="0" w:space="0" w:color="auto"/>
                <w:right w:val="none" w:sz="0" w:space="0" w:color="auto"/>
              </w:divBdr>
            </w:div>
          </w:divsChild>
        </w:div>
        <w:div w:id="1054354400">
          <w:marLeft w:val="-225"/>
          <w:marRight w:val="-225"/>
          <w:marTop w:val="0"/>
          <w:marBottom w:val="0"/>
          <w:divBdr>
            <w:top w:val="none" w:sz="0" w:space="0" w:color="auto"/>
            <w:left w:val="none" w:sz="0" w:space="0" w:color="auto"/>
            <w:bottom w:val="none" w:sz="0" w:space="0" w:color="auto"/>
            <w:right w:val="none" w:sz="0" w:space="0" w:color="auto"/>
          </w:divBdr>
          <w:divsChild>
            <w:div w:id="137576592">
              <w:marLeft w:val="0"/>
              <w:marRight w:val="0"/>
              <w:marTop w:val="0"/>
              <w:marBottom w:val="0"/>
              <w:divBdr>
                <w:top w:val="none" w:sz="0" w:space="0" w:color="auto"/>
                <w:left w:val="none" w:sz="0" w:space="0" w:color="auto"/>
                <w:bottom w:val="none" w:sz="0" w:space="0" w:color="auto"/>
                <w:right w:val="none" w:sz="0" w:space="0" w:color="auto"/>
              </w:divBdr>
            </w:div>
            <w:div w:id="1789621161">
              <w:marLeft w:val="0"/>
              <w:marRight w:val="0"/>
              <w:marTop w:val="0"/>
              <w:marBottom w:val="0"/>
              <w:divBdr>
                <w:top w:val="none" w:sz="0" w:space="0" w:color="auto"/>
                <w:left w:val="none" w:sz="0" w:space="0" w:color="auto"/>
                <w:bottom w:val="none" w:sz="0" w:space="0" w:color="auto"/>
                <w:right w:val="none" w:sz="0" w:space="0" w:color="auto"/>
              </w:divBdr>
            </w:div>
          </w:divsChild>
        </w:div>
        <w:div w:id="1141070820">
          <w:marLeft w:val="-225"/>
          <w:marRight w:val="-225"/>
          <w:marTop w:val="0"/>
          <w:marBottom w:val="0"/>
          <w:divBdr>
            <w:top w:val="none" w:sz="0" w:space="0" w:color="auto"/>
            <w:left w:val="none" w:sz="0" w:space="0" w:color="auto"/>
            <w:bottom w:val="none" w:sz="0" w:space="0" w:color="auto"/>
            <w:right w:val="none" w:sz="0" w:space="0" w:color="auto"/>
          </w:divBdr>
          <w:divsChild>
            <w:div w:id="1183587599">
              <w:marLeft w:val="0"/>
              <w:marRight w:val="0"/>
              <w:marTop w:val="0"/>
              <w:marBottom w:val="0"/>
              <w:divBdr>
                <w:top w:val="none" w:sz="0" w:space="0" w:color="auto"/>
                <w:left w:val="none" w:sz="0" w:space="0" w:color="auto"/>
                <w:bottom w:val="none" w:sz="0" w:space="0" w:color="auto"/>
                <w:right w:val="none" w:sz="0" w:space="0" w:color="auto"/>
              </w:divBdr>
            </w:div>
            <w:div w:id="1266842377">
              <w:marLeft w:val="0"/>
              <w:marRight w:val="0"/>
              <w:marTop w:val="0"/>
              <w:marBottom w:val="0"/>
              <w:divBdr>
                <w:top w:val="none" w:sz="0" w:space="0" w:color="auto"/>
                <w:left w:val="none" w:sz="0" w:space="0" w:color="auto"/>
                <w:bottom w:val="none" w:sz="0" w:space="0" w:color="auto"/>
                <w:right w:val="none" w:sz="0" w:space="0" w:color="auto"/>
              </w:divBdr>
            </w:div>
          </w:divsChild>
        </w:div>
        <w:div w:id="140580866">
          <w:marLeft w:val="-225"/>
          <w:marRight w:val="-225"/>
          <w:marTop w:val="0"/>
          <w:marBottom w:val="0"/>
          <w:divBdr>
            <w:top w:val="none" w:sz="0" w:space="0" w:color="auto"/>
            <w:left w:val="none" w:sz="0" w:space="0" w:color="auto"/>
            <w:bottom w:val="none" w:sz="0" w:space="0" w:color="auto"/>
            <w:right w:val="none" w:sz="0" w:space="0" w:color="auto"/>
          </w:divBdr>
          <w:divsChild>
            <w:div w:id="1568877208">
              <w:marLeft w:val="0"/>
              <w:marRight w:val="0"/>
              <w:marTop w:val="0"/>
              <w:marBottom w:val="0"/>
              <w:divBdr>
                <w:top w:val="none" w:sz="0" w:space="0" w:color="auto"/>
                <w:left w:val="none" w:sz="0" w:space="0" w:color="auto"/>
                <w:bottom w:val="none" w:sz="0" w:space="0" w:color="auto"/>
                <w:right w:val="none" w:sz="0" w:space="0" w:color="auto"/>
              </w:divBdr>
            </w:div>
            <w:div w:id="367607155">
              <w:marLeft w:val="0"/>
              <w:marRight w:val="0"/>
              <w:marTop w:val="0"/>
              <w:marBottom w:val="0"/>
              <w:divBdr>
                <w:top w:val="none" w:sz="0" w:space="0" w:color="auto"/>
                <w:left w:val="none" w:sz="0" w:space="0" w:color="auto"/>
                <w:bottom w:val="none" w:sz="0" w:space="0" w:color="auto"/>
                <w:right w:val="none" w:sz="0" w:space="0" w:color="auto"/>
              </w:divBdr>
            </w:div>
          </w:divsChild>
        </w:div>
        <w:div w:id="2092001811">
          <w:marLeft w:val="-225"/>
          <w:marRight w:val="-225"/>
          <w:marTop w:val="0"/>
          <w:marBottom w:val="0"/>
          <w:divBdr>
            <w:top w:val="none" w:sz="0" w:space="0" w:color="auto"/>
            <w:left w:val="none" w:sz="0" w:space="0" w:color="auto"/>
            <w:bottom w:val="none" w:sz="0" w:space="0" w:color="auto"/>
            <w:right w:val="none" w:sz="0" w:space="0" w:color="auto"/>
          </w:divBdr>
          <w:divsChild>
            <w:div w:id="215817748">
              <w:marLeft w:val="0"/>
              <w:marRight w:val="0"/>
              <w:marTop w:val="0"/>
              <w:marBottom w:val="0"/>
              <w:divBdr>
                <w:top w:val="none" w:sz="0" w:space="0" w:color="auto"/>
                <w:left w:val="none" w:sz="0" w:space="0" w:color="auto"/>
                <w:bottom w:val="none" w:sz="0" w:space="0" w:color="auto"/>
                <w:right w:val="none" w:sz="0" w:space="0" w:color="auto"/>
              </w:divBdr>
            </w:div>
            <w:div w:id="20651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964178">
      <w:bodyDiv w:val="1"/>
      <w:marLeft w:val="0"/>
      <w:marRight w:val="0"/>
      <w:marTop w:val="0"/>
      <w:marBottom w:val="0"/>
      <w:divBdr>
        <w:top w:val="none" w:sz="0" w:space="0" w:color="auto"/>
        <w:left w:val="none" w:sz="0" w:space="0" w:color="auto"/>
        <w:bottom w:val="none" w:sz="0" w:space="0" w:color="auto"/>
        <w:right w:val="none" w:sz="0" w:space="0" w:color="auto"/>
      </w:divBdr>
    </w:div>
    <w:div w:id="2023241421">
      <w:bodyDiv w:val="1"/>
      <w:marLeft w:val="0"/>
      <w:marRight w:val="0"/>
      <w:marTop w:val="0"/>
      <w:marBottom w:val="0"/>
      <w:divBdr>
        <w:top w:val="none" w:sz="0" w:space="0" w:color="auto"/>
        <w:left w:val="none" w:sz="0" w:space="0" w:color="auto"/>
        <w:bottom w:val="none" w:sz="0" w:space="0" w:color="auto"/>
        <w:right w:val="none" w:sz="0" w:space="0" w:color="auto"/>
      </w:divBdr>
    </w:div>
    <w:div w:id="2114593594">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wmf"/><Relationship Id="rId26" Type="http://schemas.openxmlformats.org/officeDocument/2006/relationships/header" Target="header4.xml"/><Relationship Id="rId39" Type="http://schemas.openxmlformats.org/officeDocument/2006/relationships/image" Target="media/image3.png"/><Relationship Id="rId21" Type="http://schemas.openxmlformats.org/officeDocument/2006/relationships/hyperlink" Target="mailto:media@treasury.gov.au" TargetMode="External"/><Relationship Id="rId34" Type="http://schemas.openxmlformats.org/officeDocument/2006/relationships/header" Target="header7.xml"/><Relationship Id="rId42" Type="http://schemas.openxmlformats.org/officeDocument/2006/relationships/image" Target="media/image6.jpeg"/><Relationship Id="rId47" Type="http://schemas.openxmlformats.org/officeDocument/2006/relationships/header" Target="header10.xml"/><Relationship Id="rId50" Type="http://schemas.openxmlformats.org/officeDocument/2006/relationships/chart" Target="charts/chart1.xml"/><Relationship Id="rId55" Type="http://schemas.openxmlformats.org/officeDocument/2006/relationships/footer" Target="footer13.xml"/><Relationship Id="rId63" Type="http://schemas.openxmlformats.org/officeDocument/2006/relationships/footer" Target="footer17.xml"/><Relationship Id="rId68" Type="http://schemas.openxmlformats.org/officeDocument/2006/relationships/footer" Target="footer19.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image" Target="media/image4.jpeg"/><Relationship Id="rId45" Type="http://schemas.openxmlformats.org/officeDocument/2006/relationships/image" Target="media/image9.png"/><Relationship Id="rId53" Type="http://schemas.openxmlformats.org/officeDocument/2006/relationships/footer" Target="footer12.xml"/><Relationship Id="rId58" Type="http://schemas.openxmlformats.org/officeDocument/2006/relationships/header" Target="header13.xml"/><Relationship Id="rId66"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yperlink" Target="http://www.firb.gov.au" TargetMode="External"/><Relationship Id="rId36" Type="http://schemas.openxmlformats.org/officeDocument/2006/relationships/header" Target="header8.xml"/><Relationship Id="rId49" Type="http://schemas.openxmlformats.org/officeDocument/2006/relationships/footer" Target="footer11.xml"/><Relationship Id="rId57" Type="http://schemas.openxmlformats.org/officeDocument/2006/relationships/footer" Target="footer14.xml"/><Relationship Id="rId61" Type="http://schemas.openxmlformats.org/officeDocument/2006/relationships/footer" Target="footer16.xml"/><Relationship Id="rId10" Type="http://schemas.openxmlformats.org/officeDocument/2006/relationships/webSettings" Target="webSettings.xml"/><Relationship Id="rId19" Type="http://schemas.openxmlformats.org/officeDocument/2006/relationships/hyperlink" Target="http://creativecommons.org/licenses/by/3.0/au/deed.en" TargetMode="External"/><Relationship Id="rId31" Type="http://schemas.openxmlformats.org/officeDocument/2006/relationships/header" Target="header5.xml"/><Relationship Id="rId44" Type="http://schemas.openxmlformats.org/officeDocument/2006/relationships/image" Target="media/image8.png"/><Relationship Id="rId52" Type="http://schemas.openxmlformats.org/officeDocument/2006/relationships/chart" Target="charts/chart3.xml"/><Relationship Id="rId60" Type="http://schemas.openxmlformats.org/officeDocument/2006/relationships/header" Target="header14.xml"/><Relationship Id="rId65"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footer" Target="footer5.xml"/><Relationship Id="rId30" Type="http://schemas.microsoft.com/office/2007/relationships/hdphoto" Target="media/hdphoto1.wdp"/><Relationship Id="rId35" Type="http://schemas.openxmlformats.org/officeDocument/2006/relationships/footer" Target="footer7.xml"/><Relationship Id="rId43" Type="http://schemas.openxmlformats.org/officeDocument/2006/relationships/image" Target="media/image7.jpeg"/><Relationship Id="rId48" Type="http://schemas.openxmlformats.org/officeDocument/2006/relationships/footer" Target="footer10.xml"/><Relationship Id="rId56" Type="http://schemas.openxmlformats.org/officeDocument/2006/relationships/header" Target="header12.xml"/><Relationship Id="rId64" Type="http://schemas.openxmlformats.org/officeDocument/2006/relationships/header" Target="header16.xml"/><Relationship Id="rId69" Type="http://schemas.openxmlformats.org/officeDocument/2006/relationships/header" Target="header18.xml"/><Relationship Id="rId8" Type="http://schemas.openxmlformats.org/officeDocument/2006/relationships/styles" Target="styles.xml"/><Relationship Id="rId51" Type="http://schemas.openxmlformats.org/officeDocument/2006/relationships/chart" Target="charts/chart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creativecommons.org/licenses/by/3.0/au/legalcode" TargetMode="External"/><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footer" Target="footer9.xml"/><Relationship Id="rId46" Type="http://schemas.openxmlformats.org/officeDocument/2006/relationships/header" Target="header9.xml"/><Relationship Id="rId59" Type="http://schemas.openxmlformats.org/officeDocument/2006/relationships/footer" Target="footer15.xml"/><Relationship Id="rId67" Type="http://schemas.openxmlformats.org/officeDocument/2006/relationships/header" Target="header17.xml"/><Relationship Id="rId20" Type="http://schemas.openxmlformats.org/officeDocument/2006/relationships/hyperlink" Target="http://www.pmc.gov.au/government/commonwealthcoatarms" TargetMode="External"/><Relationship Id="rId41" Type="http://schemas.openxmlformats.org/officeDocument/2006/relationships/image" Target="media/image5.png"/><Relationship Id="rId54" Type="http://schemas.openxmlformats.org/officeDocument/2006/relationships/header" Target="header11.xml"/><Relationship Id="rId62" Type="http://schemas.openxmlformats.org/officeDocument/2006/relationships/header" Target="header15.xml"/><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F%20I%20R%20B\FIRB%20Annual%20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20457948891359"/>
          <c:y val="5.0038953087464433E-4"/>
          <c:w val="0.45731607168735811"/>
          <c:h val="0.9628328556579614"/>
        </c:manualLayout>
      </c:layout>
      <c:doughnutChart>
        <c:varyColors val="1"/>
        <c:ser>
          <c:idx val="0"/>
          <c:order val="0"/>
          <c:dPt>
            <c:idx val="0"/>
            <c:bubble3D val="0"/>
            <c:spPr>
              <a:solidFill>
                <a:srgbClr val="73A5BD"/>
              </a:solidFill>
              <a:ln w="19050">
                <a:solidFill>
                  <a:schemeClr val="lt1"/>
                </a:solidFill>
              </a:ln>
              <a:effectLst/>
            </c:spPr>
            <c:extLst>
              <c:ext xmlns:c16="http://schemas.microsoft.com/office/drawing/2014/chart" uri="{C3380CC4-5D6E-409C-BE32-E72D297353CC}">
                <c16:uniqueId val="{00000001-52B6-4F61-8CA9-E1611B8FBDA2}"/>
              </c:ext>
            </c:extLst>
          </c:dPt>
          <c:dPt>
            <c:idx val="1"/>
            <c:bubble3D val="0"/>
            <c:spPr>
              <a:solidFill>
                <a:srgbClr val="B44D53"/>
              </a:solidFill>
              <a:ln w="19050">
                <a:solidFill>
                  <a:schemeClr val="lt1"/>
                </a:solidFill>
              </a:ln>
              <a:effectLst/>
            </c:spPr>
            <c:extLst>
              <c:ext xmlns:c16="http://schemas.microsoft.com/office/drawing/2014/chart" uri="{C3380CC4-5D6E-409C-BE32-E72D297353CC}">
                <c16:uniqueId val="{00000003-52B6-4F61-8CA9-E1611B8FBDA2}"/>
              </c:ext>
            </c:extLst>
          </c:dPt>
          <c:dPt>
            <c:idx val="2"/>
            <c:bubble3D val="0"/>
            <c:spPr>
              <a:solidFill>
                <a:srgbClr val="7C86B4"/>
              </a:solidFill>
              <a:ln w="19050">
                <a:solidFill>
                  <a:schemeClr val="lt1"/>
                </a:solidFill>
              </a:ln>
              <a:effectLst/>
            </c:spPr>
            <c:extLst>
              <c:ext xmlns:c16="http://schemas.microsoft.com/office/drawing/2014/chart" uri="{C3380CC4-5D6E-409C-BE32-E72D297353CC}">
                <c16:uniqueId val="{00000005-52B6-4F61-8CA9-E1611B8FBDA2}"/>
              </c:ext>
            </c:extLst>
          </c:dPt>
          <c:dPt>
            <c:idx val="3"/>
            <c:bubble3D val="0"/>
            <c:spPr>
              <a:solidFill>
                <a:srgbClr val="DEC8C5"/>
              </a:solidFill>
              <a:ln w="19050">
                <a:solidFill>
                  <a:schemeClr val="lt1"/>
                </a:solidFill>
              </a:ln>
              <a:effectLst/>
            </c:spPr>
            <c:extLst>
              <c:ext xmlns:c16="http://schemas.microsoft.com/office/drawing/2014/chart" uri="{C3380CC4-5D6E-409C-BE32-E72D297353CC}">
                <c16:uniqueId val="{00000007-52B6-4F61-8CA9-E1611B8FBDA2}"/>
              </c:ext>
            </c:extLst>
          </c:dPt>
          <c:dPt>
            <c:idx val="4"/>
            <c:bubble3D val="0"/>
            <c:spPr>
              <a:solidFill>
                <a:srgbClr val="008689"/>
              </a:solidFill>
              <a:ln w="19050">
                <a:solidFill>
                  <a:schemeClr val="lt1"/>
                </a:solidFill>
              </a:ln>
              <a:effectLst/>
            </c:spPr>
            <c:extLst>
              <c:ext xmlns:c16="http://schemas.microsoft.com/office/drawing/2014/chart" uri="{C3380CC4-5D6E-409C-BE32-E72D297353CC}">
                <c16:uniqueId val="{00000009-52B6-4F61-8CA9-E1611B8FBDA2}"/>
              </c:ext>
            </c:extLst>
          </c:dPt>
          <c:dPt>
            <c:idx val="5"/>
            <c:bubble3D val="0"/>
            <c:spPr>
              <a:solidFill>
                <a:srgbClr val="506671"/>
              </a:solidFill>
              <a:ln w="19050">
                <a:solidFill>
                  <a:schemeClr val="lt1"/>
                </a:solidFill>
              </a:ln>
              <a:effectLst/>
            </c:spPr>
            <c:extLst>
              <c:ext xmlns:c16="http://schemas.microsoft.com/office/drawing/2014/chart" uri="{C3380CC4-5D6E-409C-BE32-E72D297353CC}">
                <c16:uniqueId val="{0000000B-52B6-4F61-8CA9-E1611B8FBDA2}"/>
              </c:ext>
            </c:extLst>
          </c:dPt>
          <c:dPt>
            <c:idx val="6"/>
            <c:bubble3D val="0"/>
            <c:spPr>
              <a:solidFill>
                <a:srgbClr val="A2A06C"/>
              </a:solidFill>
              <a:ln w="19050">
                <a:solidFill>
                  <a:schemeClr val="lt1"/>
                </a:solidFill>
              </a:ln>
              <a:effectLst/>
            </c:spPr>
            <c:extLst>
              <c:ext xmlns:c16="http://schemas.microsoft.com/office/drawing/2014/chart" uri="{C3380CC4-5D6E-409C-BE32-E72D297353CC}">
                <c16:uniqueId val="{0000000D-52B6-4F61-8CA9-E1611B8FBDA2}"/>
              </c:ext>
            </c:extLst>
          </c:dPt>
          <c:dLbls>
            <c:dLbl>
              <c:idx val="0"/>
              <c:layout>
                <c:manualLayout>
                  <c:x val="4.9079754601226546E-3"/>
                  <c:y val="-8.783260139498837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52B6-4F61-8CA9-E1611B8FBDA2}"/>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52B6-4F61-8CA9-E1611B8FBDA2}"/>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52B6-4F61-8CA9-E1611B8FBDA2}"/>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52B6-4F61-8CA9-E1611B8FBD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'CHARTS3.1-3.3'!$B$3:$B$9</c:f>
              <c:strCache>
                <c:ptCount val="7"/>
                <c:pt idx="0">
                  <c:v>Agriculture, forestry &amp;
  fishing</c:v>
                </c:pt>
                <c:pt idx="1">
                  <c:v>Finance &amp; insurance</c:v>
                </c:pt>
                <c:pt idx="2">
                  <c:v>Manufacturing,
  electricity &amp; gas</c:v>
                </c:pt>
                <c:pt idx="3">
                  <c:v>Mineral exploration &amp;
  development</c:v>
                </c:pt>
                <c:pt idx="4">
                  <c:v>Services</c:v>
                </c:pt>
                <c:pt idx="5">
                  <c:v>Real estate - commercial</c:v>
                </c:pt>
                <c:pt idx="6">
                  <c:v>Real estate - residential</c:v>
                </c:pt>
              </c:strCache>
            </c:strRef>
          </c:cat>
          <c:val>
            <c:numRef>
              <c:f>'CHARTS3.1-3.3'!$G$3:$G$9</c:f>
              <c:numCache>
                <c:formatCode>0%</c:formatCode>
                <c:ptCount val="7"/>
                <c:pt idx="0">
                  <c:v>2.4935947926953823E-2</c:v>
                </c:pt>
                <c:pt idx="1">
                  <c:v>4.5761895452970776E-2</c:v>
                </c:pt>
                <c:pt idx="2">
                  <c:v>0.15350295744077549</c:v>
                </c:pt>
                <c:pt idx="3">
                  <c:v>4.9404547995849771E-2</c:v>
                </c:pt>
                <c:pt idx="4">
                  <c:v>0.3301535813351098</c:v>
                </c:pt>
                <c:pt idx="5">
                  <c:v>0.3518053453279556</c:v>
                </c:pt>
                <c:pt idx="6">
                  <c:v>4.4435724520384717E-2</c:v>
                </c:pt>
              </c:numCache>
            </c:numRef>
          </c:val>
          <c:extLst>
            <c:ext xmlns:c16="http://schemas.microsoft.com/office/drawing/2014/chart" uri="{C3380CC4-5D6E-409C-BE32-E72D297353CC}">
              <c16:uniqueId val="{0000000E-52B6-4F61-8CA9-E1611B8FBDA2}"/>
            </c:ext>
          </c:extLst>
        </c:ser>
        <c:dLbls>
          <c:showLegendKey val="0"/>
          <c:showVal val="0"/>
          <c:showCatName val="0"/>
          <c:showSerName val="0"/>
          <c:showPercent val="0"/>
          <c:showBubbleSize val="0"/>
          <c:showLeaderLines val="1"/>
        </c:dLbls>
        <c:firstSliceAng val="0"/>
        <c:holeSize val="40"/>
      </c:doughnutChart>
      <c:spPr>
        <a:noFill/>
        <a:ln>
          <a:noFill/>
        </a:ln>
        <a:effectLst/>
      </c:spPr>
    </c:plotArea>
    <c:legend>
      <c:legendPos val="r"/>
      <c:layout>
        <c:manualLayout>
          <c:xMode val="edge"/>
          <c:yMode val="edge"/>
          <c:x val="0.59384203661658852"/>
          <c:y val="2.9112093357227305E-3"/>
          <c:w val="0.39250606250905751"/>
          <c:h val="0.9970887906642772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lumMod val="65000"/>
                  <a:lumOff val="35000"/>
                  <a:alpha val="0"/>
                </a:sysClr>
              </a:solidFill>
              <a:latin typeface="+mn-lt"/>
              <a:ea typeface="+mn-ea"/>
              <a:cs typeface="+mn-cs"/>
            </a:defRPr>
          </a:pPr>
          <a:endParaRPr lang="en-US"/>
        </a:p>
      </c:txPr>
    </c:title>
    <c:autoTitleDeleted val="0"/>
    <c:plotArea>
      <c:layout>
        <c:manualLayout>
          <c:layoutTarget val="inner"/>
          <c:xMode val="edge"/>
          <c:yMode val="edge"/>
          <c:x val="8.5147012265490166E-2"/>
          <c:y val="9.9162402679463052E-2"/>
          <c:w val="0.89928878539987944"/>
          <c:h val="0.61253406949460054"/>
        </c:manualLayout>
      </c:layout>
      <c:barChart>
        <c:barDir val="col"/>
        <c:grouping val="stacked"/>
        <c:varyColors val="0"/>
        <c:ser>
          <c:idx val="0"/>
          <c:order val="0"/>
          <c:tx>
            <c:strRef>
              <c:f>'CHARTS3.1-3.3'!$B$3</c:f>
              <c:strCache>
                <c:ptCount val="1"/>
                <c:pt idx="0">
                  <c:v>Agriculture, forestry &amp;
  fishing</c:v>
                </c:pt>
              </c:strCache>
            </c:strRef>
          </c:tx>
          <c:spPr>
            <a:solidFill>
              <a:srgbClr val="73A5B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'CHARTS3.1-3.3'!$C$2:$F$2</c:f>
              <c:strCache>
                <c:ptCount val="3"/>
                <c:pt idx="0">
                  <c:v>2019-20</c:v>
                </c:pt>
                <c:pt idx="2">
                  <c:v>2020-21</c:v>
                </c:pt>
              </c:strCache>
            </c:strRef>
          </c:cat>
          <c:val>
            <c:numRef>
              <c:f>'CHARTS3.1-3.3'!$C$3:$F$3</c:f>
              <c:numCache>
                <c:formatCode>General</c:formatCode>
                <c:ptCount val="4"/>
                <c:pt idx="0" formatCode="0.0">
                  <c:v>7.7214</c:v>
                </c:pt>
                <c:pt idx="2" formatCode="0.0">
                  <c:v>5.8105000000000002</c:v>
                </c:pt>
              </c:numCache>
            </c:numRef>
          </c:val>
          <c:extLst>
            <c:ext xmlns:c16="http://schemas.microsoft.com/office/drawing/2014/chart" uri="{C3380CC4-5D6E-409C-BE32-E72D297353CC}">
              <c16:uniqueId val="{00000000-F26B-4B2E-81EF-B68612F2B2C8}"/>
            </c:ext>
          </c:extLst>
        </c:ser>
        <c:ser>
          <c:idx val="1"/>
          <c:order val="1"/>
          <c:tx>
            <c:strRef>
              <c:f>'CHARTS3.1-3.3'!$B$4</c:f>
              <c:strCache>
                <c:ptCount val="1"/>
                <c:pt idx="0">
                  <c:v>Finance &amp; insurance</c:v>
                </c:pt>
              </c:strCache>
            </c:strRef>
          </c:tx>
          <c:spPr>
            <a:solidFill>
              <a:srgbClr val="B44D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'CHARTS3.1-3.3'!$C$2:$F$2</c:f>
              <c:strCache>
                <c:ptCount val="3"/>
                <c:pt idx="0">
                  <c:v>2019-20</c:v>
                </c:pt>
                <c:pt idx="2">
                  <c:v>2020-21</c:v>
                </c:pt>
              </c:strCache>
            </c:strRef>
          </c:cat>
          <c:val>
            <c:numRef>
              <c:f>'CHARTS3.1-3.3'!$C$4:$F$4</c:f>
              <c:numCache>
                <c:formatCode>General</c:formatCode>
                <c:ptCount val="4"/>
                <c:pt idx="0" formatCode="0.0">
                  <c:v>13.5511</c:v>
                </c:pt>
                <c:pt idx="2" formatCode="0.0">
                  <c:v>10.6633</c:v>
                </c:pt>
              </c:numCache>
            </c:numRef>
          </c:val>
          <c:extLst>
            <c:ext xmlns:c16="http://schemas.microsoft.com/office/drawing/2014/chart" uri="{C3380CC4-5D6E-409C-BE32-E72D297353CC}">
              <c16:uniqueId val="{00000001-F26B-4B2E-81EF-B68612F2B2C8}"/>
            </c:ext>
          </c:extLst>
        </c:ser>
        <c:ser>
          <c:idx val="2"/>
          <c:order val="2"/>
          <c:tx>
            <c:strRef>
              <c:f>'CHARTS3.1-3.3'!$B$5</c:f>
              <c:strCache>
                <c:ptCount val="1"/>
                <c:pt idx="0">
                  <c:v>Manufacturing,
  electricity &amp; gas</c:v>
                </c:pt>
              </c:strCache>
            </c:strRef>
          </c:tx>
          <c:spPr>
            <a:solidFill>
              <a:srgbClr val="7C86B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'CHARTS3.1-3.3'!$C$2:$F$2</c:f>
              <c:strCache>
                <c:ptCount val="3"/>
                <c:pt idx="0">
                  <c:v>2019-20</c:v>
                </c:pt>
                <c:pt idx="2">
                  <c:v>2020-21</c:v>
                </c:pt>
              </c:strCache>
            </c:strRef>
          </c:cat>
          <c:val>
            <c:numRef>
              <c:f>'CHARTS3.1-3.3'!$C$5:$F$5</c:f>
              <c:numCache>
                <c:formatCode>General</c:formatCode>
                <c:ptCount val="4"/>
                <c:pt idx="0" formatCode="0.0">
                  <c:v>32.964700000000001</c:v>
                </c:pt>
                <c:pt idx="2" formatCode="0.0">
                  <c:v>35.768800000000006</c:v>
                </c:pt>
              </c:numCache>
            </c:numRef>
          </c:val>
          <c:extLst>
            <c:ext xmlns:c16="http://schemas.microsoft.com/office/drawing/2014/chart" uri="{C3380CC4-5D6E-409C-BE32-E72D297353CC}">
              <c16:uniqueId val="{00000002-F26B-4B2E-81EF-B68612F2B2C8}"/>
            </c:ext>
          </c:extLst>
        </c:ser>
        <c:ser>
          <c:idx val="3"/>
          <c:order val="3"/>
          <c:tx>
            <c:strRef>
              <c:f>'CHARTS3.1-3.3'!$B$6</c:f>
              <c:strCache>
                <c:ptCount val="1"/>
                <c:pt idx="0">
                  <c:v>Mineral exploration &amp;
  development</c:v>
                </c:pt>
              </c:strCache>
            </c:strRef>
          </c:tx>
          <c:spPr>
            <a:solidFill>
              <a:srgbClr val="DEC8C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'CHARTS3.1-3.3'!$C$2:$F$2</c:f>
              <c:strCache>
                <c:ptCount val="3"/>
                <c:pt idx="0">
                  <c:v>2019-20</c:v>
                </c:pt>
                <c:pt idx="2">
                  <c:v>2020-21</c:v>
                </c:pt>
              </c:strCache>
            </c:strRef>
          </c:cat>
          <c:val>
            <c:numRef>
              <c:f>'CHARTS3.1-3.3'!$C$6:$F$6</c:f>
              <c:numCache>
                <c:formatCode>General</c:formatCode>
                <c:ptCount val="4"/>
                <c:pt idx="0" formatCode="0.0">
                  <c:v>11.1898</c:v>
                </c:pt>
                <c:pt idx="2" formatCode="0.0">
                  <c:v>11.5121</c:v>
                </c:pt>
              </c:numCache>
            </c:numRef>
          </c:val>
          <c:extLst>
            <c:ext xmlns:c16="http://schemas.microsoft.com/office/drawing/2014/chart" uri="{C3380CC4-5D6E-409C-BE32-E72D297353CC}">
              <c16:uniqueId val="{00000003-F26B-4B2E-81EF-B68612F2B2C8}"/>
            </c:ext>
          </c:extLst>
        </c:ser>
        <c:ser>
          <c:idx val="4"/>
          <c:order val="4"/>
          <c:tx>
            <c:strRef>
              <c:f>'CHARTS3.1-3.3'!$B$7</c:f>
              <c:strCache>
                <c:ptCount val="1"/>
                <c:pt idx="0">
                  <c:v>Services</c:v>
                </c:pt>
              </c:strCache>
            </c:strRef>
          </c:tx>
          <c:spPr>
            <a:solidFill>
              <a:srgbClr val="00868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'CHARTS3.1-3.3'!$C$2:$F$2</c:f>
              <c:strCache>
                <c:ptCount val="3"/>
                <c:pt idx="0">
                  <c:v>2019-20</c:v>
                </c:pt>
                <c:pt idx="2">
                  <c:v>2020-21</c:v>
                </c:pt>
              </c:strCache>
            </c:strRef>
          </c:cat>
          <c:val>
            <c:numRef>
              <c:f>'CHARTS3.1-3.3'!$C$7:$F$7</c:f>
              <c:numCache>
                <c:formatCode>General</c:formatCode>
                <c:ptCount val="4"/>
                <c:pt idx="0" formatCode="0.0">
                  <c:v>73.561300000000003</c:v>
                </c:pt>
                <c:pt idx="2" formatCode="0.0">
                  <c:v>76.931400000000011</c:v>
                </c:pt>
              </c:numCache>
            </c:numRef>
          </c:val>
          <c:extLst>
            <c:ext xmlns:c16="http://schemas.microsoft.com/office/drawing/2014/chart" uri="{C3380CC4-5D6E-409C-BE32-E72D297353CC}">
              <c16:uniqueId val="{00000004-F26B-4B2E-81EF-B68612F2B2C8}"/>
            </c:ext>
          </c:extLst>
        </c:ser>
        <c:ser>
          <c:idx val="5"/>
          <c:order val="5"/>
          <c:tx>
            <c:strRef>
              <c:f>'CHARTS3.1-3.3'!$B$8</c:f>
              <c:strCache>
                <c:ptCount val="1"/>
                <c:pt idx="0">
                  <c:v>Real estate - commercial</c:v>
                </c:pt>
              </c:strCache>
            </c:strRef>
          </c:tx>
          <c:spPr>
            <a:solidFill>
              <a:srgbClr val="50667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'CHARTS3.1-3.3'!$C$2:$F$2</c:f>
              <c:strCache>
                <c:ptCount val="3"/>
                <c:pt idx="0">
                  <c:v>2019-20</c:v>
                </c:pt>
                <c:pt idx="2">
                  <c:v>2020-21</c:v>
                </c:pt>
              </c:strCache>
            </c:strRef>
          </c:cat>
          <c:val>
            <c:numRef>
              <c:f>'CHARTS3.1-3.3'!$C$8:$F$8</c:f>
              <c:numCache>
                <c:formatCode>0.0</c:formatCode>
                <c:ptCount val="4"/>
                <c:pt idx="1">
                  <c:v>39.3915926695</c:v>
                </c:pt>
                <c:pt idx="3">
                  <c:v>81.976629283000008</c:v>
                </c:pt>
              </c:numCache>
            </c:numRef>
          </c:val>
          <c:extLst>
            <c:ext xmlns:c16="http://schemas.microsoft.com/office/drawing/2014/chart" uri="{C3380CC4-5D6E-409C-BE32-E72D297353CC}">
              <c16:uniqueId val="{00000005-F26B-4B2E-81EF-B68612F2B2C8}"/>
            </c:ext>
          </c:extLst>
        </c:ser>
        <c:ser>
          <c:idx val="6"/>
          <c:order val="6"/>
          <c:tx>
            <c:strRef>
              <c:f>'CHARTS3.1-3.3'!$B$9</c:f>
              <c:strCache>
                <c:ptCount val="1"/>
                <c:pt idx="0">
                  <c:v>Real estate - residential</c:v>
                </c:pt>
              </c:strCache>
            </c:strRef>
          </c:tx>
          <c:spPr>
            <a:solidFill>
              <a:srgbClr val="A2A06C"/>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6-F26B-4B2E-81EF-B68612F2B2C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'CHARTS3.1-3.3'!$C$2:$F$2</c:f>
              <c:strCache>
                <c:ptCount val="3"/>
                <c:pt idx="0">
                  <c:v>2019-20</c:v>
                </c:pt>
                <c:pt idx="2">
                  <c:v>2020-21</c:v>
                </c:pt>
              </c:strCache>
            </c:strRef>
          </c:cat>
          <c:val>
            <c:numRef>
              <c:f>'CHARTS3.1-3.3'!$C$9:$F$9</c:f>
              <c:numCache>
                <c:formatCode>0.0</c:formatCode>
                <c:ptCount val="4"/>
                <c:pt idx="1">
                  <c:v>17.111981705000002</c:v>
                </c:pt>
                <c:pt idx="3">
                  <c:v>10.354279615999999</c:v>
                </c:pt>
              </c:numCache>
            </c:numRef>
          </c:val>
          <c:extLst>
            <c:ext xmlns:c16="http://schemas.microsoft.com/office/drawing/2014/chart" uri="{C3380CC4-5D6E-409C-BE32-E72D297353CC}">
              <c16:uniqueId val="{00000007-F26B-4B2E-81EF-B68612F2B2C8}"/>
            </c:ext>
          </c:extLst>
        </c:ser>
        <c:dLbls>
          <c:dLblPos val="ctr"/>
          <c:showLegendKey val="0"/>
          <c:showVal val="1"/>
          <c:showCatName val="0"/>
          <c:showSerName val="0"/>
          <c:showPercent val="0"/>
          <c:showBubbleSize val="0"/>
        </c:dLbls>
        <c:gapWidth val="150"/>
        <c:overlap val="100"/>
        <c:axId val="824348440"/>
        <c:axId val="824345160"/>
      </c:barChart>
      <c:catAx>
        <c:axId val="824348440"/>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4345160"/>
        <c:crosses val="autoZero"/>
        <c:auto val="1"/>
        <c:lblAlgn val="ctr"/>
        <c:lblOffset val="100"/>
        <c:noMultiLvlLbl val="0"/>
      </c:catAx>
      <c:valAx>
        <c:axId val="824345160"/>
        <c:scaling>
          <c:orientation val="minMax"/>
          <c:max val="200"/>
          <c:min val="0"/>
        </c:scaling>
        <c:delete val="0"/>
        <c:axPos val="l"/>
        <c:majorGridlines>
          <c:spPr>
            <a:ln w="9525" cap="flat" cmpd="sng" algn="ctr">
              <a:noFill/>
              <a:round/>
            </a:ln>
            <a:effectLst/>
          </c:spPr>
        </c:majorGridlines>
        <c:title>
          <c:tx>
            <c:rich>
              <a:bodyPr rot="0" spcFirstLastPara="1" vertOverflow="ellipsis" wrap="square" anchor="b" anchorCtr="0"/>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700">
                    <a:solidFill>
                      <a:sysClr val="windowText" lastClr="000000"/>
                    </a:solidFill>
                    <a:latin typeface="Arial" panose="020B0604020202020204" pitchFamily="34" charset="0"/>
                    <a:cs typeface="Arial" panose="020B0604020202020204" pitchFamily="34" charset="0"/>
                  </a:rPr>
                  <a:t>$</a:t>
                </a:r>
                <a:r>
                  <a:rPr lang="en-AU" sz="700" baseline="0">
                    <a:solidFill>
                      <a:sysClr val="windowText" lastClr="000000"/>
                    </a:solidFill>
                    <a:latin typeface="Arial" panose="020B0604020202020204" pitchFamily="34" charset="0"/>
                    <a:cs typeface="Arial" panose="020B0604020202020204" pitchFamily="34" charset="0"/>
                  </a:rPr>
                  <a:t> billion</a:t>
                </a:r>
                <a:endParaRPr lang="en-AU" sz="7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1044251764249308E-2"/>
              <c:y val="8.0559321142919041E-3"/>
            </c:manualLayout>
          </c:layout>
          <c:overlay val="0"/>
          <c:spPr>
            <a:noFill/>
            <a:ln>
              <a:noFill/>
            </a:ln>
            <a:effectLst/>
          </c:spPr>
          <c:txPr>
            <a:bodyPr rot="0" spcFirstLastPara="1" vertOverflow="ellipsis" wrap="square" anchor="b" anchorCtr="0"/>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4348440"/>
        <c:crosses val="autoZero"/>
        <c:crossBetween val="between"/>
        <c:majorUnit val="50"/>
        <c:minorUnit val="10"/>
      </c:valAx>
      <c:spPr>
        <a:noFill/>
        <a:ln>
          <a:noFill/>
        </a:ln>
        <a:effectLst/>
      </c:spPr>
    </c:plotArea>
    <c:legend>
      <c:legendPos val="b"/>
      <c:layout>
        <c:manualLayout>
          <c:xMode val="edge"/>
          <c:yMode val="edge"/>
          <c:x val="1.2864977480927733E-2"/>
          <c:y val="0.79027273118272723"/>
          <c:w val="0.97686387450595913"/>
          <c:h val="0.1962654577140026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73A5BD"/>
              </a:solidFill>
              <a:ln w="19050">
                <a:solidFill>
                  <a:schemeClr val="lt1"/>
                </a:solidFill>
              </a:ln>
              <a:effectLst/>
            </c:spPr>
            <c:extLst>
              <c:ext xmlns:c16="http://schemas.microsoft.com/office/drawing/2014/chart" uri="{C3380CC4-5D6E-409C-BE32-E72D297353CC}">
                <c16:uniqueId val="{00000001-F8BA-4352-8FF1-CB4AECDDF2F6}"/>
              </c:ext>
            </c:extLst>
          </c:dPt>
          <c:dPt>
            <c:idx val="1"/>
            <c:bubble3D val="0"/>
            <c:spPr>
              <a:solidFill>
                <a:srgbClr val="B44D53"/>
              </a:solidFill>
              <a:ln w="19050">
                <a:solidFill>
                  <a:schemeClr val="lt1"/>
                </a:solidFill>
              </a:ln>
              <a:effectLst/>
            </c:spPr>
            <c:extLst>
              <c:ext xmlns:c16="http://schemas.microsoft.com/office/drawing/2014/chart" uri="{C3380CC4-5D6E-409C-BE32-E72D297353CC}">
                <c16:uniqueId val="{00000003-F8BA-4352-8FF1-CB4AECDDF2F6}"/>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F8BA-4352-8FF1-CB4AECDDF2F6}"/>
              </c:ext>
            </c:extLst>
          </c:dPt>
          <c:dPt>
            <c:idx val="3"/>
            <c:bubble3D val="0"/>
            <c:spPr>
              <a:solidFill>
                <a:srgbClr val="7C86B4"/>
              </a:solidFill>
              <a:ln w="19050">
                <a:solidFill>
                  <a:schemeClr val="lt1"/>
                </a:solidFill>
              </a:ln>
              <a:effectLst/>
            </c:spPr>
            <c:extLst>
              <c:ext xmlns:c16="http://schemas.microsoft.com/office/drawing/2014/chart" uri="{C3380CC4-5D6E-409C-BE32-E72D297353CC}">
                <c16:uniqueId val="{00000007-F8BA-4352-8FF1-CB4AECDDF2F6}"/>
              </c:ext>
            </c:extLst>
          </c:dPt>
          <c:dPt>
            <c:idx val="4"/>
            <c:bubble3D val="0"/>
            <c:spPr>
              <a:solidFill>
                <a:srgbClr val="DEC8C5"/>
              </a:solidFill>
              <a:ln w="19050">
                <a:solidFill>
                  <a:schemeClr val="lt1"/>
                </a:solidFill>
              </a:ln>
              <a:effectLst/>
            </c:spPr>
            <c:extLst>
              <c:ext xmlns:c16="http://schemas.microsoft.com/office/drawing/2014/chart" uri="{C3380CC4-5D6E-409C-BE32-E72D297353CC}">
                <c16:uniqueId val="{00000009-F8BA-4352-8FF1-CB4AECDDF2F6}"/>
              </c:ext>
            </c:extLst>
          </c:dPt>
          <c:dPt>
            <c:idx val="5"/>
            <c:bubble3D val="0"/>
            <c:spPr>
              <a:solidFill>
                <a:srgbClr val="008689"/>
              </a:solidFill>
              <a:ln w="19050">
                <a:solidFill>
                  <a:schemeClr val="lt1"/>
                </a:solidFill>
              </a:ln>
              <a:effectLst/>
            </c:spPr>
            <c:extLst>
              <c:ext xmlns:c16="http://schemas.microsoft.com/office/drawing/2014/chart" uri="{C3380CC4-5D6E-409C-BE32-E72D297353CC}">
                <c16:uniqueId val="{0000000B-F8BA-4352-8FF1-CB4AECDDF2F6}"/>
              </c:ext>
            </c:extLst>
          </c:dPt>
          <c:dPt>
            <c:idx val="6"/>
            <c:bubble3D val="0"/>
            <c:spPr>
              <a:solidFill>
                <a:srgbClr val="506671"/>
              </a:solidFill>
              <a:ln w="19050">
                <a:solidFill>
                  <a:schemeClr val="lt1"/>
                </a:solidFill>
              </a:ln>
              <a:effectLst/>
            </c:spPr>
            <c:extLst>
              <c:ext xmlns:c16="http://schemas.microsoft.com/office/drawing/2014/chart" uri="{C3380CC4-5D6E-409C-BE32-E72D297353CC}">
                <c16:uniqueId val="{0000000D-F8BA-4352-8FF1-CB4AECDDF2F6}"/>
              </c:ext>
            </c:extLst>
          </c:dPt>
          <c:dPt>
            <c:idx val="7"/>
            <c:bubble3D val="0"/>
            <c:spPr>
              <a:solidFill>
                <a:srgbClr val="A2A06C"/>
              </a:solidFill>
              <a:ln w="19050">
                <a:solidFill>
                  <a:schemeClr val="lt1"/>
                </a:solidFill>
              </a:ln>
              <a:effectLst/>
            </c:spPr>
            <c:extLst>
              <c:ext xmlns:c16="http://schemas.microsoft.com/office/drawing/2014/chart" uri="{C3380CC4-5D6E-409C-BE32-E72D297353CC}">
                <c16:uniqueId val="{0000000F-F8BA-4352-8FF1-CB4AECDDF2F6}"/>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F8BA-4352-8FF1-CB4AECDDF2F6}"/>
                </c:ext>
              </c:extLst>
            </c:dLbl>
            <c:dLbl>
              <c:idx val="2"/>
              <c:layout>
                <c:manualLayout>
                  <c:x val="0.11666666666666667"/>
                  <c:y val="-1.8518518518518517E-2"/>
                </c:manualLayout>
              </c:layout>
              <c:tx>
                <c:rich>
                  <a:bodyPr/>
                  <a:lstStyle/>
                  <a:p>
                    <a:fld id="{50F2D771-9376-4D4A-86E9-1A70E3898586}" type="VALUE">
                      <a:rPr lang="en-US" baseline="0">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8BA-4352-8FF1-CB4AECDDF2F6}"/>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F8BA-4352-8FF1-CB4AECDDF2F6}"/>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F8BA-4352-8FF1-CB4AECDDF2F6}"/>
                </c:ext>
              </c:extLst>
            </c:dLbl>
            <c:dLbl>
              <c:idx val="5"/>
              <c:layout>
                <c:manualLayout>
                  <c:x val="-2.225388484709763E-2"/>
                  <c:y val="0.1435185185185185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8BA-4352-8FF1-CB4AECDDF2F6}"/>
                </c:ext>
              </c:extLst>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F-F8BA-4352-8FF1-CB4AECDDF2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Word]CHARTS3.1-3.3'!$B$35:$B$42</c:f>
              <c:strCache>
                <c:ptCount val="8"/>
                <c:pt idx="0">
                  <c:v>ACT</c:v>
                </c:pt>
                <c:pt idx="1">
                  <c:v>NSW</c:v>
                </c:pt>
                <c:pt idx="2">
                  <c:v>NT</c:v>
                </c:pt>
                <c:pt idx="3">
                  <c:v>Qld</c:v>
                </c:pt>
                <c:pt idx="4">
                  <c:v>SA</c:v>
                </c:pt>
                <c:pt idx="5">
                  <c:v>Tas.</c:v>
                </c:pt>
                <c:pt idx="6">
                  <c:v>Vic.</c:v>
                </c:pt>
                <c:pt idx="7">
                  <c:v>WA</c:v>
                </c:pt>
              </c:strCache>
            </c:strRef>
          </c:cat>
          <c:val>
            <c:numRef>
              <c:f>'[Chart in Microsoft Word]CHARTS3.1-3.3'!$D$35:$D$42</c:f>
              <c:numCache>
                <c:formatCode>0%</c:formatCode>
                <c:ptCount val="8"/>
                <c:pt idx="0">
                  <c:v>6.5111983375663818E-2</c:v>
                </c:pt>
                <c:pt idx="1">
                  <c:v>0.1685522973909028</c:v>
                </c:pt>
                <c:pt idx="2">
                  <c:v>5.5414453936735164E-3</c:v>
                </c:pt>
                <c:pt idx="3">
                  <c:v>0.21473100900484876</c:v>
                </c:pt>
                <c:pt idx="4">
                  <c:v>6.6035557607942733E-2</c:v>
                </c:pt>
                <c:pt idx="5">
                  <c:v>2.86308012006465E-2</c:v>
                </c:pt>
                <c:pt idx="6">
                  <c:v>0.37381667051489265</c:v>
                </c:pt>
                <c:pt idx="7">
                  <c:v>7.758023551142923E-2</c:v>
                </c:pt>
              </c:numCache>
            </c:numRef>
          </c:val>
          <c:extLst>
            <c:ext xmlns:c16="http://schemas.microsoft.com/office/drawing/2014/chart" uri="{C3380CC4-5D6E-409C-BE32-E72D297353CC}">
              <c16:uniqueId val="{00000010-F8BA-4352-8FF1-CB4AECDDF2F6}"/>
            </c:ext>
          </c:extLst>
        </c:ser>
        <c:dLbls>
          <c:showLegendKey val="0"/>
          <c:showVal val="0"/>
          <c:showCatName val="0"/>
          <c:showSerName val="0"/>
          <c:showPercent val="0"/>
          <c:showBubbleSize val="0"/>
          <c:showLeaderLines val="1"/>
        </c:dLbls>
        <c:firstSliceAng val="0"/>
        <c:holeSize val="4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d4dd4adf-ddb3-46a3-8d7c-fab3fb2a6bc7">Official</SecurityClassification>
    <TaxCatchAll xmlns="0f563589-9cf9-4143-b1eb-fb0534803d38"/>
    <lb508a4dc5e84436a0fe496b536466aa xmlns="d4dd4adf-ddb3-46a3-8d7c-fab3fb2a6bc7">
      <Terms xmlns="http://schemas.microsoft.com/office/infopath/2007/PartnerControls"/>
    </lb508a4dc5e84436a0fe496b536466aa>
    <_dlc_DocId xmlns="0f563589-9cf9-4143-b1eb-fb0534803d38">2022MG-380162460-1828</_dlc_DocId>
    <_dlc_DocIdUrl xmlns="0f563589-9cf9-4143-b1eb-fb0534803d38">
      <Url>http://tweb/sites/mg/fitpd/_layouts/15/DocIdRedir.aspx?ID=2022MG-380162460-1828</Url>
      <Description>2022MG-380162460-1828</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5D3B19295C7C884FB637C883A6B41715" ma:contentTypeVersion="45788" ma:contentTypeDescription="" ma:contentTypeScope="" ma:versionID="f7b0ab6b164ca07ce6b5909a6749167a">
  <xsd:schema xmlns:xsd="http://www.w3.org/2001/XMLSchema" xmlns:xs="http://www.w3.org/2001/XMLSchema" xmlns:p="http://schemas.microsoft.com/office/2006/metadata/properties" xmlns:ns1="http://schemas.microsoft.com/sharepoint/v3" xmlns:ns2="0f563589-9cf9-4143-b1eb-fb0534803d38" xmlns:ns3="d4dd4adf-ddb3-46a3-8d7c-fab3fb2a6bc7" targetNamespace="http://schemas.microsoft.com/office/2006/metadata/properties" ma:root="true" ma:fieldsID="2010ab89350e9e939e36ceb62d9065fb" ns1:_="" ns2:_="" ns3:_="">
    <xsd:import namespace="http://schemas.microsoft.com/sharepoint/v3"/>
    <xsd:import namespace="0f563589-9cf9-4143-b1eb-fb0534803d38"/>
    <xsd:import namespace="d4dd4adf-ddb3-46a3-8d7c-fab3fb2a6bc7"/>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16" nillable="true" ma:displayName="Security Classification" ma:internalName="SecurityClassifica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A14D19-B607-49F8-B916-C3E93F506E39}">
  <ds:schemaRefs>
    <ds:schemaRef ds:uri="http://schemas.microsoft.com/office/2006/documentManagement/types"/>
    <ds:schemaRef ds:uri="d4dd4adf-ddb3-46a3-8d7c-fab3fb2a6bc7"/>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0f563589-9cf9-4143-b1eb-fb0534803d38"/>
    <ds:schemaRef ds:uri="http://www.w3.org/XML/1998/namespace"/>
    <ds:schemaRef ds:uri="http://purl.org/dc/dcmitype/"/>
  </ds:schemaRefs>
</ds:datastoreItem>
</file>

<file path=customXml/itemProps2.xml><?xml version="1.0" encoding="utf-8"?>
<ds:datastoreItem xmlns:ds="http://schemas.openxmlformats.org/officeDocument/2006/customXml" ds:itemID="{C018DD62-D262-4E3B-9A7B-C1909B2F875A}">
  <ds:schemaRefs>
    <ds:schemaRef ds:uri="http://schemas.openxmlformats.org/officeDocument/2006/bibliography"/>
  </ds:schemaRefs>
</ds:datastoreItem>
</file>

<file path=customXml/itemProps3.xml><?xml version="1.0" encoding="utf-8"?>
<ds:datastoreItem xmlns:ds="http://schemas.openxmlformats.org/officeDocument/2006/customXml" ds:itemID="{EBAA457C-2237-4101-A586-DF46B0C3AFDC}">
  <ds:schemaRefs>
    <ds:schemaRef ds:uri="office.server.policy"/>
  </ds:schemaRefs>
</ds:datastoreItem>
</file>

<file path=customXml/itemProps4.xml><?xml version="1.0" encoding="utf-8"?>
<ds:datastoreItem xmlns:ds="http://schemas.openxmlformats.org/officeDocument/2006/customXml" ds:itemID="{B26B83C4-9FD6-40AB-987C-849EBCA102E5}">
  <ds:schemaRefs>
    <ds:schemaRef ds:uri="http://schemas.microsoft.com/sharepoint/events"/>
  </ds:schemaRefs>
</ds:datastoreItem>
</file>

<file path=customXml/itemProps5.xml><?xml version="1.0" encoding="utf-8"?>
<ds:datastoreItem xmlns:ds="http://schemas.openxmlformats.org/officeDocument/2006/customXml" ds:itemID="{F9FA4AB2-7403-4250-A797-07E30FB3C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65C64AC-69DC-487B-BC45-A1085DFE95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FIRB Annual Report.dotm</Template>
  <TotalTime>2</TotalTime>
  <Pages>74</Pages>
  <Words>21019</Words>
  <Characters>119813</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Foreign Investment Review Board Annual Report 2020-21</vt:lpstr>
    </vt:vector>
  </TitlesOfParts>
  <Company>The Treasury</Company>
  <LinksUpToDate>false</LinksUpToDate>
  <CharactersWithSpaces>140551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Foreign Investment Review Board Annual Report 2020-21</dc:title>
  <dc:subject>Annual Reporting</dc:subject>
  <dc:creator>Foreign Investment Review Board</dc:creator>
  <cp:lastModifiedBy>Thomas, Deborah</cp:lastModifiedBy>
  <cp:revision>3</cp:revision>
  <cp:lastPrinted>2022-04-06T02:08:00Z</cp:lastPrinted>
  <dcterms:created xsi:type="dcterms:W3CDTF">2022-04-07T00:35:00Z</dcterms:created>
  <dcterms:modified xsi:type="dcterms:W3CDTF">2022-04-07T02:17:00Z</dcterms:modified>
</cp:coreProperties>
</file>